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 xml:space="preserve">      </w:t>
      </w: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426威县应急管理局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8977278.50</w:t>
            </w:r>
          </w:p>
        </w:tc>
        <w:tc>
          <w:tcPr>
            <w:tcW w:w="4535" w:type="dxa"/>
            <w:vAlign w:val="center"/>
          </w:tcPr>
          <w:p>
            <w:pPr>
              <w:pStyle w:val="14"/>
            </w:pPr>
            <w:r>
              <w:t>一、一般公共服务支出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8977278.50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8977278.50</w:t>
            </w:r>
          </w:p>
        </w:tc>
        <w:tc>
          <w:tcPr>
            <w:tcW w:w="4535" w:type="dxa"/>
            <w:vAlign w:val="center"/>
          </w:tcPr>
          <w:p>
            <w:pPr>
              <w:pStyle w:val="16"/>
            </w:pPr>
            <w:r>
              <w:t>本年支出合计</w:t>
            </w:r>
          </w:p>
        </w:tc>
        <w:tc>
          <w:tcPr>
            <w:tcW w:w="2126" w:type="dxa"/>
            <w:vAlign w:val="center"/>
          </w:tcPr>
          <w:p>
            <w:pPr>
              <w:pStyle w:val="17"/>
            </w:pPr>
            <w:r>
              <w:t>8977278.50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8977278.50</w:t>
            </w:r>
          </w:p>
        </w:tc>
        <w:tc>
          <w:tcPr>
            <w:tcW w:w="4535" w:type="dxa"/>
            <w:vAlign w:val="center"/>
          </w:tcPr>
          <w:p>
            <w:pPr>
              <w:pStyle w:val="16"/>
            </w:pPr>
            <w:r>
              <w:t>支出总计</w:t>
            </w:r>
          </w:p>
        </w:tc>
        <w:tc>
          <w:tcPr>
            <w:tcW w:w="2126" w:type="dxa"/>
            <w:vAlign w:val="center"/>
          </w:tcPr>
          <w:p>
            <w:pPr>
              <w:pStyle w:val="17"/>
            </w:pPr>
            <w:r>
              <w:t>8977278.50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426威县应急管理局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8977278.50</w:t>
            </w:r>
          </w:p>
        </w:tc>
        <w:tc>
          <w:tcPr>
            <w:tcW w:w="1134" w:type="dxa"/>
            <w:vAlign w:val="center"/>
          </w:tcPr>
          <w:p>
            <w:pPr>
              <w:pStyle w:val="17"/>
            </w:pPr>
            <w:r>
              <w:t>8977278.50</w:t>
            </w:r>
          </w:p>
        </w:tc>
        <w:tc>
          <w:tcPr>
            <w:tcW w:w="1134" w:type="dxa"/>
            <w:vAlign w:val="center"/>
          </w:tcPr>
          <w:p>
            <w:pPr>
              <w:pStyle w:val="17"/>
            </w:pPr>
            <w:r>
              <w:t>8977278.50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8977278.50</w:t>
            </w:r>
          </w:p>
        </w:tc>
        <w:tc>
          <w:tcPr>
            <w:tcW w:w="1134" w:type="dxa"/>
            <w:vAlign w:val="center"/>
          </w:tcPr>
          <w:p>
            <w:pPr>
              <w:pStyle w:val="13"/>
            </w:pPr>
            <w:r>
              <w:t>8977278.50</w:t>
            </w:r>
          </w:p>
        </w:tc>
        <w:tc>
          <w:tcPr>
            <w:tcW w:w="1134" w:type="dxa"/>
            <w:vAlign w:val="center"/>
          </w:tcPr>
          <w:p>
            <w:pPr>
              <w:pStyle w:val="13"/>
            </w:pPr>
            <w:r>
              <w:t>8977278.50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8977278.50</w:t>
            </w:r>
          </w:p>
        </w:tc>
        <w:tc>
          <w:tcPr>
            <w:tcW w:w="1134" w:type="dxa"/>
            <w:vAlign w:val="center"/>
          </w:tcPr>
          <w:p>
            <w:pPr>
              <w:pStyle w:val="13"/>
            </w:pPr>
            <w:r>
              <w:t>8977278.50</w:t>
            </w:r>
          </w:p>
        </w:tc>
        <w:tc>
          <w:tcPr>
            <w:tcW w:w="1134" w:type="dxa"/>
            <w:vAlign w:val="center"/>
          </w:tcPr>
          <w:p>
            <w:pPr>
              <w:pStyle w:val="13"/>
            </w:pPr>
            <w:r>
              <w:t>8977278.50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2240106</w:t>
            </w:r>
          </w:p>
        </w:tc>
        <w:tc>
          <w:tcPr>
            <w:tcW w:w="1559" w:type="dxa"/>
            <w:vAlign w:val="center"/>
          </w:tcPr>
          <w:p>
            <w:pPr>
              <w:pStyle w:val="14"/>
            </w:pPr>
            <w:r>
              <w:t>安全监管</w:t>
            </w:r>
          </w:p>
        </w:tc>
        <w:tc>
          <w:tcPr>
            <w:tcW w:w="1134" w:type="dxa"/>
            <w:vAlign w:val="center"/>
          </w:tcPr>
          <w:p>
            <w:pPr>
              <w:pStyle w:val="13"/>
            </w:pPr>
            <w:r>
              <w:t>8977278.50</w:t>
            </w:r>
          </w:p>
        </w:tc>
        <w:tc>
          <w:tcPr>
            <w:tcW w:w="1134" w:type="dxa"/>
            <w:vAlign w:val="center"/>
          </w:tcPr>
          <w:p>
            <w:pPr>
              <w:pStyle w:val="13"/>
            </w:pPr>
            <w:r>
              <w:t>8977278.50</w:t>
            </w:r>
          </w:p>
        </w:tc>
        <w:tc>
          <w:tcPr>
            <w:tcW w:w="1134" w:type="dxa"/>
            <w:vAlign w:val="center"/>
          </w:tcPr>
          <w:p>
            <w:pPr>
              <w:pStyle w:val="13"/>
            </w:pPr>
            <w:r>
              <w:t>8977278.50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8977278.50</w:t>
            </w:r>
          </w:p>
        </w:tc>
        <w:tc>
          <w:tcPr>
            <w:tcW w:w="1361" w:type="dxa"/>
            <w:vAlign w:val="center"/>
          </w:tcPr>
          <w:p>
            <w:pPr>
              <w:pStyle w:val="17"/>
            </w:pPr>
            <w:r>
              <w:t>4253763.50</w:t>
            </w:r>
          </w:p>
        </w:tc>
        <w:tc>
          <w:tcPr>
            <w:tcW w:w="1361" w:type="dxa"/>
            <w:vAlign w:val="center"/>
          </w:tcPr>
          <w:p>
            <w:pPr>
              <w:pStyle w:val="17"/>
            </w:pPr>
            <w:r>
              <w:t>4723515.00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8977278.50</w:t>
            </w:r>
          </w:p>
        </w:tc>
        <w:tc>
          <w:tcPr>
            <w:tcW w:w="1361" w:type="dxa"/>
            <w:vAlign w:val="center"/>
          </w:tcPr>
          <w:p>
            <w:pPr>
              <w:pStyle w:val="13"/>
            </w:pPr>
            <w:r>
              <w:t>4253763.50</w:t>
            </w:r>
          </w:p>
        </w:tc>
        <w:tc>
          <w:tcPr>
            <w:tcW w:w="1361" w:type="dxa"/>
            <w:vAlign w:val="center"/>
          </w:tcPr>
          <w:p>
            <w:pPr>
              <w:pStyle w:val="13"/>
            </w:pPr>
            <w:r>
              <w:t>4723515.00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8977278.50</w:t>
            </w:r>
          </w:p>
        </w:tc>
        <w:tc>
          <w:tcPr>
            <w:tcW w:w="1361" w:type="dxa"/>
            <w:vAlign w:val="center"/>
          </w:tcPr>
          <w:p>
            <w:pPr>
              <w:pStyle w:val="13"/>
            </w:pPr>
            <w:r>
              <w:t>4253763.50</w:t>
            </w:r>
          </w:p>
        </w:tc>
        <w:tc>
          <w:tcPr>
            <w:tcW w:w="1361" w:type="dxa"/>
            <w:vAlign w:val="center"/>
          </w:tcPr>
          <w:p>
            <w:pPr>
              <w:pStyle w:val="13"/>
            </w:pPr>
            <w:r>
              <w:t>4723515.00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2240106</w:t>
            </w:r>
          </w:p>
        </w:tc>
        <w:tc>
          <w:tcPr>
            <w:tcW w:w="4535" w:type="dxa"/>
            <w:vAlign w:val="center"/>
          </w:tcPr>
          <w:p>
            <w:pPr>
              <w:pStyle w:val="14"/>
            </w:pPr>
            <w:r>
              <w:t>安全监管</w:t>
            </w:r>
          </w:p>
        </w:tc>
        <w:tc>
          <w:tcPr>
            <w:tcW w:w="1361" w:type="dxa"/>
            <w:vAlign w:val="center"/>
          </w:tcPr>
          <w:p>
            <w:pPr>
              <w:pStyle w:val="13"/>
            </w:pPr>
            <w:r>
              <w:t>8977278.50</w:t>
            </w:r>
          </w:p>
        </w:tc>
        <w:tc>
          <w:tcPr>
            <w:tcW w:w="1361" w:type="dxa"/>
            <w:vAlign w:val="center"/>
          </w:tcPr>
          <w:p>
            <w:pPr>
              <w:pStyle w:val="13"/>
            </w:pPr>
            <w:r>
              <w:t>4253763.50</w:t>
            </w:r>
          </w:p>
        </w:tc>
        <w:tc>
          <w:tcPr>
            <w:tcW w:w="1361" w:type="dxa"/>
            <w:vAlign w:val="center"/>
          </w:tcPr>
          <w:p>
            <w:pPr>
              <w:pStyle w:val="13"/>
            </w:pPr>
            <w:r>
              <w:t>4723515.00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8977278.50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8977278.50</w:t>
            </w:r>
          </w:p>
        </w:tc>
        <w:tc>
          <w:tcPr>
            <w:tcW w:w="1474" w:type="dxa"/>
            <w:vAlign w:val="center"/>
          </w:tcPr>
          <w:p>
            <w:pPr>
              <w:pStyle w:val="13"/>
            </w:pPr>
            <w:r>
              <w:t>8977278.50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8977278.50</w:t>
            </w:r>
          </w:p>
        </w:tc>
        <w:tc>
          <w:tcPr>
            <w:tcW w:w="3402" w:type="dxa"/>
            <w:vAlign w:val="center"/>
          </w:tcPr>
          <w:p>
            <w:pPr>
              <w:pStyle w:val="16"/>
            </w:pPr>
            <w:r>
              <w:t>本年支出合计</w:t>
            </w:r>
          </w:p>
        </w:tc>
        <w:tc>
          <w:tcPr>
            <w:tcW w:w="1474" w:type="dxa"/>
            <w:vAlign w:val="center"/>
          </w:tcPr>
          <w:p>
            <w:pPr>
              <w:pStyle w:val="17"/>
            </w:pPr>
            <w:r>
              <w:t>8977278.50</w:t>
            </w:r>
          </w:p>
        </w:tc>
        <w:tc>
          <w:tcPr>
            <w:tcW w:w="1474" w:type="dxa"/>
            <w:vAlign w:val="center"/>
          </w:tcPr>
          <w:p>
            <w:pPr>
              <w:pStyle w:val="17"/>
            </w:pPr>
            <w:r>
              <w:t>8977278.50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8977278.50</w:t>
            </w:r>
          </w:p>
        </w:tc>
        <w:tc>
          <w:tcPr>
            <w:tcW w:w="3402" w:type="dxa"/>
            <w:vAlign w:val="center"/>
          </w:tcPr>
          <w:p>
            <w:pPr>
              <w:pStyle w:val="16"/>
            </w:pPr>
            <w:r>
              <w:t>支出总计</w:t>
            </w:r>
          </w:p>
        </w:tc>
        <w:tc>
          <w:tcPr>
            <w:tcW w:w="1474" w:type="dxa"/>
            <w:vAlign w:val="center"/>
          </w:tcPr>
          <w:p>
            <w:pPr>
              <w:pStyle w:val="17"/>
            </w:pPr>
            <w:r>
              <w:t>8977278.50</w:t>
            </w:r>
          </w:p>
        </w:tc>
        <w:tc>
          <w:tcPr>
            <w:tcW w:w="1474" w:type="dxa"/>
            <w:vAlign w:val="center"/>
          </w:tcPr>
          <w:p>
            <w:pPr>
              <w:pStyle w:val="17"/>
            </w:pPr>
            <w:r>
              <w:t>8977278.50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8977278.50</w:t>
            </w:r>
          </w:p>
        </w:tc>
        <w:tc>
          <w:tcPr>
            <w:tcW w:w="2551" w:type="dxa"/>
            <w:vAlign w:val="center"/>
          </w:tcPr>
          <w:p>
            <w:pPr>
              <w:pStyle w:val="17"/>
            </w:pPr>
            <w:r>
              <w:t>4253763.50</w:t>
            </w:r>
          </w:p>
        </w:tc>
        <w:tc>
          <w:tcPr>
            <w:tcW w:w="2551" w:type="dxa"/>
            <w:vAlign w:val="center"/>
          </w:tcPr>
          <w:p>
            <w:pPr>
              <w:pStyle w:val="17"/>
            </w:pPr>
            <w:r>
              <w:t>4723515.00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8977278.50</w:t>
            </w:r>
          </w:p>
        </w:tc>
        <w:tc>
          <w:tcPr>
            <w:tcW w:w="2551" w:type="dxa"/>
            <w:vAlign w:val="center"/>
          </w:tcPr>
          <w:p>
            <w:pPr>
              <w:pStyle w:val="13"/>
            </w:pPr>
            <w:r>
              <w:t>4253763.50</w:t>
            </w:r>
          </w:p>
        </w:tc>
        <w:tc>
          <w:tcPr>
            <w:tcW w:w="2551" w:type="dxa"/>
            <w:vAlign w:val="center"/>
          </w:tcPr>
          <w:p>
            <w:pPr>
              <w:pStyle w:val="13"/>
            </w:pPr>
            <w:r>
              <w:t>4723515.00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8977278.50</w:t>
            </w:r>
          </w:p>
        </w:tc>
        <w:tc>
          <w:tcPr>
            <w:tcW w:w="2551" w:type="dxa"/>
            <w:vAlign w:val="center"/>
          </w:tcPr>
          <w:p>
            <w:pPr>
              <w:pStyle w:val="13"/>
            </w:pPr>
            <w:r>
              <w:t>4253763.50</w:t>
            </w:r>
          </w:p>
        </w:tc>
        <w:tc>
          <w:tcPr>
            <w:tcW w:w="2551" w:type="dxa"/>
            <w:vAlign w:val="center"/>
          </w:tcPr>
          <w:p>
            <w:pPr>
              <w:pStyle w:val="13"/>
            </w:pPr>
            <w:r>
              <w:t>4723515.00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2240106</w:t>
            </w:r>
          </w:p>
        </w:tc>
        <w:tc>
          <w:tcPr>
            <w:tcW w:w="4535" w:type="dxa"/>
            <w:vAlign w:val="center"/>
          </w:tcPr>
          <w:p>
            <w:pPr>
              <w:pStyle w:val="14"/>
            </w:pPr>
            <w:r>
              <w:t>安全监管</w:t>
            </w:r>
          </w:p>
        </w:tc>
        <w:tc>
          <w:tcPr>
            <w:tcW w:w="2551" w:type="dxa"/>
            <w:vAlign w:val="center"/>
          </w:tcPr>
          <w:p>
            <w:pPr>
              <w:pStyle w:val="13"/>
            </w:pPr>
            <w:r>
              <w:t>8977278.50</w:t>
            </w:r>
          </w:p>
        </w:tc>
        <w:tc>
          <w:tcPr>
            <w:tcW w:w="2551" w:type="dxa"/>
            <w:vAlign w:val="center"/>
          </w:tcPr>
          <w:p>
            <w:pPr>
              <w:pStyle w:val="13"/>
            </w:pPr>
            <w:r>
              <w:t>4253763.50</w:t>
            </w:r>
          </w:p>
        </w:tc>
        <w:tc>
          <w:tcPr>
            <w:tcW w:w="2551" w:type="dxa"/>
            <w:vAlign w:val="center"/>
          </w:tcPr>
          <w:p>
            <w:pPr>
              <w:pStyle w:val="13"/>
            </w:pPr>
            <w:r>
              <w:t>4723515.00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4253763.50</w:t>
            </w:r>
          </w:p>
        </w:tc>
        <w:tc>
          <w:tcPr>
            <w:tcW w:w="2551" w:type="dxa"/>
            <w:vAlign w:val="center"/>
          </w:tcPr>
          <w:p>
            <w:pPr>
              <w:pStyle w:val="17"/>
            </w:pPr>
            <w:r>
              <w:t>4129763.50</w:t>
            </w:r>
          </w:p>
        </w:tc>
        <w:tc>
          <w:tcPr>
            <w:tcW w:w="2551" w:type="dxa"/>
            <w:vAlign w:val="center"/>
          </w:tcPr>
          <w:p>
            <w:pPr>
              <w:pStyle w:val="17"/>
            </w:pPr>
            <w:r>
              <w:t>124000.00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3638446.00</w:t>
            </w:r>
          </w:p>
        </w:tc>
        <w:tc>
          <w:tcPr>
            <w:tcW w:w="2551" w:type="dxa"/>
            <w:vAlign w:val="center"/>
          </w:tcPr>
          <w:p>
            <w:pPr>
              <w:pStyle w:val="13"/>
            </w:pPr>
            <w:r>
              <w:t>3638446.00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1983828.00</w:t>
            </w:r>
          </w:p>
        </w:tc>
        <w:tc>
          <w:tcPr>
            <w:tcW w:w="2551" w:type="dxa"/>
            <w:vAlign w:val="center"/>
          </w:tcPr>
          <w:p>
            <w:pPr>
              <w:pStyle w:val="13"/>
            </w:pPr>
            <w:r>
              <w:t>1983828.00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338520.00</w:t>
            </w:r>
          </w:p>
        </w:tc>
        <w:tc>
          <w:tcPr>
            <w:tcW w:w="2551" w:type="dxa"/>
            <w:vAlign w:val="center"/>
          </w:tcPr>
          <w:p>
            <w:pPr>
              <w:pStyle w:val="13"/>
            </w:pPr>
            <w:r>
              <w:t>338520.00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50121.00</w:t>
            </w:r>
          </w:p>
        </w:tc>
        <w:tc>
          <w:tcPr>
            <w:tcW w:w="2551" w:type="dxa"/>
            <w:vAlign w:val="center"/>
          </w:tcPr>
          <w:p>
            <w:pPr>
              <w:pStyle w:val="13"/>
            </w:pPr>
            <w:r>
              <w:t>50121.00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125328.00</w:t>
            </w:r>
          </w:p>
        </w:tc>
        <w:tc>
          <w:tcPr>
            <w:tcW w:w="2551" w:type="dxa"/>
            <w:vAlign w:val="center"/>
          </w:tcPr>
          <w:p>
            <w:pPr>
              <w:pStyle w:val="13"/>
            </w:pPr>
            <w:r>
              <w:t>125328.00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415170.00</w:t>
            </w:r>
          </w:p>
        </w:tc>
        <w:tc>
          <w:tcPr>
            <w:tcW w:w="2551" w:type="dxa"/>
            <w:vAlign w:val="center"/>
          </w:tcPr>
          <w:p>
            <w:pPr>
              <w:pStyle w:val="13"/>
            </w:pPr>
            <w:r>
              <w:t>415170.00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122880.00</w:t>
            </w:r>
          </w:p>
        </w:tc>
        <w:tc>
          <w:tcPr>
            <w:tcW w:w="2551" w:type="dxa"/>
            <w:vAlign w:val="center"/>
          </w:tcPr>
          <w:p>
            <w:pPr>
              <w:pStyle w:val="13"/>
            </w:pPr>
            <w:r>
              <w:t>122880.00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209229.00</w:t>
            </w:r>
          </w:p>
        </w:tc>
        <w:tc>
          <w:tcPr>
            <w:tcW w:w="2551" w:type="dxa"/>
            <w:vAlign w:val="center"/>
          </w:tcPr>
          <w:p>
            <w:pPr>
              <w:pStyle w:val="13"/>
            </w:pPr>
            <w:r>
              <w:t>209229.00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10944.00</w:t>
            </w:r>
          </w:p>
        </w:tc>
        <w:tc>
          <w:tcPr>
            <w:tcW w:w="2551" w:type="dxa"/>
            <w:vAlign w:val="center"/>
          </w:tcPr>
          <w:p>
            <w:pPr>
              <w:pStyle w:val="13"/>
            </w:pPr>
            <w:r>
              <w:t>10944.00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146578.00</w:t>
            </w:r>
          </w:p>
        </w:tc>
        <w:tc>
          <w:tcPr>
            <w:tcW w:w="2551" w:type="dxa"/>
            <w:vAlign w:val="center"/>
          </w:tcPr>
          <w:p>
            <w:pPr>
              <w:pStyle w:val="13"/>
            </w:pPr>
            <w:r>
              <w:t>146578.00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235848.00</w:t>
            </w:r>
          </w:p>
        </w:tc>
        <w:tc>
          <w:tcPr>
            <w:tcW w:w="2551" w:type="dxa"/>
            <w:vAlign w:val="center"/>
          </w:tcPr>
          <w:p>
            <w:pPr>
              <w:pStyle w:val="13"/>
            </w:pPr>
            <w:r>
              <w:t>235848.00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124000.00</w:t>
            </w:r>
          </w:p>
        </w:tc>
        <w:tc>
          <w:tcPr>
            <w:tcW w:w="2551" w:type="dxa"/>
            <w:vAlign w:val="center"/>
          </w:tcPr>
          <w:p>
            <w:pPr>
              <w:pStyle w:val="13"/>
            </w:pPr>
          </w:p>
        </w:tc>
        <w:tc>
          <w:tcPr>
            <w:tcW w:w="2551" w:type="dxa"/>
            <w:vAlign w:val="center"/>
          </w:tcPr>
          <w:p>
            <w:pPr>
              <w:pStyle w:val="13"/>
            </w:pPr>
            <w:r>
              <w:t>124000.00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31000.00</w:t>
            </w:r>
          </w:p>
        </w:tc>
        <w:tc>
          <w:tcPr>
            <w:tcW w:w="2551" w:type="dxa"/>
            <w:vAlign w:val="center"/>
          </w:tcPr>
          <w:p>
            <w:pPr>
              <w:pStyle w:val="13"/>
            </w:pPr>
          </w:p>
        </w:tc>
        <w:tc>
          <w:tcPr>
            <w:tcW w:w="2551" w:type="dxa"/>
            <w:vAlign w:val="center"/>
          </w:tcPr>
          <w:p>
            <w:pPr>
              <w:pStyle w:val="13"/>
            </w:pPr>
            <w:r>
              <w:t>31000.00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11400.00</w:t>
            </w:r>
          </w:p>
        </w:tc>
        <w:tc>
          <w:tcPr>
            <w:tcW w:w="2551" w:type="dxa"/>
            <w:vAlign w:val="center"/>
          </w:tcPr>
          <w:p>
            <w:pPr>
              <w:pStyle w:val="13"/>
            </w:pPr>
          </w:p>
        </w:tc>
        <w:tc>
          <w:tcPr>
            <w:tcW w:w="2551" w:type="dxa"/>
            <w:vAlign w:val="center"/>
          </w:tcPr>
          <w:p>
            <w:pPr>
              <w:pStyle w:val="13"/>
            </w:pPr>
            <w:r>
              <w:t>11400.00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72600.00</w:t>
            </w:r>
          </w:p>
        </w:tc>
        <w:tc>
          <w:tcPr>
            <w:tcW w:w="2551" w:type="dxa"/>
            <w:vAlign w:val="center"/>
          </w:tcPr>
          <w:p>
            <w:pPr>
              <w:pStyle w:val="13"/>
            </w:pPr>
          </w:p>
        </w:tc>
        <w:tc>
          <w:tcPr>
            <w:tcW w:w="2551" w:type="dxa"/>
            <w:vAlign w:val="center"/>
          </w:tcPr>
          <w:p>
            <w:pPr>
              <w:pStyle w:val="13"/>
            </w:pPr>
            <w:r>
              <w:t>72600.00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491317.50</w:t>
            </w:r>
          </w:p>
        </w:tc>
        <w:tc>
          <w:tcPr>
            <w:tcW w:w="2551" w:type="dxa"/>
            <w:vAlign w:val="center"/>
          </w:tcPr>
          <w:p>
            <w:pPr>
              <w:pStyle w:val="13"/>
            </w:pPr>
            <w:r>
              <w:t>491317.50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128257.50</w:t>
            </w:r>
          </w:p>
        </w:tc>
        <w:tc>
          <w:tcPr>
            <w:tcW w:w="2551" w:type="dxa"/>
            <w:vAlign w:val="center"/>
          </w:tcPr>
          <w:p>
            <w:pPr>
              <w:pStyle w:val="13"/>
            </w:pPr>
            <w:r>
              <w:t>128257.50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159684.00</w:t>
            </w:r>
          </w:p>
        </w:tc>
        <w:tc>
          <w:tcPr>
            <w:tcW w:w="2551" w:type="dxa"/>
            <w:vAlign w:val="center"/>
          </w:tcPr>
          <w:p>
            <w:pPr>
              <w:pStyle w:val="13"/>
            </w:pPr>
            <w:r>
              <w:t>159684.00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19656.00</w:t>
            </w:r>
          </w:p>
        </w:tc>
        <w:tc>
          <w:tcPr>
            <w:tcW w:w="2551" w:type="dxa"/>
            <w:vAlign w:val="center"/>
          </w:tcPr>
          <w:p>
            <w:pPr>
              <w:pStyle w:val="13"/>
            </w:pPr>
            <w:r>
              <w:t>19656.00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183720.00</w:t>
            </w:r>
          </w:p>
        </w:tc>
        <w:tc>
          <w:tcPr>
            <w:tcW w:w="2551" w:type="dxa"/>
            <w:vAlign w:val="center"/>
          </w:tcPr>
          <w:p>
            <w:pPr>
              <w:pStyle w:val="13"/>
            </w:pPr>
            <w:r>
              <w:t>183720.00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426威县应急管理局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23000.00</w:t>
            </w:r>
          </w:p>
        </w:tc>
        <w:tc>
          <w:tcPr>
            <w:tcW w:w="2381" w:type="dxa"/>
            <w:vAlign w:val="center"/>
          </w:tcPr>
          <w:p>
            <w:pPr>
              <w:pStyle w:val="13"/>
            </w:pPr>
            <w:r>
              <w:t>23000.00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12000.00</w:t>
            </w:r>
          </w:p>
        </w:tc>
        <w:tc>
          <w:tcPr>
            <w:tcW w:w="2381" w:type="dxa"/>
            <w:vAlign w:val="center"/>
          </w:tcPr>
          <w:p>
            <w:pPr>
              <w:pStyle w:val="13"/>
            </w:pPr>
            <w:r>
              <w:t>12000.00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威县应急管理局2023年部门预算信息公开情况说明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威县应急管理局2023年部门预算信息公开情况说明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按照《预算法》、《地方预决算公开操作规程》和《关于进一步推进预算公开工作的实施意见》规定，现将威县应急管理局2023年部门预算公开如下：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（一）负责应急管理工作，指导各级各部门应对安全生产类、自然灾害类等突发事件和综合防灾减灾救灾工作。负责安全生产综合监督管理和工商贸行业安全生产监督管理工作。</w:t>
      </w:r>
    </w:p>
    <w:p>
      <w:pPr>
        <w:pStyle w:val="19"/>
      </w:pPr>
      <w:r>
        <w:t>（二）拟订应急管理、安全生产等政策规定，组织编制县应急体系建设、安全生产和综合防灾减灾规划，贯彻执行国家和省、市有关法律，法规、规章、规程和标准。</w:t>
      </w:r>
    </w:p>
    <w:p>
      <w:pPr>
        <w:pStyle w:val="19"/>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9"/>
      </w:pPr>
      <w:r>
        <w:t>（四）牵头建立统一的全县应急管理信息系统，负责信息传输渠道的规划和布局，建立监测预警和灾情报告制度，健全自然灾害信息资源获取和共享机制，依法统一发布灾情。</w:t>
      </w:r>
    </w:p>
    <w:p>
      <w:pPr>
        <w:pStyle w:val="19"/>
      </w:pPr>
      <w:r>
        <w:t>（五）组织指导协调安全生产类、自然灾害类等突发事件应急救援，承担县应对重大灾害指挥部工作，综合研判突发事件发展态势并提出应对建议，协助县委、县政府指定的负责同志组织重大灾害应急处置工作。</w:t>
      </w:r>
    </w:p>
    <w:p>
      <w:pPr>
        <w:pStyle w:val="19"/>
      </w:pPr>
      <w:r>
        <w:t>（六）统一协调指挥各类应急专业队伍，建立应急协调联动机制，推进指挥平台对接，衔接解放军和武警部队参与应急救援工作。</w:t>
      </w:r>
    </w:p>
    <w:p>
      <w:pPr>
        <w:pStyle w:val="19"/>
      </w:pPr>
      <w:r>
        <w:t>（七）统筹应急救援力量建设，负责消防、森林和草原火灾扑救、抗洪抢险、地震和地质灾害救援、生产安全事故救援等专业应急救援力量建设，管理县综合性应急救援队伍，指导全县应急救援力量建设。</w:t>
      </w:r>
    </w:p>
    <w:p>
      <w:pPr>
        <w:pStyle w:val="19"/>
      </w:pPr>
      <w:r>
        <w:t>（八）组织协调消防工作，负责全县消防监督、火灾预防、火灾扑救等工作。</w:t>
      </w:r>
    </w:p>
    <w:p>
      <w:pPr>
        <w:pStyle w:val="19"/>
      </w:pPr>
      <w:r>
        <w:t>（九）指导协调森林和草原火灾、水旱灾害、地质灾害等防治工作，负责自然灾害综合监测预警工作，指导开展自然灾害综合风险评估工作。</w:t>
      </w:r>
    </w:p>
    <w:p>
      <w:pPr>
        <w:pStyle w:val="19"/>
      </w:pPr>
      <w:r>
        <w:t>（十）组织协调灾害救助工作，组织指导灾情核查、损失评估、救灾捐赠工作，管理、分配县救灾款物并监督使用。</w:t>
      </w:r>
    </w:p>
    <w:p>
      <w:pPr>
        <w:pStyle w:val="19"/>
      </w:pPr>
      <w:r>
        <w:t>（十一）依法行使县安全生产综合监督管理职权，指导协调、监督检查县有关部门和各镇政府、开发区安全生产工作，组织开展安全生产巡查、考核工作。</w:t>
      </w:r>
    </w:p>
    <w:p>
      <w:pPr>
        <w:pStyle w:val="19"/>
      </w:pPr>
      <w:r>
        <w:t>（十二）按照分级、属地原则，依法监督检查工商贸生产经营单位贯彻执行安全生产法律法规情况，及其安全生产条件和有关设备（特种设备除外）、材料、劳动防护用品的安全生产管理工作。负责监督管理工商贸行业县属企业和驻县中央、省属、市属、县属企业的安全生产工作。负责危险化学品安全监督管理综合工作和烟花爆竹安全生产监督管理工作。</w:t>
      </w:r>
    </w:p>
    <w:p>
      <w:pPr>
        <w:pStyle w:val="19"/>
      </w:pPr>
      <w:r>
        <w:t>（十三）依法组织指导生产安全事故调查处理，监督事故查处和责任追究落实情况。组织开展自然灾害类突发事件的调查评估工作。</w:t>
      </w:r>
    </w:p>
    <w:p>
      <w:pPr>
        <w:pStyle w:val="19"/>
      </w:pPr>
      <w:r>
        <w:t>（十四）制定应急物资储备和应急救援装备规划并组织实施，会同县发展和改革局（县粮食和物资储备局）等部门建立健全应急物资信息平台和调拨制度，在救灾时统一调度。</w:t>
      </w:r>
    </w:p>
    <w:p>
      <w:pPr>
        <w:pStyle w:val="19"/>
      </w:pPr>
      <w:r>
        <w:t>（十五）负责应急管理、安全生产宣传教育和培训工作，组织指导应急管理、安全生产的科学技术研究、推广应用和信息化建设工作。</w:t>
      </w:r>
    </w:p>
    <w:p>
      <w:pPr>
        <w:pStyle w:val="19"/>
      </w:pPr>
      <w:r>
        <w:t>（十六）负责组织指导协调和监督全县安全生产行政执法工作，组织开展对县属企业及驻县中央、省属、市属企业的执法检查，组织开展对安全生产重点企业的执法检查。</w:t>
      </w:r>
    </w:p>
    <w:p>
      <w:pPr>
        <w:pStyle w:val="19"/>
      </w:pPr>
      <w:r>
        <w:t>（十七）按照有关规定负责制定地震监测台网规划；负责地震监测预报方案的组织实施；负责地震前兆信息和地震宏观异常信息的分析、处理和速报工作；负责提出地震趋势预测意见；负责组织开展震情跟踪；负责对地震灾区的地震监测、流动观测和地震活动趋势分析判定工作；负责管理辖区内镇、开发区地震台网（站）；负责地震科技信息工作，管理地震科技档案；负责辖区内地震监测设施和地震观测环境依法保护工作。</w:t>
      </w:r>
    </w:p>
    <w:p>
      <w:pPr>
        <w:pStyle w:val="19"/>
      </w:pPr>
      <w:r>
        <w:t>（十八）负责并组织开展辖区内地震灾害预防工作。负责地震灾害的调查、评估、预测工作；会同有关部门推动建筑物、构筑物地震安全工作；负责推进地震小区划工作；负责监督管理辖区内建设工程的抗震设防要求确定和地震安全性评价工作；负责辖区内地震行政执法工作。</w:t>
      </w:r>
    </w:p>
    <w:p>
      <w:pPr>
        <w:pStyle w:val="19"/>
      </w:pPr>
      <w:r>
        <w:t>（十九）负责并组织开展辖区内地震应急与救援工作。负责组织制订全县地震应急预案和地震救援方案，经县政府批准后组织实施；负责组建培训地震紧急救援队伍，组织开展地震应急演练；负责震情、灾情收集速报工作；会同有关部门做好地震次生灾害的排查与监测预警工作；参与编制地震灾区恢复重建规划和恢复震后辖区内社会公共保障功能。</w:t>
      </w:r>
    </w:p>
    <w:p>
      <w:pPr>
        <w:pStyle w:val="19"/>
      </w:pPr>
      <w:r>
        <w:t>（二十）负责管理辖区内地震群测群防“三网一员”网络体系，推进地震宏观异常测报、地震灾情速报、防震减灾科普宣传网络体系建设，组织开展社区地震应急和乡镇民居抗震设防指导和培训。</w:t>
      </w:r>
    </w:p>
    <w:p>
      <w:pPr>
        <w:pStyle w:val="19"/>
      </w:pPr>
      <w:r>
        <w:t>（二十一）组织开展应急管理方面的国际交流与合作。</w:t>
      </w:r>
    </w:p>
    <w:p>
      <w:pPr>
        <w:pStyle w:val="19"/>
      </w:pPr>
      <w:r>
        <w:t>（二十二）完成县委、县政府交办的其他任务。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威县应急管理局（本级）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部门预算的编制实行综合预算管理，即全部收入和支出都反映在预算中。威县应急管理局机关及所属事业单位的收支包含在部门预算中。</w:t>
      </w:r>
    </w:p>
    <w:p>
      <w:pPr>
        <w:pStyle w:val="20"/>
      </w:pPr>
      <w:r>
        <w:t>1、收入说明</w:t>
      </w:r>
    </w:p>
    <w:p>
      <w:pPr>
        <w:pStyle w:val="20"/>
      </w:pPr>
      <w:r>
        <w:t>反映本部门当年全部收入。2023年预算收入897.72万元，其中：一般公共预算收入897.72万元，基金预算收入0万元，国有资本经营预算收入0万元，财政专户核拨收入0万元，单位资金收入0万元，上年结转结余0万元。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威县应急管理局年度部门预算中支出预算的总体情况。2023年部门支出预算为897.72万元，其中基本支出425.37万元，包括人员经费412.97万元和日常公用经费12.4万元；项目支出472.35万元，主要为采购消防车支出323万元。</w:t>
      </w:r>
    </w:p>
    <w:p>
      <w:pPr>
        <w:pStyle w:val="20"/>
      </w:pPr>
      <w:r>
        <w:t>3、比上年增减情况</w:t>
      </w:r>
    </w:p>
    <w:p>
      <w:pPr>
        <w:pStyle w:val="20"/>
      </w:pPr>
      <w:r>
        <w:t>2023年部门预算收支安排897.72万元，较2022年增加了279.17万元其中基本支出增加3.9万元，主要是人员增加；项目支出增加283.09万元，主要是采购消防车</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2023年，我部门机关运行经费共计12.4万元，主要用于保证机关正常运转的办公及印刷费、差旅费、办公用房水电费、日常维修费等支出。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2023年，我单位财政拨款“三公”经费预算安排3.5万元，其中因公出国（境）费0万元</w:t>
      </w:r>
      <w:r>
        <w:rPr>
          <w:rFonts w:hint="eastAsia"/>
          <w:lang w:eastAsia="zh-CN"/>
        </w:rPr>
        <w:t>，</w:t>
      </w:r>
      <w:r>
        <w:rPr>
          <w:rFonts w:hint="eastAsia"/>
          <w:lang w:val="en-US" w:eastAsia="zh-CN"/>
        </w:rPr>
        <w:t>相比2022年无变化，原因无；</w:t>
      </w:r>
      <w:r>
        <w:t>公务用车购置及运维费2.3万元（其中：公务用车购置费0万元，公务用车运行维护费2.3万元）</w:t>
      </w:r>
      <w:r>
        <w:rPr>
          <w:rFonts w:hint="eastAsia"/>
          <w:lang w:eastAsia="zh-CN"/>
        </w:rPr>
        <w:t>，</w:t>
      </w:r>
      <w:r>
        <w:rPr>
          <w:rFonts w:hint="eastAsia"/>
          <w:lang w:val="en-US" w:eastAsia="zh-CN"/>
        </w:rPr>
        <w:t>相比2022年无变化，原因无</w:t>
      </w:r>
      <w:r>
        <w:t>；公务接待1.2万元</w:t>
      </w:r>
      <w:r>
        <w:rPr>
          <w:rFonts w:hint="eastAsia"/>
          <w:lang w:eastAsia="zh-CN"/>
        </w:rPr>
        <w:t>，</w:t>
      </w:r>
      <w:r>
        <w:rPr>
          <w:rFonts w:hint="eastAsia"/>
          <w:lang w:val="en-US" w:eastAsia="zh-CN"/>
        </w:rPr>
        <w:t>相比2022年无变化，原因无</w:t>
      </w:r>
      <w:r>
        <w:t>。“三公”经费与上年相比没有变化。</w:t>
      </w:r>
      <w:bookmarkStart w:id="18" w:name="_GoBack"/>
      <w:bookmarkEnd w:id="18"/>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深入学习领会习近平总书记关于应急管理重要论述和指导批示要求，全面贯彻党的十九大和十九届历次全会精神，认真落实国家、省、市工作部署，坚持人民至上、生命至上、坚持“不出事、在出彩，防为主、防为上，查隐患、除隐患”，坚持统筹发展和安全，坚持精准防，严格管、科学救、坚持智慧应急、标准应急、预案应急、科技应急、法治应急、素质应急、开拓创新，奋发作为，加快推进应急管理体系和能力现代化，坚决杜绝重特大事故，有效遏制较大事故，减少一般事故，及时科学应对各种突发自然灾害事件，应急救援能力明显增强，最大限度减少事故灾害损失，防灾减灾救灾水平再上新台阶，以优异成绩迎接党的二十大胜利召开。</w:t>
      </w:r>
    </w:p>
    <w:p>
      <w:pPr>
        <w:pStyle w:val="23"/>
      </w:pPr>
      <w:r>
        <w:t>（二)分项绩效目标</w:t>
      </w:r>
    </w:p>
    <w:p>
      <w:pPr>
        <w:pStyle w:val="23"/>
      </w:pPr>
      <w:r>
        <w:t>1、统筹全局工作，保障机关日常运转，做好全市应急管理工作。</w:t>
      </w:r>
    </w:p>
    <w:p>
      <w:pPr>
        <w:pStyle w:val="23"/>
      </w:pPr>
      <w:r>
        <w:t>绩效目标：统筹全局工作，保障机关日常运转，做好应急指挥、安全生产、自然灾害类等突发事件和综合防灾减灾救灾工作，创造良好生产环境。</w:t>
      </w:r>
    </w:p>
    <w:p>
      <w:pPr>
        <w:pStyle w:val="23"/>
      </w:pPr>
      <w:r>
        <w:t>绩效指标：保障企业安全生产，使企业安全生产保证率达90%以上，处理企业生产安全事故的次数小于3次。</w:t>
      </w:r>
    </w:p>
    <w:p>
      <w:pPr>
        <w:pStyle w:val="23"/>
      </w:pPr>
      <w:r>
        <w:t>2、保障受灾群众的基本生活</w:t>
      </w:r>
    </w:p>
    <w:p>
      <w:pPr>
        <w:pStyle w:val="23"/>
      </w:pPr>
      <w:r>
        <w:t>绩效目标：解决受灾地区的农村居民无力克服的衣、食、住、医等临时困难，紧急转移安置受灾群众，抚慰因灾遇难人员家属，恢复重建倒损房屋，保障受灾群众的基本生活。</w:t>
      </w:r>
    </w:p>
    <w:p>
      <w:pPr>
        <w:pStyle w:val="23"/>
      </w:pPr>
      <w:r>
        <w:t>绩效指标：保障受灾群众基本生活，使受灾群众基本生活保障率达95%以上。</w:t>
      </w:r>
    </w:p>
    <w:p>
      <w:pPr>
        <w:pStyle w:val="23"/>
      </w:pPr>
      <w:r>
        <w:t>（三）工作保障措施</w:t>
      </w:r>
    </w:p>
    <w:p>
      <w:pPr>
        <w:pStyle w:val="23"/>
      </w:pPr>
      <w:r>
        <w:t>1、完善制度建设。从预算制定到执行，各科室联动，将项目细化并落实到人。将事前评估、目标管理、运行监控、绩效评价、结果应用等各项改革措施，有效融入预算管理的全过程。</w:t>
      </w:r>
    </w:p>
    <w:p>
      <w:pPr>
        <w:pStyle w:val="23"/>
      </w:pPr>
      <w:r>
        <w:t>2、加强支出和财务资产管理。规范财政资金使用和管理，更好地发挥财政资金的使用效益。不断完成财务管理制度，严格审批程序，加强固定资产登记、使用和报废处置管理，做到合理支出，物尽其用。</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1、安全生产督导检查工作经费绩效目标表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1</w:t>
            </w:r>
          </w:p>
        </w:tc>
        <w:tc>
          <w:tcPr>
            <w:tcW w:w="2835" w:type="dxa"/>
            <w:vAlign w:val="center"/>
          </w:tcPr>
          <w:p>
            <w:pPr>
              <w:pStyle w:val="14"/>
            </w:pPr>
            <w:r>
              <w:t>1</w:t>
            </w:r>
          </w:p>
        </w:tc>
        <w:tc>
          <w:tcPr>
            <w:tcW w:w="2551" w:type="dxa"/>
            <w:vAlign w:val="center"/>
          </w:tcPr>
          <w:p>
            <w:pPr>
              <w:pStyle w:val="14"/>
            </w:pPr>
            <w:r>
              <w:t>≥1</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1</w:t>
            </w:r>
          </w:p>
        </w:tc>
        <w:tc>
          <w:tcPr>
            <w:tcW w:w="2835" w:type="dxa"/>
            <w:vAlign w:val="center"/>
          </w:tcPr>
          <w:p>
            <w:pPr>
              <w:pStyle w:val="14"/>
            </w:pPr>
            <w:r>
              <w:t>1</w:t>
            </w:r>
          </w:p>
        </w:tc>
        <w:tc>
          <w:tcPr>
            <w:tcW w:w="2551" w:type="dxa"/>
            <w:vAlign w:val="center"/>
          </w:tcPr>
          <w:p>
            <w:pPr>
              <w:pStyle w:val="14"/>
            </w:pPr>
            <w:r>
              <w:t>≥1</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w:t>
            </w:r>
          </w:p>
        </w:tc>
        <w:tc>
          <w:tcPr>
            <w:tcW w:w="2835" w:type="dxa"/>
            <w:vAlign w:val="center"/>
          </w:tcPr>
          <w:p>
            <w:pPr>
              <w:pStyle w:val="14"/>
            </w:pPr>
            <w:r>
              <w:t>1</w:t>
            </w:r>
          </w:p>
        </w:tc>
        <w:tc>
          <w:tcPr>
            <w:tcW w:w="2551" w:type="dxa"/>
            <w:vAlign w:val="center"/>
          </w:tcPr>
          <w:p>
            <w:pPr>
              <w:pStyle w:val="14"/>
            </w:pPr>
            <w:r>
              <w:t>≥1</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1</w:t>
            </w:r>
          </w:p>
        </w:tc>
        <w:tc>
          <w:tcPr>
            <w:tcW w:w="2835" w:type="dxa"/>
            <w:vAlign w:val="center"/>
          </w:tcPr>
          <w:p>
            <w:pPr>
              <w:pStyle w:val="14"/>
            </w:pPr>
            <w:r>
              <w:t>1</w:t>
            </w:r>
          </w:p>
        </w:tc>
        <w:tc>
          <w:tcPr>
            <w:tcW w:w="2551" w:type="dxa"/>
            <w:vAlign w:val="center"/>
          </w:tcPr>
          <w:p>
            <w:pPr>
              <w:pStyle w:val="14"/>
            </w:pPr>
            <w:r>
              <w:t>≥1</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1</w:t>
            </w:r>
          </w:p>
        </w:tc>
        <w:tc>
          <w:tcPr>
            <w:tcW w:w="2835" w:type="dxa"/>
            <w:vAlign w:val="center"/>
          </w:tcPr>
          <w:p>
            <w:pPr>
              <w:pStyle w:val="14"/>
            </w:pPr>
            <w:r>
              <w:t>1</w:t>
            </w:r>
          </w:p>
        </w:tc>
        <w:tc>
          <w:tcPr>
            <w:tcW w:w="2551" w:type="dxa"/>
            <w:vAlign w:val="center"/>
          </w:tcPr>
          <w:p>
            <w:pPr>
              <w:pStyle w:val="14"/>
            </w:pPr>
            <w:r>
              <w:t>≥1</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1</w:t>
            </w:r>
          </w:p>
        </w:tc>
        <w:tc>
          <w:tcPr>
            <w:tcW w:w="2835" w:type="dxa"/>
            <w:vAlign w:val="center"/>
          </w:tcPr>
          <w:p>
            <w:pPr>
              <w:pStyle w:val="14"/>
            </w:pPr>
            <w:r>
              <w:t>1</w:t>
            </w:r>
          </w:p>
        </w:tc>
        <w:tc>
          <w:tcPr>
            <w:tcW w:w="2551" w:type="dxa"/>
            <w:vAlign w:val="center"/>
          </w:tcPr>
          <w:p>
            <w:pPr>
              <w:pStyle w:val="14"/>
            </w:pPr>
            <w:r>
              <w:t>≥1</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1</w:t>
            </w:r>
          </w:p>
        </w:tc>
        <w:tc>
          <w:tcPr>
            <w:tcW w:w="2835" w:type="dxa"/>
            <w:vAlign w:val="center"/>
          </w:tcPr>
          <w:p>
            <w:pPr>
              <w:pStyle w:val="14"/>
            </w:pPr>
            <w:r>
              <w:t>1</w:t>
            </w:r>
          </w:p>
        </w:tc>
        <w:tc>
          <w:tcPr>
            <w:tcW w:w="2551" w:type="dxa"/>
            <w:vAlign w:val="center"/>
          </w:tcPr>
          <w:p>
            <w:pPr>
              <w:pStyle w:val="14"/>
            </w:pPr>
            <w:r>
              <w:t>≥1</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1</w:t>
            </w:r>
          </w:p>
        </w:tc>
        <w:tc>
          <w:tcPr>
            <w:tcW w:w="2835" w:type="dxa"/>
            <w:vAlign w:val="center"/>
          </w:tcPr>
          <w:p>
            <w:pPr>
              <w:pStyle w:val="14"/>
            </w:pPr>
            <w:r>
              <w:t>1</w:t>
            </w:r>
          </w:p>
        </w:tc>
        <w:tc>
          <w:tcPr>
            <w:tcW w:w="2551" w:type="dxa"/>
            <w:vAlign w:val="center"/>
          </w:tcPr>
          <w:p>
            <w:pPr>
              <w:pStyle w:val="14"/>
            </w:pPr>
            <w:r>
              <w:t>≥1</w:t>
            </w:r>
          </w:p>
        </w:tc>
        <w:tc>
          <w:tcPr>
            <w:tcW w:w="2268"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1</w:t>
            </w:r>
          </w:p>
        </w:tc>
        <w:tc>
          <w:tcPr>
            <w:tcW w:w="2835" w:type="dxa"/>
            <w:vAlign w:val="center"/>
          </w:tcPr>
          <w:p>
            <w:pPr>
              <w:pStyle w:val="14"/>
            </w:pPr>
            <w:r>
              <w:t>1</w:t>
            </w:r>
          </w:p>
        </w:tc>
        <w:tc>
          <w:tcPr>
            <w:tcW w:w="2551" w:type="dxa"/>
            <w:vAlign w:val="center"/>
          </w:tcPr>
          <w:p>
            <w:pPr>
              <w:pStyle w:val="14"/>
            </w:pPr>
            <w:r>
              <w:t>≥1</w:t>
            </w:r>
          </w:p>
        </w:tc>
        <w:tc>
          <w:tcPr>
            <w:tcW w:w="2268" w:type="dxa"/>
            <w:vAlign w:val="center"/>
          </w:tcPr>
          <w:p>
            <w:pPr>
              <w:pStyle w:val="14"/>
            </w:pPr>
            <w:r>
              <w:t>1</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2、安全生产月绩效目标表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开展专家研讨活动</w:t>
            </w:r>
          </w:p>
        </w:tc>
        <w:tc>
          <w:tcPr>
            <w:tcW w:w="2835" w:type="dxa"/>
            <w:vAlign w:val="center"/>
          </w:tcPr>
          <w:p>
            <w:pPr>
              <w:pStyle w:val="14"/>
            </w:pPr>
            <w:r>
              <w:t>开展专家研讨活动</w:t>
            </w:r>
          </w:p>
        </w:tc>
        <w:tc>
          <w:tcPr>
            <w:tcW w:w="2551" w:type="dxa"/>
            <w:vAlign w:val="center"/>
          </w:tcPr>
          <w:p>
            <w:pPr>
              <w:pStyle w:val="14"/>
            </w:pPr>
            <w:r>
              <w:t>≥15</w:t>
            </w:r>
          </w:p>
        </w:tc>
        <w:tc>
          <w:tcPr>
            <w:tcW w:w="2268" w:type="dxa"/>
            <w:vAlign w:val="center"/>
          </w:tcPr>
          <w:p>
            <w:pPr>
              <w:pStyle w:val="14"/>
            </w:pPr>
            <w:r>
              <w:t>关于开展2020年“安全生产月”和“安全生产邢襄行”活动的通知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开展主题宣讲活动</w:t>
            </w:r>
          </w:p>
        </w:tc>
        <w:tc>
          <w:tcPr>
            <w:tcW w:w="2835" w:type="dxa"/>
            <w:vAlign w:val="center"/>
          </w:tcPr>
          <w:p>
            <w:pPr>
              <w:pStyle w:val="14"/>
            </w:pPr>
            <w:r>
              <w:t>开展主题宣讲活动</w:t>
            </w:r>
          </w:p>
        </w:tc>
        <w:tc>
          <w:tcPr>
            <w:tcW w:w="2551" w:type="dxa"/>
            <w:vAlign w:val="center"/>
          </w:tcPr>
          <w:p>
            <w:pPr>
              <w:pStyle w:val="14"/>
            </w:pPr>
            <w:r>
              <w:t>≥6</w:t>
            </w:r>
          </w:p>
        </w:tc>
        <w:tc>
          <w:tcPr>
            <w:tcW w:w="2268" w:type="dxa"/>
            <w:vAlign w:val="center"/>
          </w:tcPr>
          <w:p>
            <w:pPr>
              <w:pStyle w:val="14"/>
            </w:pPr>
            <w:r>
              <w:t>关于开展2020年“安全生产月”和“安全生产邢襄行”活动的通知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按时完成主题宣讲和专家研讨工作</w:t>
            </w:r>
          </w:p>
        </w:tc>
        <w:tc>
          <w:tcPr>
            <w:tcW w:w="2835" w:type="dxa"/>
            <w:vAlign w:val="center"/>
          </w:tcPr>
          <w:p>
            <w:pPr>
              <w:pStyle w:val="14"/>
            </w:pPr>
            <w:r>
              <w:t>按时完成主题宣讲和专家研讨工作</w:t>
            </w:r>
          </w:p>
        </w:tc>
        <w:tc>
          <w:tcPr>
            <w:tcW w:w="2551" w:type="dxa"/>
            <w:vAlign w:val="center"/>
          </w:tcPr>
          <w:p>
            <w:pPr>
              <w:pStyle w:val="14"/>
            </w:pPr>
            <w:r>
              <w:t>按时完成主题宣讲和专家研讨工作</w:t>
            </w:r>
          </w:p>
        </w:tc>
        <w:tc>
          <w:tcPr>
            <w:tcW w:w="2268" w:type="dxa"/>
            <w:vAlign w:val="center"/>
          </w:tcPr>
          <w:p>
            <w:pPr>
              <w:pStyle w:val="14"/>
            </w:pPr>
            <w:r>
              <w:t>关于开展2020年“安全生产月”和“安全生产邢襄行”活动的通知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w:t>
            </w:r>
          </w:p>
        </w:tc>
        <w:tc>
          <w:tcPr>
            <w:tcW w:w="2835" w:type="dxa"/>
            <w:vAlign w:val="center"/>
          </w:tcPr>
          <w:p>
            <w:pPr>
              <w:pStyle w:val="14"/>
            </w:pPr>
            <w:r>
              <w:t>成本</w:t>
            </w:r>
          </w:p>
        </w:tc>
        <w:tc>
          <w:tcPr>
            <w:tcW w:w="2551" w:type="dxa"/>
            <w:vAlign w:val="center"/>
          </w:tcPr>
          <w:p>
            <w:pPr>
              <w:pStyle w:val="14"/>
            </w:pPr>
            <w:r>
              <w:t>成本</w:t>
            </w:r>
          </w:p>
        </w:tc>
        <w:tc>
          <w:tcPr>
            <w:tcW w:w="2268" w:type="dxa"/>
            <w:vAlign w:val="center"/>
          </w:tcPr>
          <w:p>
            <w:pPr>
              <w:pStyle w:val="14"/>
            </w:pPr>
            <w:r>
              <w:t>关于开展2020年“安全生产月”和“安全生产邢襄行”活动的通知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w:t>
            </w:r>
          </w:p>
        </w:tc>
        <w:tc>
          <w:tcPr>
            <w:tcW w:w="2835" w:type="dxa"/>
            <w:vAlign w:val="center"/>
          </w:tcPr>
          <w:p>
            <w:pPr>
              <w:pStyle w:val="14"/>
            </w:pPr>
            <w:r>
              <w:t>经济效益</w:t>
            </w:r>
          </w:p>
        </w:tc>
        <w:tc>
          <w:tcPr>
            <w:tcW w:w="2551" w:type="dxa"/>
            <w:vAlign w:val="center"/>
          </w:tcPr>
          <w:p>
            <w:pPr>
              <w:pStyle w:val="14"/>
            </w:pPr>
            <w:r>
              <w:t>经济效益</w:t>
            </w:r>
          </w:p>
        </w:tc>
        <w:tc>
          <w:tcPr>
            <w:tcW w:w="2268" w:type="dxa"/>
            <w:vAlign w:val="center"/>
          </w:tcPr>
          <w:p>
            <w:pPr>
              <w:pStyle w:val="14"/>
            </w:pPr>
            <w:r>
              <w:t>关于开展2020年“安全生产月”和“安全生产邢襄行”活动的通知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全社关注安全、关爱生命的浓厚氛围明显提升。</w:t>
            </w:r>
          </w:p>
        </w:tc>
        <w:tc>
          <w:tcPr>
            <w:tcW w:w="2835" w:type="dxa"/>
            <w:vAlign w:val="center"/>
          </w:tcPr>
          <w:p>
            <w:pPr>
              <w:pStyle w:val="14"/>
            </w:pPr>
            <w:r>
              <w:t>全社关注安全、关爱生命的浓厚氛围明显提升。</w:t>
            </w:r>
          </w:p>
        </w:tc>
        <w:tc>
          <w:tcPr>
            <w:tcW w:w="2551" w:type="dxa"/>
            <w:vAlign w:val="center"/>
          </w:tcPr>
          <w:p>
            <w:pPr>
              <w:pStyle w:val="14"/>
            </w:pPr>
            <w:r>
              <w:t>全社关注安全、关爱生命的浓厚氛围明显提升。</w:t>
            </w:r>
          </w:p>
        </w:tc>
        <w:tc>
          <w:tcPr>
            <w:tcW w:w="2268" w:type="dxa"/>
            <w:vAlign w:val="center"/>
          </w:tcPr>
          <w:p>
            <w:pPr>
              <w:pStyle w:val="14"/>
            </w:pPr>
            <w:r>
              <w:t>关于开展2020年“安全生产月”和“安全生产邢襄行”活动的通知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w:t>
            </w:r>
          </w:p>
        </w:tc>
        <w:tc>
          <w:tcPr>
            <w:tcW w:w="2835" w:type="dxa"/>
            <w:vAlign w:val="center"/>
          </w:tcPr>
          <w:p>
            <w:pPr>
              <w:pStyle w:val="14"/>
            </w:pPr>
            <w:r>
              <w:t>生态效益</w:t>
            </w:r>
          </w:p>
        </w:tc>
        <w:tc>
          <w:tcPr>
            <w:tcW w:w="2551" w:type="dxa"/>
            <w:vAlign w:val="center"/>
          </w:tcPr>
          <w:p>
            <w:pPr>
              <w:pStyle w:val="14"/>
            </w:pPr>
            <w:r>
              <w:t>≥100</w:t>
            </w:r>
          </w:p>
        </w:tc>
        <w:tc>
          <w:tcPr>
            <w:tcW w:w="2268" w:type="dxa"/>
            <w:vAlign w:val="center"/>
          </w:tcPr>
          <w:p>
            <w:pPr>
              <w:pStyle w:val="14"/>
            </w:pPr>
            <w:r>
              <w:t>关于开展2020年“安全生产月”和“安全生产邢襄行”活动的通知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响应指标</w:t>
            </w:r>
          </w:p>
        </w:tc>
        <w:tc>
          <w:tcPr>
            <w:tcW w:w="2268" w:type="dxa"/>
            <w:vAlign w:val="center"/>
          </w:tcPr>
          <w:p>
            <w:pPr>
              <w:pStyle w:val="14"/>
            </w:pPr>
            <w:r>
              <w:t>关于开展2020年“安全生产月”和“安全生产邢襄行”活动的通知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服务对象满意度指标</w:t>
            </w:r>
          </w:p>
        </w:tc>
        <w:tc>
          <w:tcPr>
            <w:tcW w:w="2551" w:type="dxa"/>
            <w:vAlign w:val="center"/>
          </w:tcPr>
          <w:p>
            <w:pPr>
              <w:pStyle w:val="14"/>
            </w:pPr>
            <w:r>
              <w:t>≥99</w:t>
            </w:r>
          </w:p>
        </w:tc>
        <w:tc>
          <w:tcPr>
            <w:tcW w:w="2268" w:type="dxa"/>
            <w:vAlign w:val="center"/>
          </w:tcPr>
          <w:p>
            <w:pPr>
              <w:pStyle w:val="14"/>
            </w:pPr>
            <w:r>
              <w:t>关于开展2020年“安全生产月”和“安全生产邢襄行”活动的通知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3、安全生产执法经费绩效目标表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1.68家危险化学品企业开展执法检查</w:t>
            </w:r>
          </w:p>
          <w:p>
            <w:pPr>
              <w:pStyle w:val="14"/>
            </w:pPr>
            <w:r>
              <w:t>2.87家规模以上工贸企业开展执法检查。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对全县68家危险化学品企业开展执法检查</w:t>
            </w:r>
          </w:p>
        </w:tc>
        <w:tc>
          <w:tcPr>
            <w:tcW w:w="2835" w:type="dxa"/>
            <w:vAlign w:val="center"/>
          </w:tcPr>
          <w:p>
            <w:pPr>
              <w:pStyle w:val="14"/>
            </w:pPr>
            <w:r>
              <w:t>对全县68家危险化学品企业开展执法检查</w:t>
            </w:r>
          </w:p>
        </w:tc>
        <w:tc>
          <w:tcPr>
            <w:tcW w:w="2551" w:type="dxa"/>
            <w:vAlign w:val="center"/>
          </w:tcPr>
          <w:p>
            <w:pPr>
              <w:pStyle w:val="14"/>
            </w:pPr>
            <w:r>
              <w:t>≥100</w:t>
            </w:r>
          </w:p>
        </w:tc>
        <w:tc>
          <w:tcPr>
            <w:tcW w:w="2268" w:type="dxa"/>
            <w:vAlign w:val="center"/>
          </w:tcPr>
          <w:p>
            <w:pPr>
              <w:pStyle w:val="14"/>
            </w:pPr>
            <w:r>
              <w:t>依据《安全生产法》《危险化学品条例》《安全生产违法行为处罚办法》等法律法规有关条款的规定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对87家规模以上工贸企业，开展执法检查</w:t>
            </w:r>
          </w:p>
        </w:tc>
        <w:tc>
          <w:tcPr>
            <w:tcW w:w="2835" w:type="dxa"/>
            <w:vAlign w:val="center"/>
          </w:tcPr>
          <w:p>
            <w:pPr>
              <w:pStyle w:val="14"/>
            </w:pPr>
            <w:r>
              <w:t>对87家规模以上工贸企业，开展执法检查</w:t>
            </w:r>
          </w:p>
        </w:tc>
        <w:tc>
          <w:tcPr>
            <w:tcW w:w="2551" w:type="dxa"/>
            <w:vAlign w:val="center"/>
          </w:tcPr>
          <w:p>
            <w:pPr>
              <w:pStyle w:val="14"/>
            </w:pPr>
            <w:r>
              <w:t>≥100</w:t>
            </w:r>
          </w:p>
        </w:tc>
        <w:tc>
          <w:tcPr>
            <w:tcW w:w="2268" w:type="dxa"/>
            <w:vAlign w:val="center"/>
          </w:tcPr>
          <w:p>
            <w:pPr>
              <w:pStyle w:val="14"/>
            </w:pPr>
            <w:r>
              <w:t>依据《安全生产法》《危险化学品条例》《安全生产违法行为处罚办法》等法律法规有关条款的规定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按时完成年度执法检查工作</w:t>
            </w:r>
          </w:p>
        </w:tc>
        <w:tc>
          <w:tcPr>
            <w:tcW w:w="2835" w:type="dxa"/>
            <w:vAlign w:val="center"/>
          </w:tcPr>
          <w:p>
            <w:pPr>
              <w:pStyle w:val="14"/>
            </w:pPr>
            <w:r>
              <w:t>按时完成年度执法检查工作</w:t>
            </w:r>
          </w:p>
        </w:tc>
        <w:tc>
          <w:tcPr>
            <w:tcW w:w="2551" w:type="dxa"/>
            <w:vAlign w:val="center"/>
          </w:tcPr>
          <w:p>
            <w:pPr>
              <w:pStyle w:val="14"/>
            </w:pPr>
            <w:r>
              <w:t>按时完成年度执法检查工作</w:t>
            </w:r>
          </w:p>
        </w:tc>
        <w:tc>
          <w:tcPr>
            <w:tcW w:w="2268" w:type="dxa"/>
            <w:vAlign w:val="center"/>
          </w:tcPr>
          <w:p>
            <w:pPr>
              <w:pStyle w:val="14"/>
            </w:pPr>
            <w:r>
              <w:t>依据《安全生产法》《危险化学品条例》《安全生产违法行为处罚办法》等法律法规有关条款的规定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w:t>
            </w:r>
          </w:p>
        </w:tc>
        <w:tc>
          <w:tcPr>
            <w:tcW w:w="2835" w:type="dxa"/>
            <w:vAlign w:val="center"/>
          </w:tcPr>
          <w:p>
            <w:pPr>
              <w:pStyle w:val="14"/>
            </w:pPr>
            <w:r>
              <w:t>成本</w:t>
            </w:r>
          </w:p>
        </w:tc>
        <w:tc>
          <w:tcPr>
            <w:tcW w:w="2551" w:type="dxa"/>
            <w:vAlign w:val="center"/>
          </w:tcPr>
          <w:p>
            <w:pPr>
              <w:pStyle w:val="14"/>
            </w:pPr>
            <w:r>
              <w:t>成本</w:t>
            </w:r>
          </w:p>
        </w:tc>
        <w:tc>
          <w:tcPr>
            <w:tcW w:w="2268" w:type="dxa"/>
            <w:vAlign w:val="center"/>
          </w:tcPr>
          <w:p>
            <w:pPr>
              <w:pStyle w:val="14"/>
            </w:pPr>
            <w:r>
              <w:t>依据《安全生产法》《危险化学品条例》《安全生产违法行为处罚办法》等法律法规有关条款的规定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加强各领域安全管理工作，促进全县全生产形势。</w:t>
            </w:r>
          </w:p>
        </w:tc>
        <w:tc>
          <w:tcPr>
            <w:tcW w:w="2835" w:type="dxa"/>
            <w:vAlign w:val="center"/>
          </w:tcPr>
          <w:p>
            <w:pPr>
              <w:pStyle w:val="14"/>
            </w:pPr>
            <w:r>
              <w:t>加强各领域安全管理工作，促进全县全生产形势。</w:t>
            </w:r>
          </w:p>
        </w:tc>
        <w:tc>
          <w:tcPr>
            <w:tcW w:w="2551" w:type="dxa"/>
            <w:vAlign w:val="center"/>
          </w:tcPr>
          <w:p>
            <w:pPr>
              <w:pStyle w:val="14"/>
            </w:pPr>
            <w:r>
              <w:t>加强各领域安全管理工作，促进全县全生产形势。</w:t>
            </w:r>
          </w:p>
        </w:tc>
        <w:tc>
          <w:tcPr>
            <w:tcW w:w="2268" w:type="dxa"/>
            <w:vAlign w:val="center"/>
          </w:tcPr>
          <w:p>
            <w:pPr>
              <w:pStyle w:val="14"/>
            </w:pPr>
            <w:r>
              <w:t>依据《安全生产法》《危险化学品条例》《安全生产违法行为处罚办法》等法律法规有关条款的规定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≥100</w:t>
            </w:r>
          </w:p>
        </w:tc>
        <w:tc>
          <w:tcPr>
            <w:tcW w:w="2268" w:type="dxa"/>
            <w:vAlign w:val="center"/>
          </w:tcPr>
          <w:p>
            <w:pPr>
              <w:pStyle w:val="14"/>
            </w:pPr>
            <w:r>
              <w:t>依据《安全生产法》《危险化学品条例》《安全生产违法行为处罚办法》等法律法规有关条款的规定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w:t>
            </w:r>
          </w:p>
        </w:tc>
        <w:tc>
          <w:tcPr>
            <w:tcW w:w="2835" w:type="dxa"/>
            <w:vAlign w:val="center"/>
          </w:tcPr>
          <w:p>
            <w:pPr>
              <w:pStyle w:val="14"/>
            </w:pPr>
            <w:r>
              <w:t>生态效益</w:t>
            </w:r>
          </w:p>
        </w:tc>
        <w:tc>
          <w:tcPr>
            <w:tcW w:w="2551" w:type="dxa"/>
            <w:vAlign w:val="center"/>
          </w:tcPr>
          <w:p>
            <w:pPr>
              <w:pStyle w:val="14"/>
            </w:pPr>
            <w:r>
              <w:t>生态效益</w:t>
            </w:r>
          </w:p>
        </w:tc>
        <w:tc>
          <w:tcPr>
            <w:tcW w:w="2268" w:type="dxa"/>
            <w:vAlign w:val="center"/>
          </w:tcPr>
          <w:p>
            <w:pPr>
              <w:pStyle w:val="14"/>
            </w:pPr>
            <w:r>
              <w:t>依据《安全生产法》《危险化学品条例》《安全生产违法行为处罚办法》等法律法规有关条款的规定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可持续响应</w:t>
            </w:r>
          </w:p>
        </w:tc>
        <w:tc>
          <w:tcPr>
            <w:tcW w:w="2835" w:type="dxa"/>
            <w:vAlign w:val="center"/>
          </w:tcPr>
          <w:p>
            <w:pPr>
              <w:pStyle w:val="14"/>
            </w:pPr>
            <w:r>
              <w:t>可持续响应</w:t>
            </w:r>
          </w:p>
        </w:tc>
        <w:tc>
          <w:tcPr>
            <w:tcW w:w="2551" w:type="dxa"/>
            <w:vAlign w:val="center"/>
          </w:tcPr>
          <w:p>
            <w:pPr>
              <w:pStyle w:val="14"/>
            </w:pPr>
            <w:r>
              <w:t>可持续响应</w:t>
            </w:r>
          </w:p>
        </w:tc>
        <w:tc>
          <w:tcPr>
            <w:tcW w:w="2268" w:type="dxa"/>
            <w:vAlign w:val="center"/>
          </w:tcPr>
          <w:p>
            <w:pPr>
              <w:pStyle w:val="14"/>
            </w:pPr>
            <w:r>
              <w:t>依据《安全生产法》《危险化学品条例》《安全生产违法行为处罚办法》等法律法规有关条款的规定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接受执法检查企业满意度</w:t>
            </w:r>
          </w:p>
        </w:tc>
        <w:tc>
          <w:tcPr>
            <w:tcW w:w="2835" w:type="dxa"/>
            <w:vAlign w:val="center"/>
          </w:tcPr>
          <w:p>
            <w:pPr>
              <w:pStyle w:val="14"/>
            </w:pPr>
            <w:r>
              <w:t>接受执法检查企业满意度</w:t>
            </w:r>
          </w:p>
        </w:tc>
        <w:tc>
          <w:tcPr>
            <w:tcW w:w="2551" w:type="dxa"/>
            <w:vAlign w:val="center"/>
          </w:tcPr>
          <w:p>
            <w:pPr>
              <w:pStyle w:val="14"/>
            </w:pPr>
            <w:r>
              <w:t>≥99</w:t>
            </w:r>
          </w:p>
        </w:tc>
        <w:tc>
          <w:tcPr>
            <w:tcW w:w="2268" w:type="dxa"/>
            <w:vAlign w:val="center"/>
          </w:tcPr>
          <w:p>
            <w:pPr>
              <w:pStyle w:val="14"/>
            </w:pPr>
            <w:r>
              <w:t>依据《安全生产法》《危险化学品条例》《安全生产违法行为处罚办法》等法律法规有关条款的规定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4、多功能举高喷射消防车项目经费绩效目标表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1.按照工作计划，完成车辆装备采购，增加装备数量</w:t>
            </w:r>
          </w:p>
          <w:p>
            <w:pPr>
              <w:pStyle w:val="14"/>
            </w:pPr>
            <w:r>
              <w:t>2.优化车辆装备结构，满足灭火及应急救援需求，挽救人民生命财产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采购消防车数量</w:t>
            </w:r>
          </w:p>
        </w:tc>
        <w:tc>
          <w:tcPr>
            <w:tcW w:w="2835" w:type="dxa"/>
            <w:vAlign w:val="center"/>
          </w:tcPr>
          <w:p>
            <w:pPr>
              <w:pStyle w:val="14"/>
            </w:pPr>
            <w:r>
              <w:t>按照车辆装备采购程序采购1部消防车</w:t>
            </w:r>
          </w:p>
        </w:tc>
        <w:tc>
          <w:tcPr>
            <w:tcW w:w="2551" w:type="dxa"/>
            <w:vAlign w:val="center"/>
          </w:tcPr>
          <w:p>
            <w:pPr>
              <w:pStyle w:val="14"/>
            </w:pPr>
            <w:r>
              <w:t>1部</w:t>
            </w:r>
          </w:p>
        </w:tc>
        <w:tc>
          <w:tcPr>
            <w:tcW w:w="2268" w:type="dxa"/>
            <w:vAlign w:val="center"/>
          </w:tcPr>
          <w:p>
            <w:pPr>
              <w:pStyle w:val="14"/>
            </w:pPr>
            <w:r>
              <w:t>关于购置高喷消防车费用的请示、合同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车辆装备器材合格率</w:t>
            </w:r>
          </w:p>
        </w:tc>
        <w:tc>
          <w:tcPr>
            <w:tcW w:w="2835" w:type="dxa"/>
            <w:vAlign w:val="center"/>
          </w:tcPr>
          <w:p>
            <w:pPr>
              <w:pStyle w:val="14"/>
            </w:pPr>
            <w:r>
              <w:t>按照城市消防站建设标准，采购的车辆装备器材质量合格率</w:t>
            </w:r>
          </w:p>
        </w:tc>
        <w:tc>
          <w:tcPr>
            <w:tcW w:w="2551" w:type="dxa"/>
            <w:vAlign w:val="center"/>
          </w:tcPr>
          <w:p>
            <w:pPr>
              <w:pStyle w:val="14"/>
            </w:pPr>
            <w:r>
              <w:t>≥100</w:t>
            </w:r>
          </w:p>
        </w:tc>
        <w:tc>
          <w:tcPr>
            <w:tcW w:w="2268" w:type="dxa"/>
            <w:vAlign w:val="center"/>
          </w:tcPr>
          <w:p>
            <w:pPr>
              <w:pStyle w:val="14"/>
            </w:pPr>
            <w:r>
              <w:t>关于购置高喷消防车费用的请示、合同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购买完成时间</w:t>
            </w:r>
          </w:p>
        </w:tc>
        <w:tc>
          <w:tcPr>
            <w:tcW w:w="2835" w:type="dxa"/>
            <w:vAlign w:val="center"/>
          </w:tcPr>
          <w:p>
            <w:pPr>
              <w:pStyle w:val="14"/>
            </w:pPr>
            <w:r>
              <w:t>按照2021年工作任务，按时完成车辆购置到位，保证消防员日常训练、执勤战备。</w:t>
            </w:r>
          </w:p>
        </w:tc>
        <w:tc>
          <w:tcPr>
            <w:tcW w:w="2551" w:type="dxa"/>
            <w:vAlign w:val="center"/>
          </w:tcPr>
          <w:p>
            <w:pPr>
              <w:pStyle w:val="14"/>
            </w:pPr>
            <w:r>
              <w:t>12月底前</w:t>
            </w:r>
          </w:p>
        </w:tc>
        <w:tc>
          <w:tcPr>
            <w:tcW w:w="2268" w:type="dxa"/>
            <w:vAlign w:val="center"/>
          </w:tcPr>
          <w:p>
            <w:pPr>
              <w:pStyle w:val="14"/>
            </w:pPr>
            <w:r>
              <w:t>关于购置高喷消防车费用的请示、合同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采购金额标准</w:t>
            </w:r>
          </w:p>
        </w:tc>
        <w:tc>
          <w:tcPr>
            <w:tcW w:w="2835" w:type="dxa"/>
            <w:vAlign w:val="center"/>
          </w:tcPr>
          <w:p>
            <w:pPr>
              <w:pStyle w:val="14"/>
            </w:pPr>
            <w:r>
              <w:t>按照消防局及行业内部同等货物价格标准</w:t>
            </w:r>
          </w:p>
        </w:tc>
        <w:tc>
          <w:tcPr>
            <w:tcW w:w="2551" w:type="dxa"/>
            <w:vAlign w:val="center"/>
          </w:tcPr>
          <w:p>
            <w:pPr>
              <w:pStyle w:val="14"/>
            </w:pPr>
            <w:r>
              <w:t>≤650万元</w:t>
            </w:r>
          </w:p>
        </w:tc>
        <w:tc>
          <w:tcPr>
            <w:tcW w:w="2268" w:type="dxa"/>
            <w:vAlign w:val="center"/>
          </w:tcPr>
          <w:p>
            <w:pPr>
              <w:pStyle w:val="14"/>
            </w:pPr>
            <w:r>
              <w:t>关于购置高喷消防车费用的请示、合同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挽回经济损失率</w:t>
            </w:r>
          </w:p>
        </w:tc>
        <w:tc>
          <w:tcPr>
            <w:tcW w:w="2835" w:type="dxa"/>
            <w:vAlign w:val="center"/>
          </w:tcPr>
          <w:p>
            <w:pPr>
              <w:pStyle w:val="14"/>
            </w:pPr>
            <w:r>
              <w:t>支队应对火灾及应急救援事故挽回抢救经济损失</w:t>
            </w:r>
          </w:p>
        </w:tc>
        <w:tc>
          <w:tcPr>
            <w:tcW w:w="2551" w:type="dxa"/>
            <w:vAlign w:val="center"/>
          </w:tcPr>
          <w:p>
            <w:pPr>
              <w:pStyle w:val="14"/>
            </w:pPr>
            <w:r>
              <w:t>≥90</w:t>
            </w:r>
          </w:p>
        </w:tc>
        <w:tc>
          <w:tcPr>
            <w:tcW w:w="2268" w:type="dxa"/>
            <w:vAlign w:val="center"/>
          </w:tcPr>
          <w:p>
            <w:pPr>
              <w:pStyle w:val="14"/>
            </w:pPr>
            <w:r>
              <w:t>关于购置高喷消防车费用的请示、合同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灾害救援率</w:t>
            </w:r>
          </w:p>
        </w:tc>
        <w:tc>
          <w:tcPr>
            <w:tcW w:w="2835" w:type="dxa"/>
            <w:vAlign w:val="center"/>
          </w:tcPr>
          <w:p>
            <w:pPr>
              <w:pStyle w:val="14"/>
            </w:pPr>
            <w:r>
              <w:t>灾害救援次数/灾害发生次数</w:t>
            </w:r>
          </w:p>
        </w:tc>
        <w:tc>
          <w:tcPr>
            <w:tcW w:w="2551" w:type="dxa"/>
            <w:vAlign w:val="center"/>
          </w:tcPr>
          <w:p>
            <w:pPr>
              <w:pStyle w:val="14"/>
            </w:pPr>
            <w:r>
              <w:t>≥90</w:t>
            </w:r>
          </w:p>
        </w:tc>
        <w:tc>
          <w:tcPr>
            <w:tcW w:w="2268" w:type="dxa"/>
            <w:vAlign w:val="center"/>
          </w:tcPr>
          <w:p>
            <w:pPr>
              <w:pStyle w:val="14"/>
            </w:pPr>
            <w:r>
              <w:t>关于购置高喷消防车费用的请示、合同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关于购置高喷消防车费用的请示、合同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响应指标</w:t>
            </w:r>
          </w:p>
        </w:tc>
        <w:tc>
          <w:tcPr>
            <w:tcW w:w="2268" w:type="dxa"/>
            <w:vAlign w:val="center"/>
          </w:tcPr>
          <w:p>
            <w:pPr>
              <w:pStyle w:val="14"/>
            </w:pPr>
            <w:r>
              <w:t>关于购置高喷消防车费用的请示、合同</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消防指导员对车辆使用情况的满意度</w:t>
            </w:r>
          </w:p>
        </w:tc>
        <w:tc>
          <w:tcPr>
            <w:tcW w:w="2551" w:type="dxa"/>
            <w:vAlign w:val="center"/>
          </w:tcPr>
          <w:p>
            <w:pPr>
              <w:pStyle w:val="14"/>
            </w:pPr>
            <w:r>
              <w:t>≥100</w:t>
            </w:r>
          </w:p>
        </w:tc>
        <w:tc>
          <w:tcPr>
            <w:tcW w:w="2268" w:type="dxa"/>
            <w:vAlign w:val="center"/>
          </w:tcPr>
          <w:p>
            <w:pPr>
              <w:pStyle w:val="14"/>
            </w:pPr>
            <w:r>
              <w:t>关于购置高喷消防车费用的请示、合同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5、防汛抗旱物资库房租赁及物资维护保养更新绩效目标表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1.在汛期和旱情来临之际能立即调出防汛抗旱物资。</w:t>
            </w:r>
          </w:p>
          <w:p>
            <w:pPr>
              <w:pStyle w:val="14"/>
            </w:pPr>
            <w:r>
              <w:t>2.防汛抗旱物资随时处于良好状态以备随时使用。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汛期来临防汛物资的使用</w:t>
            </w:r>
          </w:p>
        </w:tc>
        <w:tc>
          <w:tcPr>
            <w:tcW w:w="2835" w:type="dxa"/>
            <w:vAlign w:val="center"/>
          </w:tcPr>
          <w:p>
            <w:pPr>
              <w:pStyle w:val="14"/>
            </w:pPr>
            <w:r>
              <w:t>汛期来临防汛物资的使用</w:t>
            </w:r>
          </w:p>
        </w:tc>
        <w:tc>
          <w:tcPr>
            <w:tcW w:w="2551" w:type="dxa"/>
            <w:vAlign w:val="center"/>
          </w:tcPr>
          <w:p>
            <w:pPr>
              <w:pStyle w:val="14"/>
            </w:pPr>
            <w:r>
              <w:t>≥100</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旱情来临抗旱物资的使用</w:t>
            </w:r>
          </w:p>
        </w:tc>
        <w:tc>
          <w:tcPr>
            <w:tcW w:w="2835" w:type="dxa"/>
            <w:vAlign w:val="center"/>
          </w:tcPr>
          <w:p>
            <w:pPr>
              <w:pStyle w:val="14"/>
            </w:pPr>
            <w:r>
              <w:t>旱情来临抗旱物资的使用</w:t>
            </w:r>
          </w:p>
        </w:tc>
        <w:tc>
          <w:tcPr>
            <w:tcW w:w="2551" w:type="dxa"/>
            <w:vAlign w:val="center"/>
          </w:tcPr>
          <w:p>
            <w:pPr>
              <w:pStyle w:val="14"/>
            </w:pPr>
            <w:r>
              <w:t>≥100</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时效指标</w:t>
            </w:r>
          </w:p>
        </w:tc>
        <w:tc>
          <w:tcPr>
            <w:tcW w:w="2551" w:type="dxa"/>
            <w:vAlign w:val="center"/>
          </w:tcPr>
          <w:p>
            <w:pPr>
              <w:pStyle w:val="14"/>
            </w:pPr>
            <w:r>
              <w:t>时效指标</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成本指标</w:t>
            </w:r>
          </w:p>
        </w:tc>
        <w:tc>
          <w:tcPr>
            <w:tcW w:w="2551" w:type="dxa"/>
            <w:vAlign w:val="center"/>
          </w:tcPr>
          <w:p>
            <w:pPr>
              <w:pStyle w:val="14"/>
            </w:pPr>
            <w:r>
              <w:t>成本指标</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对防汛抗旱的处置能力和水平</w:t>
            </w:r>
          </w:p>
        </w:tc>
        <w:tc>
          <w:tcPr>
            <w:tcW w:w="2835" w:type="dxa"/>
            <w:vAlign w:val="center"/>
          </w:tcPr>
          <w:p>
            <w:pPr>
              <w:pStyle w:val="14"/>
            </w:pPr>
            <w:r>
              <w:t>对防汛抗旱的处置能力和水平</w:t>
            </w:r>
          </w:p>
        </w:tc>
        <w:tc>
          <w:tcPr>
            <w:tcW w:w="2551" w:type="dxa"/>
            <w:vAlign w:val="center"/>
          </w:tcPr>
          <w:p>
            <w:pPr>
              <w:pStyle w:val="14"/>
            </w:pPr>
            <w:r>
              <w:t>对防汛抗旱的处置能力和水平</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社会效益</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w:t>
            </w:r>
          </w:p>
        </w:tc>
        <w:tc>
          <w:tcPr>
            <w:tcW w:w="2835" w:type="dxa"/>
            <w:vAlign w:val="center"/>
          </w:tcPr>
          <w:p>
            <w:pPr>
              <w:pStyle w:val="14"/>
            </w:pPr>
            <w:r>
              <w:t>生态效益</w:t>
            </w:r>
          </w:p>
        </w:tc>
        <w:tc>
          <w:tcPr>
            <w:tcW w:w="2551" w:type="dxa"/>
            <w:vAlign w:val="center"/>
          </w:tcPr>
          <w:p>
            <w:pPr>
              <w:pStyle w:val="14"/>
            </w:pPr>
            <w:r>
              <w:t>生态效益</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可持续响应</w:t>
            </w:r>
          </w:p>
        </w:tc>
        <w:tc>
          <w:tcPr>
            <w:tcW w:w="2835" w:type="dxa"/>
            <w:vAlign w:val="center"/>
          </w:tcPr>
          <w:p>
            <w:pPr>
              <w:pStyle w:val="14"/>
            </w:pPr>
            <w:r>
              <w:t>可持续响应</w:t>
            </w:r>
          </w:p>
        </w:tc>
        <w:tc>
          <w:tcPr>
            <w:tcW w:w="2551" w:type="dxa"/>
            <w:vAlign w:val="center"/>
          </w:tcPr>
          <w:p>
            <w:pPr>
              <w:pStyle w:val="14"/>
            </w:pPr>
            <w:r>
              <w:t>可持续响应</w:t>
            </w:r>
          </w:p>
        </w:tc>
        <w:tc>
          <w:tcPr>
            <w:tcW w:w="2268" w:type="dxa"/>
            <w:vAlign w:val="center"/>
          </w:tcPr>
          <w:p>
            <w:pPr>
              <w:pStyle w:val="14"/>
            </w:pPr>
            <w:r>
              <w:t>邢汛【2016】59号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防汛抗旱物资使用满意度</w:t>
            </w:r>
          </w:p>
        </w:tc>
        <w:tc>
          <w:tcPr>
            <w:tcW w:w="2835" w:type="dxa"/>
            <w:vAlign w:val="center"/>
          </w:tcPr>
          <w:p>
            <w:pPr>
              <w:pStyle w:val="14"/>
            </w:pPr>
            <w:r>
              <w:t>防汛抗旱物资使用满意度</w:t>
            </w:r>
          </w:p>
        </w:tc>
        <w:tc>
          <w:tcPr>
            <w:tcW w:w="2551" w:type="dxa"/>
            <w:vAlign w:val="center"/>
          </w:tcPr>
          <w:p>
            <w:pPr>
              <w:pStyle w:val="14"/>
            </w:pPr>
            <w:r>
              <w:t>≥99</w:t>
            </w:r>
          </w:p>
        </w:tc>
        <w:tc>
          <w:tcPr>
            <w:tcW w:w="2268" w:type="dxa"/>
            <w:vAlign w:val="center"/>
          </w:tcPr>
          <w:p>
            <w:pPr>
              <w:pStyle w:val="14"/>
            </w:pPr>
            <w:r>
              <w:t>邢汛【2016】59号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6、冀财建/2022/233号 农房保险绩效目标表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1."所有在保房屋在受到自然灾害（主要包括火灾、爆炸、飞行物体及空中运行物体坠落等意外事故，雷击、暴雨、洪水、风雹、暴雪、地质塌陷等自然灾害）造成的农村住房倒塌或损坏时予以赔偿。</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全县农房</w:t>
            </w:r>
          </w:p>
        </w:tc>
        <w:tc>
          <w:tcPr>
            <w:tcW w:w="2835" w:type="dxa"/>
            <w:vAlign w:val="center"/>
          </w:tcPr>
          <w:p>
            <w:pPr>
              <w:pStyle w:val="14"/>
            </w:pPr>
            <w:r>
              <w:t>全县农房</w:t>
            </w:r>
          </w:p>
        </w:tc>
        <w:tc>
          <w:tcPr>
            <w:tcW w:w="2551" w:type="dxa"/>
            <w:vAlign w:val="center"/>
          </w:tcPr>
          <w:p>
            <w:pPr>
              <w:pStyle w:val="14"/>
            </w:pPr>
            <w:r>
              <w:t>全县农房</w:t>
            </w:r>
          </w:p>
        </w:tc>
        <w:tc>
          <w:tcPr>
            <w:tcW w:w="2268" w:type="dxa"/>
            <w:vAlign w:val="center"/>
          </w:tcPr>
          <w:p>
            <w:pPr>
              <w:pStyle w:val="14"/>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农房保险参保</w:t>
            </w:r>
          </w:p>
        </w:tc>
        <w:tc>
          <w:tcPr>
            <w:tcW w:w="2835" w:type="dxa"/>
            <w:vAlign w:val="center"/>
          </w:tcPr>
          <w:p>
            <w:pPr>
              <w:pStyle w:val="14"/>
            </w:pPr>
            <w:r>
              <w:t>农房保险参保</w:t>
            </w:r>
          </w:p>
        </w:tc>
        <w:tc>
          <w:tcPr>
            <w:tcW w:w="2551" w:type="dxa"/>
            <w:vAlign w:val="center"/>
          </w:tcPr>
          <w:p>
            <w:pPr>
              <w:pStyle w:val="14"/>
            </w:pPr>
            <w:r>
              <w:t>农房保险参保</w:t>
            </w:r>
          </w:p>
        </w:tc>
        <w:tc>
          <w:tcPr>
            <w:tcW w:w="2268" w:type="dxa"/>
            <w:vAlign w:val="center"/>
          </w:tcPr>
          <w:p>
            <w:pPr>
              <w:pStyle w:val="14"/>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年内参加农房保险覆盖率</w:t>
            </w:r>
          </w:p>
        </w:tc>
        <w:tc>
          <w:tcPr>
            <w:tcW w:w="2835" w:type="dxa"/>
            <w:vAlign w:val="center"/>
          </w:tcPr>
          <w:p>
            <w:pPr>
              <w:pStyle w:val="14"/>
            </w:pPr>
            <w:r>
              <w:t>按规定年内完成农房参保数量</w:t>
            </w:r>
          </w:p>
        </w:tc>
        <w:tc>
          <w:tcPr>
            <w:tcW w:w="2551" w:type="dxa"/>
            <w:vAlign w:val="center"/>
          </w:tcPr>
          <w:p>
            <w:pPr>
              <w:pStyle w:val="14"/>
            </w:pPr>
            <w:r>
              <w:t>≥95</w:t>
            </w:r>
          </w:p>
        </w:tc>
        <w:tc>
          <w:tcPr>
            <w:tcW w:w="2268" w:type="dxa"/>
            <w:vAlign w:val="center"/>
          </w:tcPr>
          <w:p>
            <w:pPr>
              <w:pStyle w:val="14"/>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w:t>
            </w:r>
          </w:p>
        </w:tc>
        <w:tc>
          <w:tcPr>
            <w:tcW w:w="2551" w:type="dxa"/>
            <w:vAlign w:val="center"/>
          </w:tcPr>
          <w:p>
            <w:pPr>
              <w:pStyle w:val="14"/>
            </w:pPr>
            <w:r>
              <w:t>成本</w:t>
            </w:r>
          </w:p>
        </w:tc>
        <w:tc>
          <w:tcPr>
            <w:tcW w:w="2268" w:type="dxa"/>
            <w:vAlign w:val="center"/>
          </w:tcPr>
          <w:p>
            <w:pPr>
              <w:pStyle w:val="14"/>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减少受灾人民经济损失</w:t>
            </w:r>
          </w:p>
        </w:tc>
        <w:tc>
          <w:tcPr>
            <w:tcW w:w="2835" w:type="dxa"/>
            <w:vAlign w:val="center"/>
          </w:tcPr>
          <w:p>
            <w:pPr>
              <w:pStyle w:val="14"/>
            </w:pPr>
            <w:r>
              <w:t>减少受灾人民经济损失</w:t>
            </w:r>
          </w:p>
        </w:tc>
        <w:tc>
          <w:tcPr>
            <w:tcW w:w="2551" w:type="dxa"/>
            <w:vAlign w:val="center"/>
          </w:tcPr>
          <w:p>
            <w:pPr>
              <w:pStyle w:val="14"/>
            </w:pPr>
            <w:r>
              <w:t>减少受灾人民经济损失</w:t>
            </w:r>
          </w:p>
        </w:tc>
        <w:tc>
          <w:tcPr>
            <w:tcW w:w="2268" w:type="dxa"/>
            <w:vAlign w:val="center"/>
          </w:tcPr>
          <w:p>
            <w:pPr>
              <w:pStyle w:val="14"/>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参保农房因自然灾害损坏、倒塌等后予以一定赔偿</w:t>
            </w:r>
          </w:p>
        </w:tc>
        <w:tc>
          <w:tcPr>
            <w:tcW w:w="2835" w:type="dxa"/>
            <w:vAlign w:val="center"/>
          </w:tcPr>
          <w:p>
            <w:pPr>
              <w:pStyle w:val="14"/>
            </w:pPr>
            <w:r>
              <w:t>完成受灾农房赔偿率</w:t>
            </w:r>
          </w:p>
        </w:tc>
        <w:tc>
          <w:tcPr>
            <w:tcW w:w="2551" w:type="dxa"/>
            <w:vAlign w:val="center"/>
          </w:tcPr>
          <w:p>
            <w:pPr>
              <w:pStyle w:val="14"/>
            </w:pPr>
            <w:r>
              <w:t>≥100</w:t>
            </w:r>
          </w:p>
        </w:tc>
        <w:tc>
          <w:tcPr>
            <w:tcW w:w="2268" w:type="dxa"/>
            <w:vAlign w:val="center"/>
          </w:tcPr>
          <w:p>
            <w:pPr>
              <w:pStyle w:val="14"/>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农村住房得到有效保障</w:t>
            </w:r>
          </w:p>
        </w:tc>
        <w:tc>
          <w:tcPr>
            <w:tcW w:w="2835" w:type="dxa"/>
            <w:vAlign w:val="center"/>
          </w:tcPr>
          <w:p>
            <w:pPr>
              <w:pStyle w:val="14"/>
            </w:pPr>
            <w:r>
              <w:t>农村住房得到有效保障</w:t>
            </w:r>
          </w:p>
        </w:tc>
        <w:tc>
          <w:tcPr>
            <w:tcW w:w="2551" w:type="dxa"/>
            <w:vAlign w:val="center"/>
          </w:tcPr>
          <w:p>
            <w:pPr>
              <w:pStyle w:val="14"/>
            </w:pPr>
            <w:r>
              <w:t>长期</w:t>
            </w:r>
          </w:p>
        </w:tc>
        <w:tc>
          <w:tcPr>
            <w:tcW w:w="2268" w:type="dxa"/>
            <w:vAlign w:val="center"/>
          </w:tcPr>
          <w:p>
            <w:pPr>
              <w:pStyle w:val="14"/>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≥99</w:t>
            </w:r>
          </w:p>
        </w:tc>
        <w:tc>
          <w:tcPr>
            <w:tcW w:w="2268" w:type="dxa"/>
            <w:vAlign w:val="center"/>
          </w:tcPr>
          <w:p>
            <w:pPr>
              <w:pStyle w:val="14"/>
            </w:pPr>
            <w:r>
              <w:t>冀财建/2022/233号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7、隐患排查服务费绩效目标表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1.聘请专家对13家重点监管企业，67家危险化学品企业（含加油站）隐患排查。</w:t>
            </w:r>
          </w:p>
          <w:p>
            <w:pPr>
              <w:pStyle w:val="14"/>
            </w:pPr>
            <w:r>
              <w:t>2.聘请专家对92家规上企业开展隐患排查。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聘请专家对重点监管企业，67家危险化学品企业（含加油站）隐患排查。</w:t>
            </w:r>
          </w:p>
        </w:tc>
        <w:tc>
          <w:tcPr>
            <w:tcW w:w="2835" w:type="dxa"/>
            <w:vAlign w:val="center"/>
          </w:tcPr>
          <w:p>
            <w:pPr>
              <w:pStyle w:val="14"/>
            </w:pPr>
            <w:r>
              <w:t>聘请专家对重点监管企业，67家危险化学品企业（含加油站）隐患排查。</w:t>
            </w:r>
          </w:p>
        </w:tc>
        <w:tc>
          <w:tcPr>
            <w:tcW w:w="2551" w:type="dxa"/>
            <w:vAlign w:val="center"/>
          </w:tcPr>
          <w:p>
            <w:pPr>
              <w:pStyle w:val="14"/>
            </w:pPr>
            <w:r>
              <w:t>≥100</w:t>
            </w:r>
          </w:p>
        </w:tc>
        <w:tc>
          <w:tcPr>
            <w:tcW w:w="2268" w:type="dxa"/>
            <w:vAlign w:val="center"/>
          </w:tcPr>
          <w:p>
            <w:pPr>
              <w:pStyle w:val="14"/>
            </w:pPr>
            <w:r>
              <w:t>根据《邢台市党政领导干部安全生产责任制实施细则》的通知</w:t>
            </w:r>
          </w:p>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聘请专家对87家规上企业开展隐患排查。</w:t>
            </w:r>
          </w:p>
        </w:tc>
        <w:tc>
          <w:tcPr>
            <w:tcW w:w="2835" w:type="dxa"/>
            <w:vAlign w:val="center"/>
          </w:tcPr>
          <w:p>
            <w:pPr>
              <w:pStyle w:val="14"/>
            </w:pPr>
            <w:r>
              <w:t>聘请专家对87家规上企业开展隐患排查。</w:t>
            </w:r>
          </w:p>
        </w:tc>
        <w:tc>
          <w:tcPr>
            <w:tcW w:w="2551" w:type="dxa"/>
            <w:vAlign w:val="center"/>
          </w:tcPr>
          <w:p>
            <w:pPr>
              <w:pStyle w:val="14"/>
            </w:pPr>
            <w:r>
              <w:t>≥100</w:t>
            </w:r>
          </w:p>
        </w:tc>
        <w:tc>
          <w:tcPr>
            <w:tcW w:w="2268" w:type="dxa"/>
            <w:vAlign w:val="center"/>
          </w:tcPr>
          <w:p>
            <w:pPr>
              <w:pStyle w:val="14"/>
            </w:pPr>
            <w:r>
              <w:t>根据《邢台市党政领导干部安全生产责任制实施细则》的通知</w:t>
            </w:r>
          </w:p>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年内完成154家企业的隐患排查治理</w:t>
            </w:r>
          </w:p>
        </w:tc>
        <w:tc>
          <w:tcPr>
            <w:tcW w:w="2835" w:type="dxa"/>
            <w:vAlign w:val="center"/>
          </w:tcPr>
          <w:p>
            <w:pPr>
              <w:pStyle w:val="14"/>
            </w:pPr>
            <w:r>
              <w:t>年内完成154家企业的隐患排查治理</w:t>
            </w:r>
          </w:p>
        </w:tc>
        <w:tc>
          <w:tcPr>
            <w:tcW w:w="2551" w:type="dxa"/>
            <w:vAlign w:val="center"/>
          </w:tcPr>
          <w:p>
            <w:pPr>
              <w:pStyle w:val="14"/>
            </w:pPr>
            <w:r>
              <w:t>≥100</w:t>
            </w:r>
          </w:p>
        </w:tc>
        <w:tc>
          <w:tcPr>
            <w:tcW w:w="2268" w:type="dxa"/>
            <w:vAlign w:val="center"/>
          </w:tcPr>
          <w:p>
            <w:pPr>
              <w:pStyle w:val="14"/>
            </w:pPr>
            <w:r>
              <w:t>根据《邢台市党政领导干部安全生产责任制实施细则》的通知</w:t>
            </w:r>
          </w:p>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成本指标</w:t>
            </w:r>
          </w:p>
        </w:tc>
        <w:tc>
          <w:tcPr>
            <w:tcW w:w="2551" w:type="dxa"/>
            <w:vAlign w:val="center"/>
          </w:tcPr>
          <w:p>
            <w:pPr>
              <w:pStyle w:val="14"/>
            </w:pPr>
            <w:r>
              <w:t>成本指标</w:t>
            </w:r>
          </w:p>
        </w:tc>
        <w:tc>
          <w:tcPr>
            <w:tcW w:w="2268" w:type="dxa"/>
            <w:vAlign w:val="center"/>
          </w:tcPr>
          <w:p>
            <w:pPr>
              <w:pStyle w:val="14"/>
            </w:pPr>
            <w:r>
              <w:t>根据《邢台市党政领导干部安全生产责任制实施细则》的通知</w:t>
            </w:r>
          </w:p>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根据《邢台市党政领导干部安全生产责任制实施细则》的通知</w:t>
            </w:r>
          </w:p>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彻底排查问题隐患，确保重点行业领域稳定</w:t>
            </w:r>
          </w:p>
        </w:tc>
        <w:tc>
          <w:tcPr>
            <w:tcW w:w="2835" w:type="dxa"/>
            <w:vAlign w:val="center"/>
          </w:tcPr>
          <w:p>
            <w:pPr>
              <w:pStyle w:val="14"/>
            </w:pPr>
            <w:r>
              <w:t>彻底排查问题隐患，确保重点行业领域稳定</w:t>
            </w:r>
          </w:p>
        </w:tc>
        <w:tc>
          <w:tcPr>
            <w:tcW w:w="2551" w:type="dxa"/>
            <w:vAlign w:val="center"/>
          </w:tcPr>
          <w:p>
            <w:pPr>
              <w:pStyle w:val="14"/>
            </w:pPr>
            <w:r>
              <w:t>中长期</w:t>
            </w:r>
          </w:p>
        </w:tc>
        <w:tc>
          <w:tcPr>
            <w:tcW w:w="2268" w:type="dxa"/>
            <w:vAlign w:val="center"/>
          </w:tcPr>
          <w:p>
            <w:pPr>
              <w:pStyle w:val="14"/>
            </w:pPr>
            <w:r>
              <w:t>根据《邢台市党政领导干部安全生产责任制实施细则》的通知</w:t>
            </w:r>
          </w:p>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根据《邢台市党政领导干部安全生产责任制实施细则》的通知</w:t>
            </w:r>
          </w:p>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≥100</w:t>
            </w:r>
          </w:p>
        </w:tc>
        <w:tc>
          <w:tcPr>
            <w:tcW w:w="2268" w:type="dxa"/>
            <w:vAlign w:val="center"/>
          </w:tcPr>
          <w:p>
            <w:pPr>
              <w:pStyle w:val="14"/>
            </w:pPr>
            <w:r>
              <w:t>根据《邢台市党政领导干部安全生产责任制实施细则》的通知</w:t>
            </w:r>
          </w:p>
          <w:p>
            <w:pPr>
              <w:pStyle w:val="14"/>
            </w:pPr>
            <w:r>
              <w:t>邢办字【2019】34号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帮助企业排查隐患企业满意度</w:t>
            </w:r>
          </w:p>
        </w:tc>
        <w:tc>
          <w:tcPr>
            <w:tcW w:w="2835" w:type="dxa"/>
            <w:vAlign w:val="center"/>
          </w:tcPr>
          <w:p>
            <w:pPr>
              <w:pStyle w:val="14"/>
            </w:pPr>
            <w:r>
              <w:t>帮助企业排查隐患企业满意度</w:t>
            </w:r>
          </w:p>
        </w:tc>
        <w:tc>
          <w:tcPr>
            <w:tcW w:w="2551" w:type="dxa"/>
            <w:vAlign w:val="center"/>
          </w:tcPr>
          <w:p>
            <w:pPr>
              <w:pStyle w:val="14"/>
            </w:pPr>
            <w:r>
              <w:t>≥99</w:t>
            </w:r>
          </w:p>
        </w:tc>
        <w:tc>
          <w:tcPr>
            <w:tcW w:w="2268" w:type="dxa"/>
            <w:vAlign w:val="center"/>
          </w:tcPr>
          <w:p>
            <w:pPr>
              <w:pStyle w:val="14"/>
            </w:pPr>
            <w:r>
              <w:t>根据《邢台市党政领导干部安全生产责任制实施细则》的通知</w:t>
            </w:r>
          </w:p>
          <w:p>
            <w:pPr>
              <w:pStyle w:val="14"/>
            </w:pPr>
            <w:r>
              <w:t>邢办字【2019】34号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8、政策性农房保险资金绩效目标表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1.所有在保房屋在受到自然灾害（主要包括火灾、爆炸、飞行物体及空中运行物体坠落等意外事故，雷击、暴雨、洪水、风雹、暴雪、地质塌陷等自然灾害）造成的农村住房倒塌或损坏时予以赔偿。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全县农房</w:t>
            </w:r>
          </w:p>
        </w:tc>
        <w:tc>
          <w:tcPr>
            <w:tcW w:w="2835" w:type="dxa"/>
            <w:vAlign w:val="center"/>
          </w:tcPr>
          <w:p>
            <w:pPr>
              <w:pStyle w:val="14"/>
            </w:pPr>
            <w:r>
              <w:t>全县农房</w:t>
            </w:r>
          </w:p>
        </w:tc>
        <w:tc>
          <w:tcPr>
            <w:tcW w:w="2551" w:type="dxa"/>
            <w:vAlign w:val="center"/>
          </w:tcPr>
          <w:p>
            <w:pPr>
              <w:pStyle w:val="14"/>
            </w:pPr>
            <w:r>
              <w:t>全县农房</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农房保险参保</w:t>
            </w:r>
          </w:p>
        </w:tc>
        <w:tc>
          <w:tcPr>
            <w:tcW w:w="2835" w:type="dxa"/>
            <w:vAlign w:val="center"/>
          </w:tcPr>
          <w:p>
            <w:pPr>
              <w:pStyle w:val="14"/>
            </w:pPr>
            <w:r>
              <w:t>农房保险参保</w:t>
            </w:r>
          </w:p>
        </w:tc>
        <w:tc>
          <w:tcPr>
            <w:tcW w:w="2551" w:type="dxa"/>
            <w:vAlign w:val="center"/>
          </w:tcPr>
          <w:p>
            <w:pPr>
              <w:pStyle w:val="14"/>
            </w:pPr>
            <w:r>
              <w:t>农房保险参保</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年内参加农房保险覆盖率</w:t>
            </w:r>
          </w:p>
        </w:tc>
        <w:tc>
          <w:tcPr>
            <w:tcW w:w="2835" w:type="dxa"/>
            <w:vAlign w:val="center"/>
          </w:tcPr>
          <w:p>
            <w:pPr>
              <w:pStyle w:val="14"/>
            </w:pPr>
            <w:r>
              <w:t>按规定年内完成农房参保数量</w:t>
            </w:r>
          </w:p>
        </w:tc>
        <w:tc>
          <w:tcPr>
            <w:tcW w:w="2551" w:type="dxa"/>
            <w:vAlign w:val="center"/>
          </w:tcPr>
          <w:p>
            <w:pPr>
              <w:pStyle w:val="14"/>
            </w:pPr>
            <w:r>
              <w:t>≥95</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成本</w:t>
            </w:r>
          </w:p>
        </w:tc>
        <w:tc>
          <w:tcPr>
            <w:tcW w:w="2551" w:type="dxa"/>
            <w:vAlign w:val="center"/>
          </w:tcPr>
          <w:p>
            <w:pPr>
              <w:pStyle w:val="14"/>
            </w:pPr>
            <w:r>
              <w:t>成本</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减少受灾人民经济损失</w:t>
            </w:r>
          </w:p>
        </w:tc>
        <w:tc>
          <w:tcPr>
            <w:tcW w:w="2835" w:type="dxa"/>
            <w:vAlign w:val="center"/>
          </w:tcPr>
          <w:p>
            <w:pPr>
              <w:pStyle w:val="14"/>
            </w:pPr>
            <w:r>
              <w:t>减少受灾人民经济损失</w:t>
            </w:r>
          </w:p>
        </w:tc>
        <w:tc>
          <w:tcPr>
            <w:tcW w:w="2551" w:type="dxa"/>
            <w:vAlign w:val="center"/>
          </w:tcPr>
          <w:p>
            <w:pPr>
              <w:pStyle w:val="14"/>
            </w:pPr>
            <w:r>
              <w:t>减少受灾人民经济损失</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参保农房因自然灾害损坏、倒塌等后予以一定赔偿</w:t>
            </w:r>
          </w:p>
        </w:tc>
        <w:tc>
          <w:tcPr>
            <w:tcW w:w="2835" w:type="dxa"/>
            <w:vAlign w:val="center"/>
          </w:tcPr>
          <w:p>
            <w:pPr>
              <w:pStyle w:val="14"/>
            </w:pPr>
            <w:r>
              <w:t>完成受灾农房赔偿率</w:t>
            </w:r>
          </w:p>
        </w:tc>
        <w:tc>
          <w:tcPr>
            <w:tcW w:w="2551" w:type="dxa"/>
            <w:vAlign w:val="center"/>
          </w:tcPr>
          <w:p>
            <w:pPr>
              <w:pStyle w:val="14"/>
            </w:pPr>
            <w:r>
              <w:t>≥100</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农村住房得到有效保障</w:t>
            </w:r>
          </w:p>
        </w:tc>
        <w:tc>
          <w:tcPr>
            <w:tcW w:w="2835" w:type="dxa"/>
            <w:vAlign w:val="center"/>
          </w:tcPr>
          <w:p>
            <w:pPr>
              <w:pStyle w:val="14"/>
            </w:pPr>
            <w:r>
              <w:t>农村住房得到有效保障</w:t>
            </w:r>
          </w:p>
        </w:tc>
        <w:tc>
          <w:tcPr>
            <w:tcW w:w="2551" w:type="dxa"/>
            <w:vAlign w:val="center"/>
          </w:tcPr>
          <w:p>
            <w:pPr>
              <w:pStyle w:val="14"/>
            </w:pPr>
            <w:r>
              <w:t>长期</w:t>
            </w:r>
          </w:p>
        </w:tc>
        <w:tc>
          <w:tcPr>
            <w:tcW w:w="2268" w:type="dxa"/>
            <w:vAlign w:val="center"/>
          </w:tcPr>
          <w:p>
            <w:pPr>
              <w:pStyle w:val="14"/>
            </w:pPr>
            <w:r>
              <w:t>冀应急【2020】24号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农户满意度</w:t>
            </w:r>
          </w:p>
        </w:tc>
        <w:tc>
          <w:tcPr>
            <w:tcW w:w="2835" w:type="dxa"/>
            <w:vAlign w:val="center"/>
          </w:tcPr>
          <w:p>
            <w:pPr>
              <w:pStyle w:val="14"/>
            </w:pPr>
            <w:r>
              <w:t>农户满意度</w:t>
            </w:r>
          </w:p>
        </w:tc>
        <w:tc>
          <w:tcPr>
            <w:tcW w:w="2551" w:type="dxa"/>
            <w:vAlign w:val="center"/>
          </w:tcPr>
          <w:p>
            <w:pPr>
              <w:pStyle w:val="14"/>
            </w:pPr>
            <w:r>
              <w:t>≥99</w:t>
            </w:r>
          </w:p>
        </w:tc>
        <w:tc>
          <w:tcPr>
            <w:tcW w:w="2268" w:type="dxa"/>
            <w:vAlign w:val="center"/>
          </w:tcPr>
          <w:p>
            <w:pPr>
              <w:pStyle w:val="14"/>
            </w:pPr>
            <w:r>
              <w:t>冀应急【2020】24号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9、自然灾害风险普查资金绩效目标表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1.形成17个乡镇行政区所有公共服务设施单体（及行政单元）调查数据及空间信息图层。</w:t>
            </w:r>
          </w:p>
          <w:p>
            <w:pPr>
              <w:pStyle w:val="14"/>
            </w:pPr>
            <w:r>
              <w:t>2.完成17个乡镇行政区年度自然灾害调查数据集、历史灾害事件调查数据集；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对全县17个乡镇行政区风险普查</w:t>
            </w:r>
          </w:p>
        </w:tc>
        <w:tc>
          <w:tcPr>
            <w:tcW w:w="2835" w:type="dxa"/>
            <w:vAlign w:val="center"/>
          </w:tcPr>
          <w:p>
            <w:pPr>
              <w:pStyle w:val="14"/>
            </w:pPr>
            <w:r>
              <w:t>对全县17个乡镇行政区风险普查</w:t>
            </w:r>
          </w:p>
        </w:tc>
        <w:tc>
          <w:tcPr>
            <w:tcW w:w="2551" w:type="dxa"/>
            <w:vAlign w:val="center"/>
          </w:tcPr>
          <w:p>
            <w:pPr>
              <w:pStyle w:val="14"/>
            </w:pPr>
            <w:r>
              <w:t>对全县17个乡镇行政区风险普查</w:t>
            </w:r>
          </w:p>
        </w:tc>
        <w:tc>
          <w:tcPr>
            <w:tcW w:w="2268" w:type="dxa"/>
            <w:vAlign w:val="center"/>
          </w:tcPr>
          <w:p>
            <w:pPr>
              <w:pStyle w:val="14"/>
            </w:pPr>
            <w:r>
              <w:t>国灾险普办发【2021】11号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建立空间信息图</w:t>
            </w:r>
          </w:p>
        </w:tc>
        <w:tc>
          <w:tcPr>
            <w:tcW w:w="2835" w:type="dxa"/>
            <w:vAlign w:val="center"/>
          </w:tcPr>
          <w:p>
            <w:pPr>
              <w:pStyle w:val="14"/>
            </w:pPr>
            <w:r>
              <w:t>建立空间信息图</w:t>
            </w:r>
          </w:p>
        </w:tc>
        <w:tc>
          <w:tcPr>
            <w:tcW w:w="2551" w:type="dxa"/>
            <w:vAlign w:val="center"/>
          </w:tcPr>
          <w:p>
            <w:pPr>
              <w:pStyle w:val="14"/>
            </w:pPr>
            <w:r>
              <w:t>建立空间信息图</w:t>
            </w:r>
          </w:p>
        </w:tc>
        <w:tc>
          <w:tcPr>
            <w:tcW w:w="2268" w:type="dxa"/>
            <w:vAlign w:val="center"/>
          </w:tcPr>
          <w:p>
            <w:pPr>
              <w:pStyle w:val="14"/>
            </w:pPr>
            <w:r>
              <w:t>国灾险普办发【2021】11号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全县灾害风险隐患摸排完成率</w:t>
            </w:r>
          </w:p>
        </w:tc>
        <w:tc>
          <w:tcPr>
            <w:tcW w:w="2835" w:type="dxa"/>
            <w:vAlign w:val="center"/>
          </w:tcPr>
          <w:p>
            <w:pPr>
              <w:pStyle w:val="14"/>
            </w:pPr>
            <w:r>
              <w:t>各项灾害排查工作在计划内完成的比例</w:t>
            </w:r>
          </w:p>
        </w:tc>
        <w:tc>
          <w:tcPr>
            <w:tcW w:w="2551" w:type="dxa"/>
            <w:vAlign w:val="center"/>
          </w:tcPr>
          <w:p>
            <w:pPr>
              <w:pStyle w:val="14"/>
            </w:pPr>
            <w:r>
              <w:t>≥95</w:t>
            </w:r>
          </w:p>
        </w:tc>
        <w:tc>
          <w:tcPr>
            <w:tcW w:w="2268" w:type="dxa"/>
            <w:vAlign w:val="center"/>
          </w:tcPr>
          <w:p>
            <w:pPr>
              <w:pStyle w:val="14"/>
            </w:pPr>
            <w:r>
              <w:t>国灾险普办发【2021】11号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聘请专家成本</w:t>
            </w:r>
          </w:p>
        </w:tc>
        <w:tc>
          <w:tcPr>
            <w:tcW w:w="2835" w:type="dxa"/>
            <w:vAlign w:val="center"/>
          </w:tcPr>
          <w:p>
            <w:pPr>
              <w:pStyle w:val="14"/>
            </w:pPr>
            <w:r>
              <w:t>聘请专家排查风险隐患的成本</w:t>
            </w:r>
          </w:p>
        </w:tc>
        <w:tc>
          <w:tcPr>
            <w:tcW w:w="2551" w:type="dxa"/>
            <w:vAlign w:val="center"/>
          </w:tcPr>
          <w:p>
            <w:pPr>
              <w:pStyle w:val="14"/>
            </w:pPr>
            <w:r>
              <w:t>300000</w:t>
            </w:r>
          </w:p>
        </w:tc>
        <w:tc>
          <w:tcPr>
            <w:tcW w:w="2268" w:type="dxa"/>
            <w:vAlign w:val="center"/>
          </w:tcPr>
          <w:p>
            <w:pPr>
              <w:pStyle w:val="14"/>
            </w:pPr>
            <w:r>
              <w:t>国灾险普办发【2021】11号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减少人民财产损失</w:t>
            </w:r>
          </w:p>
        </w:tc>
        <w:tc>
          <w:tcPr>
            <w:tcW w:w="2835" w:type="dxa"/>
            <w:vAlign w:val="center"/>
          </w:tcPr>
          <w:p>
            <w:pPr>
              <w:pStyle w:val="14"/>
            </w:pPr>
            <w:r>
              <w:t>减少人民财产损失</w:t>
            </w:r>
          </w:p>
        </w:tc>
        <w:tc>
          <w:tcPr>
            <w:tcW w:w="2551" w:type="dxa"/>
            <w:vAlign w:val="center"/>
          </w:tcPr>
          <w:p>
            <w:pPr>
              <w:pStyle w:val="14"/>
            </w:pPr>
            <w:r>
              <w:t>减少人民财产损失</w:t>
            </w:r>
          </w:p>
        </w:tc>
        <w:tc>
          <w:tcPr>
            <w:tcW w:w="2268" w:type="dxa"/>
            <w:vAlign w:val="center"/>
          </w:tcPr>
          <w:p>
            <w:pPr>
              <w:pStyle w:val="14"/>
            </w:pPr>
            <w:r>
              <w:t>国灾险普办发【2021】11号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人为自然灾害发生数</w:t>
            </w:r>
          </w:p>
        </w:tc>
        <w:tc>
          <w:tcPr>
            <w:tcW w:w="2835" w:type="dxa"/>
            <w:vAlign w:val="center"/>
          </w:tcPr>
          <w:p>
            <w:pPr>
              <w:pStyle w:val="14"/>
            </w:pPr>
            <w:r>
              <w:t>人为自然灾害发生数</w:t>
            </w:r>
          </w:p>
        </w:tc>
        <w:tc>
          <w:tcPr>
            <w:tcW w:w="2551" w:type="dxa"/>
            <w:vAlign w:val="center"/>
          </w:tcPr>
          <w:p>
            <w:pPr>
              <w:pStyle w:val="14"/>
            </w:pPr>
            <w:r>
              <w:t>0</w:t>
            </w:r>
          </w:p>
        </w:tc>
        <w:tc>
          <w:tcPr>
            <w:tcW w:w="2268" w:type="dxa"/>
            <w:vAlign w:val="center"/>
          </w:tcPr>
          <w:p>
            <w:pPr>
              <w:pStyle w:val="14"/>
            </w:pPr>
            <w:r>
              <w:t>国灾险普办发【2021】11号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减少环境污染</w:t>
            </w:r>
          </w:p>
        </w:tc>
        <w:tc>
          <w:tcPr>
            <w:tcW w:w="2835" w:type="dxa"/>
            <w:vAlign w:val="center"/>
          </w:tcPr>
          <w:p>
            <w:pPr>
              <w:pStyle w:val="14"/>
            </w:pPr>
            <w:r>
              <w:t>减少环境污染</w:t>
            </w:r>
          </w:p>
        </w:tc>
        <w:tc>
          <w:tcPr>
            <w:tcW w:w="2551" w:type="dxa"/>
            <w:vAlign w:val="center"/>
          </w:tcPr>
          <w:p>
            <w:pPr>
              <w:pStyle w:val="14"/>
            </w:pPr>
            <w:r>
              <w:t>减少环境污染</w:t>
            </w:r>
          </w:p>
        </w:tc>
        <w:tc>
          <w:tcPr>
            <w:tcW w:w="2268" w:type="dxa"/>
            <w:vAlign w:val="center"/>
          </w:tcPr>
          <w:p>
            <w:pPr>
              <w:pStyle w:val="14"/>
            </w:pPr>
            <w:r>
              <w:t>国灾险普办发【2021】11号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响应指标</w:t>
            </w:r>
          </w:p>
        </w:tc>
        <w:tc>
          <w:tcPr>
            <w:tcW w:w="2835" w:type="dxa"/>
            <w:vAlign w:val="center"/>
          </w:tcPr>
          <w:p>
            <w:pPr>
              <w:pStyle w:val="14"/>
            </w:pPr>
            <w:r>
              <w:t>响应指标</w:t>
            </w:r>
          </w:p>
        </w:tc>
        <w:tc>
          <w:tcPr>
            <w:tcW w:w="2551" w:type="dxa"/>
            <w:vAlign w:val="center"/>
          </w:tcPr>
          <w:p>
            <w:pPr>
              <w:pStyle w:val="14"/>
            </w:pPr>
            <w:r>
              <w:t>≥100</w:t>
            </w:r>
          </w:p>
        </w:tc>
        <w:tc>
          <w:tcPr>
            <w:tcW w:w="2268" w:type="dxa"/>
            <w:vAlign w:val="center"/>
          </w:tcPr>
          <w:p>
            <w:pPr>
              <w:pStyle w:val="14"/>
            </w:pPr>
            <w:r>
              <w:t>国灾险普办发【2021】11号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群众对自然灾害管控的的满意度</w:t>
            </w:r>
          </w:p>
        </w:tc>
        <w:tc>
          <w:tcPr>
            <w:tcW w:w="2551" w:type="dxa"/>
            <w:vAlign w:val="center"/>
          </w:tcPr>
          <w:p>
            <w:pPr>
              <w:pStyle w:val="14"/>
            </w:pPr>
            <w:r>
              <w:t>≥99</w:t>
            </w:r>
          </w:p>
        </w:tc>
        <w:tc>
          <w:tcPr>
            <w:tcW w:w="2268" w:type="dxa"/>
            <w:vAlign w:val="center"/>
          </w:tcPr>
          <w:p>
            <w:pPr>
              <w:pStyle w:val="14"/>
            </w:pPr>
            <w:r>
              <w:t>国灾险普办发【2021】11号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2023年，威县应急管理局安排政府采购预算</w:t>
      </w:r>
      <w:r>
        <w:rPr>
          <w:rFonts w:hint="eastAsia" w:eastAsia="方正仿宋_GBK" w:cs="Times New Roman"/>
          <w:b w:val="0"/>
          <w:color w:val="000000"/>
          <w:sz w:val="28"/>
          <w:lang w:val="en-US" w:eastAsia="zh-CN"/>
        </w:rPr>
        <w:t>326</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426威县应急管理局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安全生产执法经费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安全生产执法经费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其他椅凳类</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把</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安全生产执法经费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安全生产执法经费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其他台、桌类</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多功能举高喷射消防车项目经费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3230000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应急救援设备类</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A02340800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辆</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3230000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3230000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3230000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3230000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威县应急管理局（含所属单位）上年末固定资产金额为1271513.00元（详见下表）。本年度拟购置固定资产总额为</w:t>
      </w:r>
      <w:r>
        <w:rPr>
          <w:rFonts w:hint="eastAsia" w:eastAsia="方正仿宋_GBK" w:cs="Times New Roman"/>
          <w:b w:val="0"/>
          <w:color w:val="000000"/>
          <w:sz w:val="28"/>
          <w:lang w:val="en-US" w:eastAsia="zh-CN"/>
        </w:rPr>
        <w:t>326</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426威县应急管理局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1271513.00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48880.00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418</w:t>
            </w:r>
          </w:p>
        </w:tc>
        <w:tc>
          <w:tcPr>
            <w:tcW w:w="2835" w:type="dxa"/>
            <w:vAlign w:val="center"/>
          </w:tcPr>
          <w:p>
            <w:pPr>
              <w:pStyle w:val="13"/>
            </w:pPr>
            <w:r>
              <w:t>1222633.00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lang w:eastAsia="zh-CN"/>
        </w:rPr>
      </w:pPr>
      <w:r>
        <w:rPr>
          <w:rFonts w:ascii="Times New Roman" w:hAnsi="Times New Roman" w:eastAsia="方正仿宋_GBK" w:cs="Times New Roman"/>
          <w:b w:val="0"/>
          <w:color w:val="000000"/>
          <w:sz w:val="28"/>
        </w:rPr>
        <w:t>我部门无其他需要说明的</w:t>
      </w:r>
      <w:r>
        <w:rPr>
          <w:rFonts w:hint="eastAsia" w:eastAsia="方正仿宋_GBK" w:cs="Times New Roman"/>
          <w:b w:val="0"/>
          <w:color w:val="000000"/>
          <w:sz w:val="28"/>
          <w:lang w:val="en-US" w:eastAsia="zh-CN"/>
        </w:rPr>
        <w:t>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OGI3NDhmNWQ0NzE5Yzc1N2VjYTQ4YmI3ZDA3NWEifQ=="/>
  </w:docVars>
  <w:rsids>
    <w:rsidRoot w:val="00000000"/>
    <w:rsid w:val="0F4277E5"/>
    <w:rsid w:val="1CC7755D"/>
    <w:rsid w:val="3F1C33FD"/>
    <w:rsid w:val="50213D9F"/>
    <w:rsid w:val="50421370"/>
    <w:rsid w:val="53801964"/>
    <w:rsid w:val="5A774453"/>
    <w:rsid w:val="69E82A43"/>
    <w:rsid w:val="6FF433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2" Type="http://schemas.openxmlformats.org/officeDocument/2006/relationships/fontTable" Target="fontTable.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2023-05-12T10:44:24Z</dcterms:created>
  <dcterms:modified xsi:type="dcterms:W3CDTF">2023-05-12T02:44:24Z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2023-05-12T10:44:24Z</dcterms:created>
  <dcterms:modified xsi:type="dcterms:W3CDTF">2023-05-12T02:44:24Z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2023-05-12T10:44:24Z</dcterms:created>
  <dcterms:modified xsi:type="dcterms:W3CDTF">2023-05-12T02:44:24Z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2023-05-12T10:44:24Z</dcterms:created>
  <dcterms:modified xsi:type="dcterms:W3CDTF">2023-05-12T02:44:24Z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2023-05-12T10:44:23Z</dcterms:created>
  <dcterms:modified xsi:type="dcterms:W3CDTF">2023-05-12T02:44:23Z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2023-05-12T10:44:25Z</dcterms:created>
  <dcterms:modified xsi:type="dcterms:W3CDTF">2023-05-12T02:44:25Z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2023-05-12T10:44:28Z</dcterms:created>
  <dcterms:modified xsi:type="dcterms:W3CDTF">2023-05-12T02:44:28Z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2023-05-12T10:44:29Z</dcterms:created>
  <dcterms:modified xsi:type="dcterms:W3CDTF">2023-05-12T02:44:29Z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2023-05-12T10:44:30Z</dcterms:created>
  <dcterms:modified xsi:type="dcterms:W3CDTF">2023-05-12T02:44:30Z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2023-05-12T10:44:23Z</dcterms:created>
  <dcterms:modified xsi:type="dcterms:W3CDTF">2023-05-12T02:44:23Z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2023-05-12T10:44:30Z</dcterms:created>
  <dcterms:modified xsi:type="dcterms:W3CDTF">2023-05-12T02:44:30Z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2023-05-12T10:44:30Z</dcterms:created>
  <dcterms:modified xsi:type="dcterms:W3CDTF">2023-05-12T02:44:30Z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2023-05-12T10:44:30Z</dcterms:created>
  <dcterms:modified xsi:type="dcterms:W3CDTF">2023-05-12T02:44:30Z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2023-05-12T10:44:30Z</dcterms:created>
  <dcterms:modified xsi:type="dcterms:W3CDTF">2023-05-12T02:44:30Z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2023-05-12T10:44:30Z</dcterms:created>
  <dcterms:modified xsi:type="dcterms:W3CDTF">2023-05-12T02:44:30Z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2023-05-12T10:44:23Z</dcterms:created>
  <dcterms:modified xsi:type="dcterms:W3CDTF">2023-05-12T02:44:23Z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2023-05-12T10:44:31Z</dcterms:created>
  <dcterms:modified xsi:type="dcterms:W3CDTF">2023-05-12T02:44:31Z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2023-05-12T10:44:31Z</dcterms:created>
  <dcterms:modified xsi:type="dcterms:W3CDTF">2023-05-12T02:44:31Z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2023-05-12T10:44:31Z</dcterms:created>
  <dcterms:modified xsi:type="dcterms:W3CDTF">2023-05-12T02:44:31Z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2023-05-12T10:44:23Z</dcterms:created>
  <dcterms:modified xsi:type="dcterms:W3CDTF">2023-05-12T02:44:23Z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2023-05-12T10:44:22Z</dcterms:created>
  <dcterms:modified xsi:type="dcterms:W3CDTF">2023-05-12T02:44:22Z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2023-05-12T10:44:23Z</dcterms:created>
  <dcterms:modified xsi:type="dcterms:W3CDTF">2023-05-12T02:44:23Z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2023-05-12T10:44:24Z</dcterms:created>
  <dcterms:modified xsi:type="dcterms:W3CDTF">2023-05-12T02:44:24Z</dcterms:modified>
</cp:coreProperties>
</file>

<file path=customXml/itemProps1.xml><?xml version="1.0" encoding="utf-8"?>
<ds:datastoreItem xmlns:ds="http://schemas.openxmlformats.org/officeDocument/2006/customXml" ds:itemID="{6329677a-10f5-47e6-8fd6-50cef9eec093}">
  <ds:schemaRefs/>
</ds:datastoreItem>
</file>

<file path=customXml/itemProps10.xml><?xml version="1.0" encoding="utf-8"?>
<ds:datastoreItem xmlns:ds="http://schemas.openxmlformats.org/officeDocument/2006/customXml" ds:itemID="{90b1ba6a-9112-4049-a612-7f0ede311723}">
  <ds:schemaRefs/>
</ds:datastoreItem>
</file>

<file path=customXml/itemProps11.xml><?xml version="1.0" encoding="utf-8"?>
<ds:datastoreItem xmlns:ds="http://schemas.openxmlformats.org/officeDocument/2006/customXml" ds:itemID="{dc70d9d9-e576-47f7-985f-8299ce113cd8}">
  <ds:schemaRefs/>
</ds:datastoreItem>
</file>

<file path=customXml/itemProps12.xml><?xml version="1.0" encoding="utf-8"?>
<ds:datastoreItem xmlns:ds="http://schemas.openxmlformats.org/officeDocument/2006/customXml" ds:itemID="{6ebf4bda-76bd-488b-a7bf-815b50a34446}">
  <ds:schemaRefs/>
</ds:datastoreItem>
</file>

<file path=customXml/itemProps13.xml><?xml version="1.0" encoding="utf-8"?>
<ds:datastoreItem xmlns:ds="http://schemas.openxmlformats.org/officeDocument/2006/customXml" ds:itemID="{221b522e-3de8-4ec0-8eb0-5efb462558fc}">
  <ds:schemaRefs/>
</ds:datastoreItem>
</file>

<file path=customXml/itemProps14.xml><?xml version="1.0" encoding="utf-8"?>
<ds:datastoreItem xmlns:ds="http://schemas.openxmlformats.org/officeDocument/2006/customXml" ds:itemID="{64318a98-6fdf-487a-8f68-2295bee50a30}">
  <ds:schemaRefs/>
</ds:datastoreItem>
</file>

<file path=customXml/itemProps15.xml><?xml version="1.0" encoding="utf-8"?>
<ds:datastoreItem xmlns:ds="http://schemas.openxmlformats.org/officeDocument/2006/customXml" ds:itemID="{7fc7cc28-918a-4d4b-86bc-5b516c4e477e}">
  <ds:schemaRefs/>
</ds:datastoreItem>
</file>

<file path=customXml/itemProps16.xml><?xml version="1.0" encoding="utf-8"?>
<ds:datastoreItem xmlns:ds="http://schemas.openxmlformats.org/officeDocument/2006/customXml" ds:itemID="{9264010e-66c2-4c94-bac5-25bf2264338c}">
  <ds:schemaRefs/>
</ds:datastoreItem>
</file>

<file path=customXml/itemProps17.xml><?xml version="1.0" encoding="utf-8"?>
<ds:datastoreItem xmlns:ds="http://schemas.openxmlformats.org/officeDocument/2006/customXml" ds:itemID="{716b5910-13f9-4c33-859b-385d2a053a9a}">
  <ds:schemaRefs/>
</ds:datastoreItem>
</file>

<file path=customXml/itemProps18.xml><?xml version="1.0" encoding="utf-8"?>
<ds:datastoreItem xmlns:ds="http://schemas.openxmlformats.org/officeDocument/2006/customXml" ds:itemID="{f05be7f4-4de1-4a25-b365-716abaad24fe}">
  <ds:schemaRefs/>
</ds:datastoreItem>
</file>

<file path=customXml/itemProps19.xml><?xml version="1.0" encoding="utf-8"?>
<ds:datastoreItem xmlns:ds="http://schemas.openxmlformats.org/officeDocument/2006/customXml" ds:itemID="{bea9a0a8-0276-4009-9998-9314bff4ac4e}">
  <ds:schemaRefs/>
</ds:datastoreItem>
</file>

<file path=customXml/itemProps2.xml><?xml version="1.0" encoding="utf-8"?>
<ds:datastoreItem xmlns:ds="http://schemas.openxmlformats.org/officeDocument/2006/customXml" ds:itemID="{873aa3f6-6717-4101-95e0-64c6a1a9e851}">
  <ds:schemaRefs/>
</ds:datastoreItem>
</file>

<file path=customXml/itemProps20.xml><?xml version="1.0" encoding="utf-8"?>
<ds:datastoreItem xmlns:ds="http://schemas.openxmlformats.org/officeDocument/2006/customXml" ds:itemID="{f81a5b09-7cc8-4f67-954e-05a51594affb}">
  <ds:schemaRefs/>
</ds:datastoreItem>
</file>

<file path=customXml/itemProps21.xml><?xml version="1.0" encoding="utf-8"?>
<ds:datastoreItem xmlns:ds="http://schemas.openxmlformats.org/officeDocument/2006/customXml" ds:itemID="{5760742c-e792-4e1d-9a05-22f74cc2a153}">
  <ds:schemaRefs/>
</ds:datastoreItem>
</file>

<file path=customXml/itemProps22.xml><?xml version="1.0" encoding="utf-8"?>
<ds:datastoreItem xmlns:ds="http://schemas.openxmlformats.org/officeDocument/2006/customXml" ds:itemID="{c6390e0e-76cd-43d9-ac4f-274467de80c7}">
  <ds:schemaRefs/>
</ds:datastoreItem>
</file>

<file path=customXml/itemProps23.xml><?xml version="1.0" encoding="utf-8"?>
<ds:datastoreItem xmlns:ds="http://schemas.openxmlformats.org/officeDocument/2006/customXml" ds:itemID="{27d5c3ad-6c29-4ca2-9632-5d646a5b921c}">
  <ds:schemaRefs/>
</ds:datastoreItem>
</file>

<file path=customXml/itemProps24.xml><?xml version="1.0" encoding="utf-8"?>
<ds:datastoreItem xmlns:ds="http://schemas.openxmlformats.org/officeDocument/2006/customXml" ds:itemID="{589aa31a-741d-4c90-97a7-b4e484c4ff56}">
  <ds:schemaRefs/>
</ds:datastoreItem>
</file>

<file path=customXml/itemProps25.xml><?xml version="1.0" encoding="utf-8"?>
<ds:datastoreItem xmlns:ds="http://schemas.openxmlformats.org/officeDocument/2006/customXml" ds:itemID="{324a7848-b882-4315-b7be-b6d5e7a3872a}">
  <ds:schemaRefs/>
</ds:datastoreItem>
</file>

<file path=customXml/itemProps26.xml><?xml version="1.0" encoding="utf-8"?>
<ds:datastoreItem xmlns:ds="http://schemas.openxmlformats.org/officeDocument/2006/customXml" ds:itemID="{83fb9321-7ae0-4436-8b73-d7f08d72ee0b}">
  <ds:schemaRefs/>
</ds:datastoreItem>
</file>

<file path=customXml/itemProps27.xml><?xml version="1.0" encoding="utf-8"?>
<ds:datastoreItem xmlns:ds="http://schemas.openxmlformats.org/officeDocument/2006/customXml" ds:itemID="{511da2a8-fa8e-463d-b0dd-c470835fb17f}">
  <ds:schemaRefs/>
</ds:datastoreItem>
</file>

<file path=customXml/itemProps28.xml><?xml version="1.0" encoding="utf-8"?>
<ds:datastoreItem xmlns:ds="http://schemas.openxmlformats.org/officeDocument/2006/customXml" ds:itemID="{00ad7105-1256-443e-8785-0af0d70834ce}">
  <ds:schemaRefs/>
</ds:datastoreItem>
</file>

<file path=customXml/itemProps29.xml><?xml version="1.0" encoding="utf-8"?>
<ds:datastoreItem xmlns:ds="http://schemas.openxmlformats.org/officeDocument/2006/customXml" ds:itemID="{326b97a8-3c1b-4bea-bdf0-f6e98350a12b}">
  <ds:schemaRefs/>
</ds:datastoreItem>
</file>

<file path=customXml/itemProps3.xml><?xml version="1.0" encoding="utf-8"?>
<ds:datastoreItem xmlns:ds="http://schemas.openxmlformats.org/officeDocument/2006/customXml" ds:itemID="{f8a4cef9-f98d-49b0-bd76-80fe60fc2f61}">
  <ds:schemaRefs/>
</ds:datastoreItem>
</file>

<file path=customXml/itemProps30.xml><?xml version="1.0" encoding="utf-8"?>
<ds:datastoreItem xmlns:ds="http://schemas.openxmlformats.org/officeDocument/2006/customXml" ds:itemID="{ee073255-a573-45cc-9d5d-e3415aaf2b82}">
  <ds:schemaRefs/>
</ds:datastoreItem>
</file>

<file path=customXml/itemProps31.xml><?xml version="1.0" encoding="utf-8"?>
<ds:datastoreItem xmlns:ds="http://schemas.openxmlformats.org/officeDocument/2006/customXml" ds:itemID="{173fae1a-df70-4869-8031-a3521f2197a4}">
  <ds:schemaRefs/>
</ds:datastoreItem>
</file>

<file path=customXml/itemProps32.xml><?xml version="1.0" encoding="utf-8"?>
<ds:datastoreItem xmlns:ds="http://schemas.openxmlformats.org/officeDocument/2006/customXml" ds:itemID="{b340bf80-8346-4bce-8c94-d81465c278b2}">
  <ds:schemaRefs/>
</ds:datastoreItem>
</file>

<file path=customXml/itemProps33.xml><?xml version="1.0" encoding="utf-8"?>
<ds:datastoreItem xmlns:ds="http://schemas.openxmlformats.org/officeDocument/2006/customXml" ds:itemID="{bd5b5e6d-b548-4bb5-a2b3-7f30ad136642}">
  <ds:schemaRefs/>
</ds:datastoreItem>
</file>

<file path=customXml/itemProps34.xml><?xml version="1.0" encoding="utf-8"?>
<ds:datastoreItem xmlns:ds="http://schemas.openxmlformats.org/officeDocument/2006/customXml" ds:itemID="{b5c45cdc-5bf4-4095-a5bb-cf9c642b6201}">
  <ds:schemaRefs/>
</ds:datastoreItem>
</file>

<file path=customXml/itemProps35.xml><?xml version="1.0" encoding="utf-8"?>
<ds:datastoreItem xmlns:ds="http://schemas.openxmlformats.org/officeDocument/2006/customXml" ds:itemID="{acd9ceb7-571a-4b08-a4f9-4192822dd672}">
  <ds:schemaRefs/>
</ds:datastoreItem>
</file>

<file path=customXml/itemProps36.xml><?xml version="1.0" encoding="utf-8"?>
<ds:datastoreItem xmlns:ds="http://schemas.openxmlformats.org/officeDocument/2006/customXml" ds:itemID="{833ef931-e241-4cb6-944a-5f75b0029e0b}">
  <ds:schemaRefs/>
</ds:datastoreItem>
</file>

<file path=customXml/itemProps37.xml><?xml version="1.0" encoding="utf-8"?>
<ds:datastoreItem xmlns:ds="http://schemas.openxmlformats.org/officeDocument/2006/customXml" ds:itemID="{300dcc7c-ec61-4e0b-8dee-49241b8b506c}">
  <ds:schemaRefs/>
</ds:datastoreItem>
</file>

<file path=customXml/itemProps38.xml><?xml version="1.0" encoding="utf-8"?>
<ds:datastoreItem xmlns:ds="http://schemas.openxmlformats.org/officeDocument/2006/customXml" ds:itemID="{dc680432-4090-4fce-a248-0cc24efeab0a}">
  <ds:schemaRefs/>
</ds:datastoreItem>
</file>

<file path=customXml/itemProps39.xml><?xml version="1.0" encoding="utf-8"?>
<ds:datastoreItem xmlns:ds="http://schemas.openxmlformats.org/officeDocument/2006/customXml" ds:itemID="{3383d3cb-1b18-4eb5-8203-6e066fc80fc5}">
  <ds:schemaRefs/>
</ds:datastoreItem>
</file>

<file path=customXml/itemProps4.xml><?xml version="1.0" encoding="utf-8"?>
<ds:datastoreItem xmlns:ds="http://schemas.openxmlformats.org/officeDocument/2006/customXml" ds:itemID="{1e686af6-6d90-4e35-945c-d50643259d64}">
  <ds:schemaRefs/>
</ds:datastoreItem>
</file>

<file path=customXml/itemProps40.xml><?xml version="1.0" encoding="utf-8"?>
<ds:datastoreItem xmlns:ds="http://schemas.openxmlformats.org/officeDocument/2006/customXml" ds:itemID="{e97c7fc8-292b-4eb8-a866-285c6747d79a}">
  <ds:schemaRefs/>
</ds:datastoreItem>
</file>

<file path=customXml/itemProps41.xml><?xml version="1.0" encoding="utf-8"?>
<ds:datastoreItem xmlns:ds="http://schemas.openxmlformats.org/officeDocument/2006/customXml" ds:itemID="{debe991d-7027-47f7-b66c-08ceb7fbc6c6}">
  <ds:schemaRefs/>
</ds:datastoreItem>
</file>

<file path=customXml/itemProps42.xml><?xml version="1.0" encoding="utf-8"?>
<ds:datastoreItem xmlns:ds="http://schemas.openxmlformats.org/officeDocument/2006/customXml" ds:itemID="{a50faeae-3d32-402a-b89c-49c05addfb98}">
  <ds:schemaRefs/>
</ds:datastoreItem>
</file>

<file path=customXml/itemProps43.xml><?xml version="1.0" encoding="utf-8"?>
<ds:datastoreItem xmlns:ds="http://schemas.openxmlformats.org/officeDocument/2006/customXml" ds:itemID="{e1d3a104-eef6-4db5-aee1-4edfec2b4d64}">
  <ds:schemaRefs/>
</ds:datastoreItem>
</file>

<file path=customXml/itemProps44.xml><?xml version="1.0" encoding="utf-8"?>
<ds:datastoreItem xmlns:ds="http://schemas.openxmlformats.org/officeDocument/2006/customXml" ds:itemID="{3d6b9281-0979-4e0b-b197-2c3ee4b9cbb1}">
  <ds:schemaRefs/>
</ds:datastoreItem>
</file>

<file path=customXml/itemProps45.xml><?xml version="1.0" encoding="utf-8"?>
<ds:datastoreItem xmlns:ds="http://schemas.openxmlformats.org/officeDocument/2006/customXml" ds:itemID="{2bd32ce5-93bd-4879-be99-2e25cd73e6bd}">
  <ds:schemaRefs/>
</ds:datastoreItem>
</file>

<file path=customXml/itemProps46.xml><?xml version="1.0" encoding="utf-8"?>
<ds:datastoreItem xmlns:ds="http://schemas.openxmlformats.org/officeDocument/2006/customXml" ds:itemID="{c35bf136-31e8-4408-8337-3bb793c5dfef}">
  <ds:schemaRefs/>
</ds:datastoreItem>
</file>

<file path=customXml/itemProps5.xml><?xml version="1.0" encoding="utf-8"?>
<ds:datastoreItem xmlns:ds="http://schemas.openxmlformats.org/officeDocument/2006/customXml" ds:itemID="{c6c8b2f4-29c6-4f59-8e67-f0f198121b66}">
  <ds:schemaRefs/>
</ds:datastoreItem>
</file>

<file path=customXml/itemProps6.xml><?xml version="1.0" encoding="utf-8"?>
<ds:datastoreItem xmlns:ds="http://schemas.openxmlformats.org/officeDocument/2006/customXml" ds:itemID="{2165172d-0b3e-466e-9614-53b862ba4dae}">
  <ds:schemaRefs/>
</ds:datastoreItem>
</file>

<file path=customXml/itemProps7.xml><?xml version="1.0" encoding="utf-8"?>
<ds:datastoreItem xmlns:ds="http://schemas.openxmlformats.org/officeDocument/2006/customXml" ds:itemID="{18b38b2e-014f-40e2-91ad-36193d06ed44}">
  <ds:schemaRefs/>
</ds:datastoreItem>
</file>

<file path=customXml/itemProps8.xml><?xml version="1.0" encoding="utf-8"?>
<ds:datastoreItem xmlns:ds="http://schemas.openxmlformats.org/officeDocument/2006/customXml" ds:itemID="{cae38948-78e3-46fc-a0bb-e2bb7be114bc}">
  <ds:schemaRefs/>
</ds:datastoreItem>
</file>

<file path=customXml/itemProps9.xml><?xml version="1.0" encoding="utf-8"?>
<ds:datastoreItem xmlns:ds="http://schemas.openxmlformats.org/officeDocument/2006/customXml" ds:itemID="{8533ea15-4835-41ee-9654-5b63e0cfe01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2023-05-12T10:44:00Z</dcterms:created>
  <dc:creator>Administrator</dc:creator>
  <cp:lastModifiedBy>拾染</cp:lastModifiedBy>
  <dcterms:modified xsi:type="dcterms:W3CDTF">2023-08-18T07:19:23Z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BCBC03ABC7C24950B455FA42D53AD082_13</vt:lpwstr>
  </property>
</Properties>
</file>