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Times New Roman" w:eastAsia="方正小标宋简体" w:cs="方正小标宋简体"/>
          <w:sz w:val="44"/>
          <w:szCs w:val="44"/>
        </w:rPr>
      </w:pPr>
      <w:bookmarkStart w:id="3" w:name="_GoBack"/>
      <w:bookmarkEnd w:id="3"/>
      <w:r>
        <w:rPr>
          <w:rFonts w:hint="eastAsia" w:ascii="方正小标宋简体" w:hAnsi="Times New Roman" w:eastAsia="方正小标宋简体" w:cs="方正小标宋简体"/>
          <w:sz w:val="44"/>
          <w:szCs w:val="44"/>
        </w:rPr>
        <w:t>威县高公庄乡人民政府</w:t>
      </w:r>
    </w:p>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《预算法》、</w:t>
      </w:r>
      <w:r>
        <w:rPr>
          <w:rFonts w:ascii="仿宋_GB2312" w:hAnsi="仿宋_GB2312" w:eastAsia="仿宋_GB2312" w:cs="仿宋_GB2312"/>
          <w:sz w:val="32"/>
          <w:szCs w:val="32"/>
        </w:rPr>
        <w:t>《地方预决算公开操作规程》和《河北省</w:t>
      </w:r>
      <w:r>
        <w:rPr>
          <w:rFonts w:hint="eastAsia" w:ascii="仿宋_GB2312" w:hAnsi="仿宋_GB2312" w:eastAsia="仿宋_GB2312" w:cs="仿宋_GB2312"/>
          <w:sz w:val="32"/>
          <w:szCs w:val="32"/>
        </w:rPr>
        <w:t>县级</w:t>
      </w:r>
      <w:r>
        <w:rPr>
          <w:rFonts w:ascii="仿宋_GB2312" w:hAnsi="仿宋_GB2312" w:eastAsia="仿宋_GB2312" w:cs="仿宋_GB2312"/>
          <w:sz w:val="32"/>
          <w:szCs w:val="32"/>
        </w:rPr>
        <w:t>预算公开办法》</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，现</w:t>
      </w:r>
      <w:r>
        <w:rPr>
          <w:rFonts w:hint="eastAsia" w:ascii="仿宋_GB2312" w:hAnsi="仿宋_GB2312" w:eastAsia="仿宋_GB2312" w:cs="仿宋_GB2312"/>
          <w:sz w:val="32"/>
          <w:szCs w:val="32"/>
        </w:rPr>
        <w:t>将威县高公庄乡人民政府</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（一）执行本级人民代表大会的决议和上级国家行政机关的决定和命令，发布决定和命令;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（二）执行本行政区域内的经济和社会发展计划、预算，管理本行政区域内的经济、教育、科学、文化、卫生、体育事业和财政、民政、公安、司法行政、计划生育等行政工作;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（三）保护社会主义的全民所有的财产和劳动群众集体所有的财产，保护公民私人所有的合法财产，维护社会秩序，保障公民的人身权利、民主权利和其他权利;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（四）保护各种经济组织的合法权益;</w:t>
      </w:r>
    </w:p>
    <w:p>
      <w:pPr>
        <w:spacing w:line="360" w:lineRule="auto"/>
        <w:ind w:firstLine="640" w:firstLineChars="200"/>
        <w:rPr>
          <w:rFonts w:ascii="Times New Roman" w:hAnsi="Times New Roman" w:eastAsia="方正仿宋_GBK" w:cs="方正仿宋_GBK"/>
          <w:b/>
          <w:bCs/>
          <w:sz w:val="32"/>
          <w:szCs w:val="32"/>
        </w:rPr>
      </w:pPr>
      <w:r>
        <w:rPr>
          <w:rFonts w:hint="eastAsia" w:ascii="仿宋_GB2312" w:hAnsi="仿宋_GB2312" w:eastAsia="仿宋_GB2312" w:cs="仿宋_GB2312"/>
          <w:sz w:val="32"/>
          <w:szCs w:val="32"/>
        </w:rPr>
        <w:t>（五）办理上级县委、县政府政府交办的其他事项。</w:t>
      </w:r>
    </w:p>
    <w:p>
      <w:pPr>
        <w:spacing w:line="580" w:lineRule="exact"/>
        <w:ind w:firstLine="643" w:firstLineChars="200"/>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威县高公庄乡人民政府内设党委办、人大办、政府办、财政所、统计。</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p>
        </w:tc>
        <w:tc>
          <w:tcPr>
            <w:tcW w:w="1276" w:type="dxa"/>
            <w:vAlign w:val="center"/>
          </w:tcPr>
          <w:p>
            <w:pPr>
              <w:spacing w:line="300" w:lineRule="exact"/>
              <w:jc w:val="center"/>
              <w:rPr>
                <w:rFonts w:ascii="方正书宋_GBK" w:eastAsia="方正书宋_GBK"/>
                <w:b/>
              </w:rPr>
            </w:pPr>
          </w:p>
        </w:tc>
        <w:tc>
          <w:tcPr>
            <w:tcW w:w="2902"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威县高公庄乡人民政府</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中共威县高公庄乡党委办公室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威县高公庄乡人大办公室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威县高公庄乡人民政府办公室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威县高公庄乡财政所</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威县高公庄乡统计所</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napToGrid w:val="0"/>
        <w:spacing w:line="360" w:lineRule="auto"/>
        <w:ind w:firstLine="640" w:firstLineChars="200"/>
        <w:rPr>
          <w:rFonts w:ascii="仿宋_GB2312" w:hAnsi="仿宋" w:eastAsia="仿宋_GB2312"/>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按照预算管理有关规定，目前我县部门预算的编制实行综合预算管理，即全部收入和支出都反映在预算中。威县高公庄乡人民政府及其所属机构的收支包含在部门预算中。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反映本部门当年全部收入。2019年预算收入926.80万元，其中：一般公共预算收入852.48万元，基金预算收入74.32万元，财政专户核拨收入0万元，其他来源收入0万元。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威县高公庄乡人民政府年度部门预算中支出预算的总体情况。2019年支出预算926.80万元，其中基本支出330.79万元，包括人员经费302.35万元和日常公用经费28.44万元；项目支出596.01万元，主要为义务兵优待、农村特困人员救助供养、对村民委员会和村党支部的补助等；其他支出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hint="eastAsia" w:ascii="仿宋_GB2312" w:hAnsi="仿宋_GB2312" w:eastAsia="仿宋_GB2312" w:cs="仿宋_GB2312"/>
          <w:sz w:val="32"/>
          <w:szCs w:val="32"/>
        </w:rPr>
        <w:t>2019年预算收支安排926.80万元，较2018年预算665.14万元增加261.66万元，其中：基本支出增加25.54万元，主要为工资调资人员经费增加；项目支出增加236.12万元，主要为社会保障和就业、对村委会和村支部补助以及征地补偿款支出增加。</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仿宋_GB2312" w:hAnsi="仿宋_GB2312" w:eastAsia="仿宋_GB2312" w:cs="仿宋_GB2312"/>
          <w:sz w:val="32"/>
          <w:szCs w:val="32"/>
        </w:rPr>
        <w:t>2019年，机关运行经费共计安排28.44万元，主要用于办公费、邮电费、差旅费、日常维修费、办公用房水电费、办公用房取暖费、公务交通补贴等日常运行支出。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单位财政拨款“三公”经费预算安排3.2万元，其中公务用车购置及运维费2万元（其中：公务用车购置费为0万元，公务用车运维费2万元)；公务接待费1.2万元。与2018年相比减少4万元。原因为公车改革后，适当缩减公务用车运行维护费开支。</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2019年，高公庄乡人民政府在中共威县县委、威县人民政府的领导下，坚持以科学发展观为指导，全面贯彻落实党的十九大精神，紧紧围绕县委、县政府中心工作，依托现有产业基础实施精准招商，争取一批大项目、好项目，重点对接京津，同时尽快完成项目落地开工，服务好项目建设。2、对现有梨园实施提质升档工程，特别是抓好观光路沿线梨园建设工资；计划发展梨产业种植2000亩，扶持一批标准化农业专业合作社。3、抓好高标准农田建设，确保农业生产顺利开展。4、进一步提高农村基础设施建设水平，改善农村面貌。5、强化措施做好计划生育和卫生健康工作。6、全力维护和谐稳定，做好安全生产、信访稳定、违建治理和大气污染防治工作。7、做好</w:t>
      </w:r>
      <w:r>
        <w:rPr>
          <w:rFonts w:hint="eastAsia" w:ascii="仿宋_GB2312" w:hAnsi="仿宋_GB2312" w:eastAsia="仿宋_GB2312" w:cs="仿宋_GB2312"/>
          <w:sz w:val="32"/>
          <w:szCs w:val="32"/>
          <w:lang w:eastAsia="zh-CN"/>
        </w:rPr>
        <w:t>东风渠、十支渠沿侧</w:t>
      </w:r>
      <w:r>
        <w:rPr>
          <w:rFonts w:hint="eastAsia" w:ascii="仿宋_GB2312" w:hAnsi="仿宋_GB2312" w:eastAsia="仿宋_GB2312" w:cs="仿宋_GB2312"/>
          <w:sz w:val="32"/>
          <w:szCs w:val="32"/>
        </w:rPr>
        <w:t>绿化工作。8、巩固脱贫成效，落实好新农合、新农保等各项惠农政策。9、完成县下达财税入库任务。</w:t>
      </w:r>
    </w:p>
    <w:p>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职责分类绩效目标：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一、招大引强有大突破。全面发动我乡在外经商人员，广辟信息来源渠道，不惜人力、物力、财力，全力以赴招大商、引强企，争取年内引进超亿元项目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，已储备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个在谈项目，其中超亿元以上项目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个。努力在亿元以上重点项目上实现突破。</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梨园建设突破，确保完成今冬明春</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亩的建设任务，必将有效带动农民增收在现代农业上迈出坚实步伐。积极谋划跑办，完善</w:t>
      </w:r>
      <w:r>
        <w:rPr>
          <w:rFonts w:hint="eastAsia" w:ascii="仿宋_GB2312" w:hAnsi="仿宋_GB2312" w:eastAsia="仿宋_GB2312" w:cs="仿宋_GB2312"/>
          <w:sz w:val="32"/>
          <w:szCs w:val="32"/>
          <w:lang w:eastAsia="zh-CN"/>
        </w:rPr>
        <w:t>设施蔬菜大棚建设</w:t>
      </w:r>
      <w:r>
        <w:rPr>
          <w:rFonts w:hint="eastAsia" w:ascii="仿宋_GB2312" w:hAnsi="仿宋_GB2312" w:eastAsia="仿宋_GB2312" w:cs="仿宋_GB2312"/>
          <w:sz w:val="32"/>
          <w:szCs w:val="32"/>
        </w:rPr>
        <w:t>等基础设施，增强吸纳力和辐射力。</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二、农业提质，以</w:t>
      </w:r>
      <w:r>
        <w:rPr>
          <w:rFonts w:hint="eastAsia" w:ascii="仿宋_GB2312" w:hAnsi="仿宋_GB2312" w:eastAsia="仿宋_GB2312" w:cs="仿宋_GB2312"/>
          <w:sz w:val="32"/>
          <w:szCs w:val="32"/>
          <w:lang w:eastAsia="zh-CN"/>
        </w:rPr>
        <w:t>中高村、大宋庄、大李庄村、西鱼台村等</w:t>
      </w:r>
      <w:r>
        <w:rPr>
          <w:rFonts w:hint="eastAsia" w:ascii="仿宋_GB2312" w:hAnsi="仿宋_GB2312" w:eastAsia="仿宋_GB2312" w:cs="仿宋_GB2312"/>
          <w:sz w:val="32"/>
          <w:szCs w:val="32"/>
        </w:rPr>
        <w:t>为基点，以农民合作社为抓手，扩张提升蔬菜、牛、鸡等标准和水平，增加农民收入，实现增比进位。坚持育产业、夯基础，确保按照</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安排，如期高质量完成脱贫攻坚任务。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eastAsia="zh-CN"/>
        </w:rPr>
        <w:t>草楼</w:t>
      </w:r>
      <w:r>
        <w:rPr>
          <w:rFonts w:hint="eastAsia" w:ascii="仿宋_GB2312" w:hAnsi="仿宋_GB2312" w:eastAsia="仿宋_GB2312" w:cs="仿宋_GB2312"/>
          <w:sz w:val="32"/>
          <w:szCs w:val="32"/>
        </w:rPr>
        <w:t>综合服务中心，集文化广场、便民服务中心、村民议事中心、综合会议室、村史馆、图书馆、淘宝店等功能为一体，为加强基层组织建设提供引导和示范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新农保参保率达到98%，农民群众看病难问题得到基本解决。孙庄、常庄两村孝道文化建设，在全镇范围内形成“尊老敬老爱老”的良好氛围，农民老有所养愿望初步实现；民主政治建设水平不断提高，全面推行“4321”工作机制，组织群众广泛参政议政，办好社会公益事业，从而达到了深化民主政治、实现共同发展的良好效果。加强民主法制和信访安全工作，有效控制了越级上访和集体上访事件的发生；通过社会治安综合治理的扎实开展，各种违法犯罪活动得到打击和控制；安全生产监管责任全面落实，各种安全隐患得以及时消除。</w:t>
      </w:r>
    </w:p>
    <w:p>
      <w:pPr>
        <w:ind w:firstLine="640"/>
        <w:rPr>
          <w:rFonts w:hint="eastAsia" w:ascii="仿宋_GB2312" w:hAnsi="仿宋_GB2312" w:eastAsia="仿宋_GB2312" w:cs="仿宋_GB2312"/>
          <w:sz w:val="32"/>
          <w:szCs w:val="32"/>
        </w:rPr>
      </w:pP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eastAsia="方正小标宋_GBK"/>
          <w:sz w:val="32"/>
        </w:rPr>
      </w:pPr>
      <w:bookmarkStart w:id="1" w:name="_Toc476817752"/>
      <w:r>
        <w:rPr>
          <w:rFonts w:hint="eastAsia" w:ascii="方正小标宋_GBK" w:eastAsia="方正小标宋_GBK"/>
          <w:sz w:val="32"/>
        </w:rPr>
        <w:t>部门职责-工作活动绩效目标</w:t>
      </w:r>
      <w:bookmarkEnd w:id="1"/>
    </w:p>
    <w:tbl>
      <w:tblPr>
        <w:tblStyle w:val="8"/>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898"/>
        <w:gridCol w:w="1612"/>
        <w:gridCol w:w="1448"/>
        <w:gridCol w:w="1054"/>
        <w:gridCol w:w="773"/>
        <w:gridCol w:w="666"/>
        <w:gridCol w:w="666"/>
        <w:gridCol w:w="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75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811</w:t>
            </w:r>
            <w:r>
              <w:rPr>
                <w:rFonts w:hint="eastAsia" w:ascii="方正小标宋_GBK" w:eastAsia="方正小标宋_GBK"/>
                <w:sz w:val="24"/>
              </w:rPr>
              <w:t>威县高公庄乡人民政府</w:t>
            </w:r>
          </w:p>
        </w:tc>
        <w:tc>
          <w:tcPr>
            <w:tcW w:w="2771"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39"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898"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161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448"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54"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771"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39" w:type="dxa"/>
            <w:vMerge w:val="continue"/>
            <w:vAlign w:val="center"/>
          </w:tcPr>
          <w:p>
            <w:pPr>
              <w:spacing w:line="300" w:lineRule="exact"/>
              <w:jc w:val="left"/>
              <w:outlineLvl w:val="0"/>
            </w:pPr>
          </w:p>
        </w:tc>
        <w:tc>
          <w:tcPr>
            <w:tcW w:w="898" w:type="dxa"/>
            <w:vMerge w:val="continue"/>
            <w:vAlign w:val="center"/>
          </w:tcPr>
          <w:p>
            <w:pPr>
              <w:spacing w:line="300" w:lineRule="exact"/>
              <w:jc w:val="left"/>
              <w:outlineLvl w:val="0"/>
            </w:pPr>
          </w:p>
        </w:tc>
        <w:tc>
          <w:tcPr>
            <w:tcW w:w="1612" w:type="dxa"/>
            <w:vMerge w:val="continue"/>
            <w:vAlign w:val="center"/>
          </w:tcPr>
          <w:p>
            <w:pPr>
              <w:spacing w:line="300" w:lineRule="exact"/>
              <w:jc w:val="left"/>
              <w:outlineLvl w:val="0"/>
            </w:pPr>
          </w:p>
        </w:tc>
        <w:tc>
          <w:tcPr>
            <w:tcW w:w="1448" w:type="dxa"/>
            <w:vMerge w:val="continue"/>
            <w:vAlign w:val="center"/>
          </w:tcPr>
          <w:p>
            <w:pPr>
              <w:spacing w:line="300" w:lineRule="exact"/>
              <w:jc w:val="left"/>
              <w:outlineLvl w:val="0"/>
            </w:pPr>
          </w:p>
        </w:tc>
        <w:tc>
          <w:tcPr>
            <w:tcW w:w="1054" w:type="dxa"/>
            <w:vMerge w:val="continue"/>
            <w:vAlign w:val="center"/>
          </w:tcPr>
          <w:p>
            <w:pPr>
              <w:spacing w:line="300" w:lineRule="exact"/>
              <w:jc w:val="left"/>
              <w:outlineLvl w:val="0"/>
            </w:pPr>
          </w:p>
        </w:tc>
        <w:tc>
          <w:tcPr>
            <w:tcW w:w="773"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66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66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666"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一、招商引资</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通过加大对工业性项目的招商，增强全乡经济实力，实现乡域经济越快越好发展</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2018年协议引资2亿元，</w:t>
            </w:r>
            <w:r>
              <w:rPr>
                <w:rFonts w:hint="cs" w:ascii="方正书宋_GBK" w:eastAsia="方正书宋_GBK"/>
                <w:cs/>
              </w:rPr>
              <w:t>“</w:t>
            </w:r>
            <w:r>
              <w:rPr>
                <w:rFonts w:hint="eastAsia" w:ascii="方正书宋_GBK" w:eastAsia="方正书宋_GBK"/>
              </w:rPr>
              <w:t>百千亿</w:t>
            </w:r>
            <w:r>
              <w:rPr>
                <w:rFonts w:hint="cs" w:ascii="方正书宋_GBK" w:eastAsia="方正书宋_GBK"/>
                <w:cs/>
              </w:rPr>
              <w:t>”</w:t>
            </w:r>
            <w:r>
              <w:rPr>
                <w:rFonts w:hint="eastAsia" w:ascii="方正书宋_GBK" w:eastAsia="方正书宋_GBK"/>
              </w:rPr>
              <w:t>招商2个。</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加强对外宣传</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进一步拓宽招商渠道，创新引资思路，加大力度向客商宣传我乡发展环境、优惠政策、奖励政策等</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提高我乡招商外部形象，形成招商工作助力</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外出招商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cs/>
              </w:rPr>
              <w:t>“</w:t>
            </w:r>
            <w:r>
              <w:rPr>
                <w:rFonts w:hint="eastAsia" w:ascii="方正书宋_GBK" w:eastAsia="方正书宋_GBK"/>
              </w:rPr>
              <w:t>主体招商活动</w:t>
            </w:r>
            <w:r>
              <w:rPr>
                <w:rFonts w:hint="cs" w:ascii="方正书宋_GBK" w:eastAsia="方正书宋_GBK"/>
                <w:cs/>
              </w:rPr>
              <w:t>”</w:t>
            </w:r>
            <w:r>
              <w:rPr>
                <w:rFonts w:hint="eastAsia" w:ascii="方正书宋_GBK" w:eastAsia="方正书宋_GBK"/>
              </w:rPr>
              <w:t>，瞄准京津地区外迁项目，引进一批战略支撑项目、龙头企业</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通过招商活动为乡引进一批重点项目、优质企业</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超额完成我乡全县分配招商任务数量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优化服务环境</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通过专人负责全程协调为客商提供优质服务</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落实招商优惠政策</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为引进企业从土地、水电、金融、税收等提供优惠政策，并派专人进行协调督办</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提供多种优惠政策吸引客商投资，为引进企业发展提供便利</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二、项目建设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促进重大项目落地；加快我乡战略性新兴产业项目、传统产业技术升级和结构调整项目、产业技术创新平台与基础设施项目建设，促进我乡产业结构调整和优化升级。</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有效引导行业健康发展，提升全乡产业和行业竞争力</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技术改造提升</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全乡项目改造提升数目</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安全生产</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与安监、市场监管、消防等部门合作，继续开展</w:t>
            </w:r>
            <w:r>
              <w:rPr>
                <w:rFonts w:hint="cs" w:ascii="方正书宋_GBK" w:eastAsia="方正书宋_GBK"/>
                <w:cs/>
              </w:rPr>
              <w:t>“</w:t>
            </w:r>
            <w:r>
              <w:rPr>
                <w:rFonts w:hint="eastAsia" w:ascii="方正书宋_GBK" w:eastAsia="方正书宋_GBK"/>
              </w:rPr>
              <w:t>打非治违</w:t>
            </w:r>
            <w:r>
              <w:rPr>
                <w:rFonts w:hint="cs" w:ascii="方正书宋_GBK" w:eastAsia="方正书宋_GBK"/>
                <w:cs/>
              </w:rPr>
              <w:t>”</w:t>
            </w:r>
            <w:r>
              <w:rPr>
                <w:rFonts w:hint="eastAsia" w:ascii="方正书宋_GBK" w:eastAsia="方正书宋_GBK"/>
              </w:rPr>
              <w:t>工作；编制安全生产规划，开展安全生产调研和相关政策制订；开展行政复议及行政应诉工作等；为保障机关履行安全生产监管基本职责提供必要条件</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安全生产业务保障率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restart"/>
            <w:vAlign w:val="center"/>
          </w:tcPr>
          <w:p>
            <w:pPr>
              <w:spacing w:line="300" w:lineRule="exact"/>
              <w:jc w:val="left"/>
              <w:rPr>
                <w:rFonts w:ascii="方正书宋_GBK" w:eastAsia="方正书宋_GBK"/>
                <w:b/>
              </w:rPr>
            </w:pPr>
            <w:r>
              <w:rPr>
                <w:rFonts w:hint="eastAsia" w:ascii="方正书宋_GBK" w:eastAsia="方正书宋_GBK"/>
                <w:b/>
              </w:rPr>
              <w:t>　　污染防治</w:t>
            </w:r>
          </w:p>
        </w:tc>
        <w:tc>
          <w:tcPr>
            <w:tcW w:w="898" w:type="dxa"/>
            <w:vMerge w:val="restart"/>
            <w:vAlign w:val="center"/>
          </w:tcPr>
          <w:p>
            <w:pPr>
              <w:spacing w:line="300" w:lineRule="exact"/>
              <w:jc w:val="left"/>
              <w:rPr>
                <w:rFonts w:ascii="方正书宋_GBK" w:eastAsia="方正书宋_GBK"/>
              </w:rPr>
            </w:pPr>
          </w:p>
        </w:tc>
        <w:tc>
          <w:tcPr>
            <w:tcW w:w="1612" w:type="dxa"/>
            <w:vMerge w:val="restart"/>
            <w:vAlign w:val="center"/>
          </w:tcPr>
          <w:p>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1448" w:type="dxa"/>
            <w:vMerge w:val="restart"/>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老旧车、黄标车淘汰率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continue"/>
            <w:vAlign w:val="center"/>
          </w:tcPr>
          <w:p>
            <w:pPr>
              <w:spacing w:line="300" w:lineRule="exact"/>
              <w:jc w:val="left"/>
              <w:rPr>
                <w:rFonts w:ascii="方正书宋_GBK" w:eastAsia="方正书宋_GBK"/>
                <w:b/>
              </w:rPr>
            </w:pPr>
          </w:p>
        </w:tc>
        <w:tc>
          <w:tcPr>
            <w:tcW w:w="898" w:type="dxa"/>
            <w:vMerge w:val="continue"/>
            <w:vAlign w:val="center"/>
          </w:tcPr>
          <w:p>
            <w:pPr>
              <w:spacing w:line="300" w:lineRule="exact"/>
              <w:jc w:val="left"/>
              <w:rPr>
                <w:rFonts w:ascii="方正书宋_GBK" w:eastAsia="方正书宋_GBK"/>
              </w:rPr>
            </w:pPr>
          </w:p>
        </w:tc>
        <w:tc>
          <w:tcPr>
            <w:tcW w:w="1612" w:type="dxa"/>
            <w:vMerge w:val="continue"/>
            <w:vAlign w:val="center"/>
          </w:tcPr>
          <w:p>
            <w:pPr>
              <w:spacing w:line="300" w:lineRule="exact"/>
              <w:jc w:val="left"/>
              <w:rPr>
                <w:rFonts w:ascii="方正书宋_GBK" w:eastAsia="方正书宋_GBK"/>
              </w:rPr>
            </w:pPr>
          </w:p>
        </w:tc>
        <w:tc>
          <w:tcPr>
            <w:tcW w:w="1448" w:type="dxa"/>
            <w:vMerge w:val="continue"/>
            <w:vAlign w:val="center"/>
          </w:tcPr>
          <w:p>
            <w:pPr>
              <w:spacing w:line="300" w:lineRule="exact"/>
              <w:jc w:val="left"/>
              <w:rPr>
                <w:rFonts w:ascii="方正书宋_GBK" w:eastAsia="方正书宋_GBK"/>
              </w:rPr>
            </w:pPr>
          </w:p>
        </w:tc>
        <w:tc>
          <w:tcPr>
            <w:tcW w:w="1054" w:type="dxa"/>
            <w:vAlign w:val="center"/>
          </w:tcPr>
          <w:p>
            <w:pPr>
              <w:spacing w:line="300" w:lineRule="exact"/>
              <w:jc w:val="left"/>
              <w:rPr>
                <w:rFonts w:ascii="方正书宋_GBK" w:eastAsia="方正书宋_GBK"/>
              </w:rPr>
            </w:pPr>
            <w:r>
              <w:rPr>
                <w:rFonts w:hint="eastAsia" w:ascii="方正书宋_GBK" w:eastAsia="方正书宋_GBK"/>
              </w:rPr>
              <w:t>治理水污染进度</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continue"/>
            <w:vAlign w:val="center"/>
          </w:tcPr>
          <w:p>
            <w:pPr>
              <w:spacing w:line="300" w:lineRule="exact"/>
              <w:jc w:val="left"/>
              <w:rPr>
                <w:rFonts w:ascii="方正书宋_GBK" w:eastAsia="方正书宋_GBK"/>
                <w:b/>
              </w:rPr>
            </w:pPr>
          </w:p>
        </w:tc>
        <w:tc>
          <w:tcPr>
            <w:tcW w:w="898" w:type="dxa"/>
            <w:vMerge w:val="continue"/>
            <w:vAlign w:val="center"/>
          </w:tcPr>
          <w:p>
            <w:pPr>
              <w:spacing w:line="300" w:lineRule="exact"/>
              <w:jc w:val="left"/>
              <w:rPr>
                <w:rFonts w:ascii="方正书宋_GBK" w:eastAsia="方正书宋_GBK"/>
              </w:rPr>
            </w:pPr>
          </w:p>
        </w:tc>
        <w:tc>
          <w:tcPr>
            <w:tcW w:w="1612" w:type="dxa"/>
            <w:vMerge w:val="continue"/>
            <w:vAlign w:val="center"/>
          </w:tcPr>
          <w:p>
            <w:pPr>
              <w:spacing w:line="300" w:lineRule="exact"/>
              <w:jc w:val="left"/>
              <w:rPr>
                <w:rFonts w:ascii="方正书宋_GBK" w:eastAsia="方正书宋_GBK"/>
              </w:rPr>
            </w:pPr>
          </w:p>
        </w:tc>
        <w:tc>
          <w:tcPr>
            <w:tcW w:w="1448" w:type="dxa"/>
            <w:vMerge w:val="continue"/>
            <w:vAlign w:val="center"/>
          </w:tcPr>
          <w:p>
            <w:pPr>
              <w:spacing w:line="300" w:lineRule="exact"/>
              <w:jc w:val="left"/>
              <w:rPr>
                <w:rFonts w:ascii="方正书宋_GBK" w:eastAsia="方正书宋_GBK"/>
              </w:rPr>
            </w:pPr>
          </w:p>
        </w:tc>
        <w:tc>
          <w:tcPr>
            <w:tcW w:w="1054" w:type="dxa"/>
            <w:vAlign w:val="center"/>
          </w:tcPr>
          <w:p>
            <w:pPr>
              <w:spacing w:line="300" w:lineRule="exact"/>
              <w:jc w:val="left"/>
              <w:rPr>
                <w:rFonts w:ascii="方正书宋_GBK" w:eastAsia="方正书宋_GBK"/>
              </w:rPr>
            </w:pPr>
            <w:r>
              <w:rPr>
                <w:rFonts w:ascii="方正书宋_GBK" w:eastAsia="方正书宋_GBK"/>
              </w:rPr>
              <w:t>PM2.5</w:t>
            </w:r>
            <w:r>
              <w:rPr>
                <w:rFonts w:hint="eastAsia" w:ascii="方正书宋_GBK" w:eastAsia="方正书宋_GBK"/>
              </w:rPr>
              <w:t>削减率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企业服务</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积极为企业落实金融、土地、水电、用工等优惠政策，加快企业发展步伐</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工作落实程度</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电商管理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督促供销、卖货郎电子商务在全县各村完成网点建设，再引进一家乡间货的电子商务公司促进农副产品收购、销售，提高电子商务平台知名度，完善服务体系。在审批、服务等工作上给予大力支持，推进快递业发展。</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全乡电子平台数量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三、园区建设</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150.00</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提升园区服务能力、优化园区发展环境</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通过制定园区发展规划，提升园区发展水平充分发挥园区比较优势、切实提升园区核心竞争力</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形象宣传</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大力宣传</w:t>
            </w:r>
            <w:r>
              <w:rPr>
                <w:rFonts w:hint="cs" w:ascii="方正书宋_GBK" w:eastAsia="方正书宋_GBK"/>
                <w:cs/>
              </w:rPr>
              <w:t>“</w:t>
            </w:r>
            <w:r>
              <w:rPr>
                <w:rFonts w:hint="eastAsia" w:ascii="方正书宋_GBK" w:eastAsia="方正书宋_GBK"/>
              </w:rPr>
              <w:t>一三二九</w:t>
            </w:r>
            <w:r>
              <w:rPr>
                <w:rFonts w:hint="cs" w:ascii="方正书宋_GBK" w:eastAsia="方正书宋_GBK"/>
                <w:cs/>
              </w:rPr>
              <w:t>”</w:t>
            </w:r>
            <w:r>
              <w:rPr>
                <w:rFonts w:hint="eastAsia" w:ascii="方正书宋_GBK" w:eastAsia="方正书宋_GBK"/>
              </w:rPr>
              <w:t>发展思路和</w:t>
            </w:r>
            <w:r>
              <w:rPr>
                <w:rFonts w:hint="cs" w:ascii="方正书宋_GBK" w:eastAsia="方正书宋_GBK"/>
                <w:cs/>
              </w:rPr>
              <w:t>“</w:t>
            </w:r>
            <w:r>
              <w:rPr>
                <w:rFonts w:hint="eastAsia" w:ascii="方正书宋_GBK" w:eastAsia="方正书宋_GBK"/>
              </w:rPr>
              <w:t>建设县级商贸名乡、打造市级工业强乡</w:t>
            </w:r>
            <w:r>
              <w:rPr>
                <w:rFonts w:hint="cs" w:ascii="方正书宋_GBK" w:eastAsia="方正书宋_GBK"/>
                <w:cs/>
              </w:rPr>
              <w:t>”</w:t>
            </w:r>
            <w:r>
              <w:rPr>
                <w:rFonts w:hint="eastAsia" w:ascii="方正书宋_GBK" w:eastAsia="方正书宋_GBK"/>
              </w:rPr>
              <w:t>工作目标。</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打造</w:t>
            </w:r>
            <w:r>
              <w:rPr>
                <w:rFonts w:hint="cs" w:ascii="方正书宋_GBK" w:eastAsia="方正书宋_GBK"/>
                <w:cs/>
              </w:rPr>
              <w:t>“</w:t>
            </w:r>
            <w:r>
              <w:rPr>
                <w:rFonts w:hint="eastAsia" w:ascii="方正书宋_GBK" w:eastAsia="方正书宋_GBK"/>
              </w:rPr>
              <w:t>洺阳腹地、魅力贺钊、商贸名乡、投资福地</w:t>
            </w:r>
            <w:r>
              <w:rPr>
                <w:rFonts w:hint="cs" w:ascii="方正书宋_GBK" w:eastAsia="方正书宋_GBK"/>
                <w:cs/>
              </w:rPr>
              <w:t>”</w:t>
            </w:r>
            <w:r>
              <w:rPr>
                <w:rFonts w:hint="eastAsia" w:ascii="方正书宋_GBK" w:eastAsia="方正书宋_GBK"/>
              </w:rPr>
              <w:t>发展新名片</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基础设施建设</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150.00</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对各个园区基础设施进行项目建设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通过园区基础设施建设，完善园区服务能力</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项目完工数量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融资平台建设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建立由政府主导，企业、银行及社会参与的融资平台，推进农村产权确权工作，为企业发展提供助力</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通过政府参与降低企业融资成本，解决企业融资难题</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企业融资金额</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园区服务规范化建设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精简审批服务项目，优化服务流程，创新服务方式，大力推行规范化服务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服务规范化目标完成情况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四、城建城管</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城市管理队伍建设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组织开展城管队伍培训，加强城市管理队伍规范化建设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提高城市管理队伍形象，加快城市发展步伐</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乡区卫生整治</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配合县城管局开展背街小巷整治工作，辖区内环境卫生的清扫、保洁和生活垃圾的清运；环卫设施的建设与管理工作；垃圾无害化处理工作；建筑垃圾的管理；垃圾处理场的规划选址、建设和运行的监督管理；生活垃圾的处理</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提高县城环境卫生管理水平</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乡区道路、社区卫生保洁完成率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乡区道路美化亮化</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加大乡区道路绿地树木的保护力度；加强大乡区林木绿化工程的建设进行管理监督；保持乡区道路环境卫生等</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提高乡区道路承载能力和宜居度，改善乡区环境</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乡区道路工程数量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乡区新民居建设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研究制定新民居工程建设规划，拟定年度建设目标并监督实施；承担全乡保新民居工程领导小组办公室职责；研究拟定新民居工程政策并监督实施，对项目分配、管理和运营情况监督指导；组织实施乡区新民居建设和管理。</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完成乡区新民居工程年度建设任务，建立健全公平、公正、公开的分配机制和优质、高效管理服务机制。及时出台政策，建立基本完善的城乡新民居工程政策体系</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新建乡区新民居开工率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五、发展现代农业</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74.32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打造美丽乡村精品村，重点发展梨产业、旅游、采摘产业，有效增加农民收入，提高农民生活水平。</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发展高效农业、特色农业作为促进农民增收致富、繁荣农村经济，增加种植户收入；加快梨采摘旅游业发展，推进乡村旅游业发展。</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活动农业招商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组织开展农业招商活动，鼓励引导符合我乡农业产业发展方向的项目，吸引外资投资农业开发，从事农产品加工、流通，引进农业新品种、新技术</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改善我乡传统农业落后局面，提高农民收入，促进我真农业向现代农业转型升级</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外出招商、洽谈次数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推进农业合作社建设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积极鼓励引导农民发展成立农业合作社，为农民建立合作社提供金融、人才、税收优惠等政策</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通过一批优质合作社的成立，带动我乡农业致富，加快我乡农业发展升级</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发展成立农业合作社的个数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推进土地流转</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74.32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建立运转顺畅、便捷高效的农村土地承包经营权流转服务平台，带动土地流转依法、有序开展</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土地保护</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充分利用国家有关规定实行合理土地管理与保护，保证土地永续利用，不断提高土地生产力所采取的生物和工程措施</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构建科学的土地资源质量指标体系，探讨农田均衡化的生产模式和管理对策。</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土地资源质量动态监测，农村土地合理使用情况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六、基层党建</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222.48</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加强基层组织建设，创新工作机制，为特色魅力乡建设提供重要组织保证</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落实主体责任，增强基础保障，包括基层党建的场所、制度等规范化、标准化管理</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加强农村党建阵地建设</w:t>
            </w:r>
          </w:p>
        </w:tc>
        <w:tc>
          <w:tcPr>
            <w:tcW w:w="898" w:type="dxa"/>
            <w:vAlign w:val="center"/>
          </w:tcPr>
          <w:p>
            <w:pPr>
              <w:spacing w:line="300" w:lineRule="exact"/>
              <w:jc w:val="left"/>
              <w:rPr>
                <w:rFonts w:ascii="方正书宋_GBK" w:eastAsia="方正书宋_GBK"/>
              </w:rPr>
            </w:pPr>
            <w:r>
              <w:rPr>
                <w:rFonts w:hint="eastAsia" w:ascii="方正书宋_GBK" w:eastAsia="方正书宋_GBK"/>
              </w:rPr>
              <w:t>45</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根据国家政策适时推动农村党建阵地的发展，及时满足党员活动和群众办事的合理需求，全方位发挥基层党建阵地的作用</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多渠道争取党建资金，高标准科学谋划，强化农村阵地的政治职能</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党务信息公开栏的建设和使用情况，村党支的硬件配套和使用情况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加强基层党员队伍建设和监督</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完善基层党支部的软件和硬件建设，落实主体责任，增强基础保障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推进基层服务型党组织建设，发挥党员的模范带头作用</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基层党员数量和党员活动的开展次数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指导村委会建设</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177.48</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健全完善村委会的组织体系，优化村委会队伍结构，理顺村委会于基层组织关系，充分发挥村委会的应有职能</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加快建设符合服务型标准的村委会，切实为基层群众提供良好的专业性服务，维护基层组织的稳定</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村委会的组织队伍建设及相关职能的利用情况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加强解决信访问题</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建立完善的信访接待机制，保证人员物资的充足供应，维护乡乡的和谐稳定</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及时掌握基层群众的精神状况，及时解决村乡居民的合理诉求</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年度内信访事件数量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七、文化卫生公共事业管理</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120.76</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落实教育、卫生、科技、文化、体育事业发展规划、工作计划和措施；抓好人口与计划生育工作；落实科教兴乡计划、项目；搞好卫生防疫、妇幼保健工作；抓好群众性文化、体育工作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满足乡区群众文化需要为目的健全乡、村文化中心建设，推动多元化公共事业体系建设；加强卫生、计生、科技政务公开和业务宣传工作，落实计划生育制度；提高公共事业服务水平、规范公共事业管理。</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乡消防队建设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建立健全应急队伍，配备标准消防器材，组织专业培训，适应城乡日常消防及教育任务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掌握并利用好乡的应急人员装备，保障本乡的安全环境</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消防事故有效控制比例</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养老院建设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建设上规模上档次高标准养老院</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为居民提供良好的生活保障，保证老有所依</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养老院基础设施人员配备情况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农村环境卫生整治</w:t>
            </w:r>
          </w:p>
        </w:tc>
        <w:tc>
          <w:tcPr>
            <w:tcW w:w="898" w:type="dxa"/>
            <w:vAlign w:val="center"/>
          </w:tcPr>
          <w:p>
            <w:pPr>
              <w:spacing w:line="300" w:lineRule="exact"/>
              <w:jc w:val="left"/>
              <w:rPr>
                <w:rFonts w:hint="eastAsia" w:ascii="方正书宋_GBK" w:eastAsia="方正书宋_GBK"/>
                <w:lang w:val="en-US" w:eastAsia="zh-CN"/>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按照国家园林城市的建设标准，组织全乡基层环境卫生机构开展实施基本公共卫生服务项目。</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努力打造村容村貌的整体提升，积极向文明村乡标准靠拢</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乡卫生达标情况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计划生育</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加大农村群众计生政策宣传；免费为公民提供计划生育避孕节育基本技术服务；免费为农村已婚育龄妇女提供生殖健康检查服务。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适时掌握村乡居民的计划生育情况，及时处理违反国家政策情况</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处理违反计划生育比例</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文化事业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提高村乡居民的整体文化素质，建设符合现代化标准的村乡文化服务中心，满足和丰富村乡居民的精神文化需求。</w:t>
            </w:r>
          </w:p>
          <w:p>
            <w:pPr>
              <w:spacing w:line="300" w:lineRule="exact"/>
              <w:jc w:val="left"/>
              <w:rPr>
                <w:rFonts w:ascii="方正书宋_GBK" w:eastAsia="方正书宋_GBK"/>
              </w:rPr>
            </w:pPr>
            <w:r>
              <w:rPr>
                <w:rFonts w:hint="eastAsia" w:ascii="方正书宋_GBK" w:eastAsia="方正书宋_GBK"/>
              </w:rPr>
              <w:t>继续开展孝道文化建设，再确定</w:t>
            </w:r>
            <w:r>
              <w:rPr>
                <w:rFonts w:ascii="方正书宋_GBK" w:eastAsia="方正书宋_GBK"/>
              </w:rPr>
              <w:t>5</w:t>
            </w:r>
            <w:r>
              <w:rPr>
                <w:rFonts w:hint="eastAsia" w:ascii="方正书宋_GBK" w:eastAsia="方正书宋_GBK"/>
              </w:rPr>
              <w:t>个村开展孝道文化村。</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建设高质量的村乡文化中心，及时为居民提供有利信息，完成村乡居民精神面貌的提升</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村乡文化中心的建设完成率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教育事业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加强教育的统筹规划和管理，监督完善教育政策措施，督促规范办学秩序，促进教育事业发展，保障村乡适龄学生受</w:t>
            </w:r>
            <w:r>
              <w:rPr>
                <w:rFonts w:ascii="方正书宋_GBK" w:eastAsia="方正书宋_GBK"/>
              </w:rPr>
              <w:t>100%</w:t>
            </w:r>
            <w:r>
              <w:rPr>
                <w:rFonts w:hint="eastAsia" w:ascii="方正书宋_GBK" w:eastAsia="方正书宋_GBK"/>
              </w:rPr>
              <w:t>的享受教育权利。</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准确掌握村乡居民的受教育情况，保障村民的合法权利</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卫生事业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按照国家基本公共卫生服务项目《规范》，组织全乡基层医疗卫生机构开展实施基本公共卫生服务项目。</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对城乡居民健康实行干预，有效预防传染病及慢性病，使其享有平等的基本卫生服务。</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居民健康档案总体建档率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福利救助</w:t>
            </w:r>
          </w:p>
        </w:tc>
        <w:tc>
          <w:tcPr>
            <w:tcW w:w="898" w:type="dxa"/>
            <w:vAlign w:val="center"/>
          </w:tcPr>
          <w:p>
            <w:pPr>
              <w:spacing w:line="300" w:lineRule="exact"/>
              <w:jc w:val="left"/>
              <w:rPr>
                <w:rFonts w:ascii="方正书宋_GBK" w:eastAsia="方正书宋_GBK"/>
              </w:rPr>
            </w:pPr>
            <w:r>
              <w:rPr>
                <w:rFonts w:hint="eastAsia" w:ascii="方正书宋_GBK" w:eastAsia="方正书宋_GBK"/>
              </w:rPr>
              <w:t>111.74</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引导提升社会对福利救助合理认识，建立专项救助基金。面向困难群体开展符合其宗旨的福利救助，重点救助患病儿童及困难群众。</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使更多的贫困家庭、患病儿童得到救助</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救助困难群众人数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兵役管理</w:t>
            </w:r>
          </w:p>
        </w:tc>
        <w:tc>
          <w:tcPr>
            <w:tcW w:w="898" w:type="dxa"/>
            <w:vAlign w:val="center"/>
          </w:tcPr>
          <w:p>
            <w:pPr>
              <w:spacing w:line="300" w:lineRule="exact"/>
              <w:jc w:val="left"/>
              <w:rPr>
                <w:rFonts w:ascii="方正书宋_GBK" w:eastAsia="方正书宋_GBK"/>
              </w:rPr>
            </w:pPr>
            <w:r>
              <w:rPr>
                <w:rFonts w:hint="eastAsia" w:ascii="方正书宋_GBK" w:eastAsia="方正书宋_GBK"/>
              </w:rPr>
              <w:t>9.02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完善对村乡入伍青年进行建档登记，广泛宣传征兵政策和重大意义，增强群众对兵役的合理正确认识，营造良好的入伍从军氛围。</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准确掌握兵役的基本情况，保障上级下达任务的快速、高效完成</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年度征兵工作完成情况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档案管理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规范档案管理制度，对现存档案进行规范分类、保存，完善进档出档登记制度</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八、政府机关规范化建设</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28.45</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提高工作效能和服务质量，转变工作作风，树立政府良好社会形象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完善各项规章制度，细化部门职责，严格落实考评机制，实现规范化管理</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政府大厅正规化建设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制定完善大厅考勤、人员管理、来人接待制度，组织业务骨干办理窗口业务，打造高效服务型政府形象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信息提供安全有效，窗口建设稳步推进；提高人员业务水平；研究学习政策法规，推动公共服务事业发展。</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政府机关日常管理</w:t>
            </w:r>
          </w:p>
        </w:tc>
        <w:tc>
          <w:tcPr>
            <w:tcW w:w="898"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23.45</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规范机关日常事务管理；机关办公区物业管理；机关车辆日常管理，保障机关日常运转。</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规范财务管理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拟订行政性经费的财务管理制度，以及乡乡的财务管理制度，对会计进行专业培训。</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搞好服务保障，为乡乡工作提供安全、快捷、细致、周到的环境；加强财务管理，确保资金安全，提高财政资金使用效益。</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历史性债务管理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组织开展历史性债务的梳理认定工作，建立规范的债务管理机制，而发挥积极作用、防范化解风险和促进健康发展</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建立规范的地方政府举债机制，逐步减少消化存量债务，防范化解风险和促进健康发展</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本年度化解历史性债务金额</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机关后勤日常管理</w:t>
            </w:r>
          </w:p>
        </w:tc>
        <w:tc>
          <w:tcPr>
            <w:tcW w:w="898" w:type="dxa"/>
            <w:vAlign w:val="center"/>
          </w:tcPr>
          <w:p>
            <w:pPr>
              <w:spacing w:line="300" w:lineRule="exact"/>
              <w:jc w:val="left"/>
              <w:rPr>
                <w:rFonts w:ascii="方正书宋_GBK" w:eastAsia="方正书宋_GBK"/>
              </w:rPr>
            </w:pPr>
            <w:r>
              <w:rPr>
                <w:rFonts w:hint="eastAsia" w:ascii="方正书宋_GBK" w:eastAsia="方正书宋_GBK"/>
              </w:rPr>
              <w:t>5</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后勤保障、财务管理、办公用房和车辆、办公用品和其他固定资产管理以及办公区物业管理和机关安全保卫工作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提升保障能力及管理水平，完成各项工作任务</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九、社会治安综合治理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落实社会治安综合治理规划、工作计划和措施，抓好依法治乡等工作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完善社会治安综合治理制度，加大接访工作力度，确保社会和谐稳定。</w:t>
            </w:r>
          </w:p>
          <w:p>
            <w:pPr>
              <w:spacing w:line="300" w:lineRule="exact"/>
              <w:jc w:val="left"/>
              <w:rPr>
                <w:rFonts w:ascii="方正书宋_GBK" w:eastAsia="方正书宋_GBK"/>
              </w:rPr>
            </w:pPr>
            <w:r>
              <w:rPr>
                <w:rFonts w:hint="eastAsia" w:ascii="方正书宋_GBK" w:eastAsia="方正书宋_GBK"/>
              </w:rPr>
              <w:t>依法打击、防范、教育、管理、建设、改造六个方面的有机结合，营造良好本乡安全稳定环境。</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调节民事纠纷</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确立群众利益无小事，全力解决群众反映问题，快速处置缠访、闹访、非访事件；依法对民事诉讼和行政诉讼实行法律监督，维护司法公正和司法权威，保障法律的统一正确实施，维护乡乡和谐稳定</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法律监督到位，乡乡和谐稳定程度得到提高</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调节成功率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加强食品安全</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组织实施全乡食品安全风险监测工作；开展食品安全宣传和风险交流；食品安全风险监测预警评估机构建设。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保障餐饮业食品安全，为群众提供放心食品</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食药问题在年度中发生次数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restart"/>
            <w:vAlign w:val="center"/>
          </w:tcPr>
          <w:p>
            <w:pPr>
              <w:spacing w:line="300" w:lineRule="exact"/>
              <w:jc w:val="left"/>
              <w:rPr>
                <w:rFonts w:ascii="方正书宋_GBK" w:eastAsia="方正书宋_GBK"/>
                <w:b/>
              </w:rPr>
            </w:pPr>
            <w:r>
              <w:rPr>
                <w:rFonts w:hint="eastAsia" w:ascii="方正书宋_GBK" w:eastAsia="方正书宋_GBK"/>
                <w:b/>
              </w:rPr>
              <w:t>　　其他应急事务</w:t>
            </w:r>
          </w:p>
        </w:tc>
        <w:tc>
          <w:tcPr>
            <w:tcW w:w="898" w:type="dxa"/>
            <w:vMerge w:val="restart"/>
            <w:vAlign w:val="center"/>
          </w:tcPr>
          <w:p>
            <w:pPr>
              <w:spacing w:line="300" w:lineRule="exact"/>
              <w:jc w:val="left"/>
              <w:rPr>
                <w:rFonts w:ascii="方正书宋_GBK" w:eastAsia="方正书宋_GBK"/>
              </w:rPr>
            </w:pPr>
          </w:p>
        </w:tc>
        <w:tc>
          <w:tcPr>
            <w:tcW w:w="1612" w:type="dxa"/>
            <w:vMerge w:val="restart"/>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48" w:type="dxa"/>
            <w:vMerge w:val="restart"/>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乡重大自然灾害防御能力；保证救灾应急预案科学性和实效性；提高专业队伍业务素质，提升救灾科技支持能力；推进以农房保险为主要险种的救灾保险，提高抗灾水平</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continue"/>
            <w:vAlign w:val="center"/>
          </w:tcPr>
          <w:p>
            <w:pPr>
              <w:spacing w:line="300" w:lineRule="exact"/>
              <w:jc w:val="left"/>
              <w:rPr>
                <w:rFonts w:ascii="方正书宋_GBK" w:eastAsia="方正书宋_GBK"/>
                <w:b/>
              </w:rPr>
            </w:pPr>
          </w:p>
        </w:tc>
        <w:tc>
          <w:tcPr>
            <w:tcW w:w="898" w:type="dxa"/>
            <w:vMerge w:val="continue"/>
            <w:vAlign w:val="center"/>
          </w:tcPr>
          <w:p>
            <w:pPr>
              <w:spacing w:line="300" w:lineRule="exact"/>
              <w:jc w:val="left"/>
              <w:rPr>
                <w:rFonts w:ascii="方正书宋_GBK" w:eastAsia="方正书宋_GBK"/>
              </w:rPr>
            </w:pPr>
          </w:p>
        </w:tc>
        <w:tc>
          <w:tcPr>
            <w:tcW w:w="1612" w:type="dxa"/>
            <w:vMerge w:val="continue"/>
            <w:vAlign w:val="center"/>
          </w:tcPr>
          <w:p>
            <w:pPr>
              <w:spacing w:line="300" w:lineRule="exact"/>
              <w:jc w:val="left"/>
              <w:rPr>
                <w:rFonts w:ascii="方正书宋_GBK" w:eastAsia="方正书宋_GBK"/>
              </w:rPr>
            </w:pPr>
          </w:p>
        </w:tc>
        <w:tc>
          <w:tcPr>
            <w:tcW w:w="1448" w:type="dxa"/>
            <w:vMerge w:val="continue"/>
            <w:vAlign w:val="center"/>
          </w:tcPr>
          <w:p>
            <w:pPr>
              <w:spacing w:line="300" w:lineRule="exact"/>
              <w:jc w:val="left"/>
              <w:rPr>
                <w:rFonts w:ascii="方正书宋_GBK" w:eastAsia="方正书宋_GBK"/>
              </w:rPr>
            </w:pPr>
          </w:p>
        </w:tc>
        <w:tc>
          <w:tcPr>
            <w:tcW w:w="1054" w:type="dxa"/>
            <w:vAlign w:val="center"/>
          </w:tcPr>
          <w:p>
            <w:pPr>
              <w:spacing w:line="300" w:lineRule="exact"/>
              <w:jc w:val="left"/>
              <w:rPr>
                <w:rFonts w:ascii="方正书宋_GBK" w:eastAsia="方正书宋_GBK"/>
              </w:rPr>
            </w:pPr>
            <w:r>
              <w:rPr>
                <w:rFonts w:hint="eastAsia" w:ascii="方正书宋_GBK" w:eastAsia="方正书宋_GBK"/>
              </w:rPr>
              <w:t>物资保障受灾群众人数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bl>
    <w:p>
      <w:pPr>
        <w:spacing w:line="580" w:lineRule="exact"/>
        <w:ind w:firstLine="643" w:firstLineChars="200"/>
        <w:rPr>
          <w:rFonts w:ascii="Times New Roman" w:hAnsi="Times New Roman" w:eastAsia="方正仿宋_GBK" w:cs="方正仿宋_GBK"/>
          <w:b/>
          <w:bCs/>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rPr>
        <w:t>9</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单位</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3.5</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8"/>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590"/>
        <w:gridCol w:w="575"/>
        <w:gridCol w:w="793"/>
        <w:gridCol w:w="545"/>
        <w:gridCol w:w="636"/>
        <w:gridCol w:w="530"/>
        <w:gridCol w:w="549"/>
        <w:gridCol w:w="549"/>
        <w:gridCol w:w="728"/>
        <w:gridCol w:w="575"/>
        <w:gridCol w:w="576"/>
        <w:gridCol w:w="576"/>
        <w:gridCol w:w="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811威县高公庄乡人民政府</w:t>
            </w:r>
          </w:p>
        </w:tc>
        <w:tc>
          <w:tcPr>
            <w:tcW w:w="412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14"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57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79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4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6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53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129"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9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575" w:type="dxa"/>
            <w:vMerge w:val="continue"/>
            <w:shd w:val="clear" w:color="auto" w:fill="auto"/>
            <w:vAlign w:val="center"/>
          </w:tcPr>
          <w:p>
            <w:pPr>
              <w:spacing w:line="300" w:lineRule="exact"/>
              <w:jc w:val="left"/>
              <w:outlineLvl w:val="0"/>
            </w:pPr>
          </w:p>
        </w:tc>
        <w:tc>
          <w:tcPr>
            <w:tcW w:w="793" w:type="dxa"/>
            <w:vMerge w:val="continue"/>
            <w:shd w:val="clear" w:color="auto" w:fill="auto"/>
            <w:vAlign w:val="center"/>
          </w:tcPr>
          <w:p>
            <w:pPr>
              <w:spacing w:line="300" w:lineRule="exact"/>
              <w:jc w:val="left"/>
              <w:outlineLvl w:val="0"/>
            </w:pPr>
          </w:p>
        </w:tc>
        <w:tc>
          <w:tcPr>
            <w:tcW w:w="545" w:type="dxa"/>
            <w:vMerge w:val="continue"/>
            <w:shd w:val="clear" w:color="auto" w:fill="auto"/>
            <w:vAlign w:val="center"/>
          </w:tcPr>
          <w:p>
            <w:pPr>
              <w:spacing w:line="300" w:lineRule="exact"/>
              <w:jc w:val="left"/>
              <w:outlineLvl w:val="0"/>
            </w:pPr>
          </w:p>
        </w:tc>
        <w:tc>
          <w:tcPr>
            <w:tcW w:w="636" w:type="dxa"/>
            <w:vMerge w:val="continue"/>
            <w:shd w:val="clear" w:color="auto" w:fill="auto"/>
            <w:vAlign w:val="center"/>
          </w:tcPr>
          <w:p>
            <w:pPr>
              <w:spacing w:line="300" w:lineRule="exact"/>
              <w:jc w:val="left"/>
              <w:outlineLvl w:val="0"/>
            </w:pPr>
          </w:p>
        </w:tc>
        <w:tc>
          <w:tcPr>
            <w:tcW w:w="530" w:type="dxa"/>
            <w:vMerge w:val="continue"/>
            <w:shd w:val="clear" w:color="auto" w:fill="auto"/>
            <w:vAlign w:val="center"/>
          </w:tcPr>
          <w:p>
            <w:pPr>
              <w:spacing w:line="300" w:lineRule="exact"/>
              <w:jc w:val="left"/>
              <w:outlineLvl w:val="0"/>
            </w:pPr>
          </w:p>
        </w:tc>
        <w:tc>
          <w:tcPr>
            <w:tcW w:w="54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3004"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5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4" w:type="dxa"/>
            <w:vMerge w:val="continue"/>
            <w:shd w:val="clear" w:color="auto" w:fill="auto"/>
            <w:vAlign w:val="center"/>
          </w:tcPr>
          <w:p>
            <w:pPr>
              <w:spacing w:line="300" w:lineRule="exact"/>
              <w:jc w:val="left"/>
              <w:outlineLvl w:val="0"/>
            </w:pPr>
          </w:p>
        </w:tc>
        <w:tc>
          <w:tcPr>
            <w:tcW w:w="590" w:type="dxa"/>
            <w:vMerge w:val="continue"/>
            <w:shd w:val="clear" w:color="auto" w:fill="auto"/>
            <w:vAlign w:val="center"/>
          </w:tcPr>
          <w:p>
            <w:pPr>
              <w:spacing w:line="300" w:lineRule="exact"/>
              <w:jc w:val="left"/>
              <w:outlineLvl w:val="0"/>
            </w:pPr>
          </w:p>
        </w:tc>
        <w:tc>
          <w:tcPr>
            <w:tcW w:w="575" w:type="dxa"/>
            <w:vMerge w:val="continue"/>
            <w:shd w:val="clear" w:color="auto" w:fill="auto"/>
            <w:vAlign w:val="center"/>
          </w:tcPr>
          <w:p>
            <w:pPr>
              <w:spacing w:line="300" w:lineRule="exact"/>
              <w:jc w:val="left"/>
              <w:outlineLvl w:val="0"/>
            </w:pPr>
          </w:p>
        </w:tc>
        <w:tc>
          <w:tcPr>
            <w:tcW w:w="793" w:type="dxa"/>
            <w:vMerge w:val="continue"/>
            <w:shd w:val="clear" w:color="auto" w:fill="auto"/>
            <w:vAlign w:val="center"/>
          </w:tcPr>
          <w:p>
            <w:pPr>
              <w:spacing w:line="300" w:lineRule="exact"/>
              <w:jc w:val="left"/>
              <w:outlineLvl w:val="0"/>
            </w:pPr>
          </w:p>
        </w:tc>
        <w:tc>
          <w:tcPr>
            <w:tcW w:w="545" w:type="dxa"/>
            <w:vMerge w:val="continue"/>
            <w:shd w:val="clear" w:color="auto" w:fill="auto"/>
            <w:vAlign w:val="center"/>
          </w:tcPr>
          <w:p>
            <w:pPr>
              <w:spacing w:line="300" w:lineRule="exact"/>
              <w:jc w:val="left"/>
              <w:outlineLvl w:val="0"/>
            </w:pPr>
          </w:p>
        </w:tc>
        <w:tc>
          <w:tcPr>
            <w:tcW w:w="636" w:type="dxa"/>
            <w:vMerge w:val="continue"/>
            <w:shd w:val="clear" w:color="auto" w:fill="auto"/>
            <w:vAlign w:val="center"/>
          </w:tcPr>
          <w:p>
            <w:pPr>
              <w:spacing w:line="300" w:lineRule="exact"/>
              <w:jc w:val="left"/>
              <w:outlineLvl w:val="0"/>
            </w:pPr>
          </w:p>
        </w:tc>
        <w:tc>
          <w:tcPr>
            <w:tcW w:w="530" w:type="dxa"/>
            <w:vMerge w:val="continue"/>
            <w:shd w:val="clear" w:color="auto" w:fill="auto"/>
            <w:vAlign w:val="center"/>
          </w:tcPr>
          <w:p>
            <w:pPr>
              <w:spacing w:line="300" w:lineRule="exact"/>
              <w:jc w:val="left"/>
              <w:outlineLvl w:val="0"/>
            </w:pPr>
          </w:p>
        </w:tc>
        <w:tc>
          <w:tcPr>
            <w:tcW w:w="549" w:type="dxa"/>
            <w:vMerge w:val="continue"/>
            <w:shd w:val="clear" w:color="auto" w:fill="auto"/>
            <w:vAlign w:val="center"/>
          </w:tcPr>
          <w:p>
            <w:pPr>
              <w:spacing w:line="300" w:lineRule="exact"/>
              <w:jc w:val="left"/>
              <w:outlineLvl w:val="0"/>
            </w:pPr>
          </w:p>
        </w:tc>
        <w:tc>
          <w:tcPr>
            <w:tcW w:w="54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2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5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5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5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576"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590" w:type="dxa"/>
            <w:shd w:val="clear" w:color="auto" w:fill="auto"/>
            <w:vAlign w:val="center"/>
          </w:tcPr>
          <w:p>
            <w:pPr>
              <w:spacing w:line="300" w:lineRule="exact"/>
              <w:jc w:val="right"/>
              <w:rPr>
                <w:rFonts w:ascii="方正书宋_GBK" w:eastAsia="方正书宋_GBK"/>
                <w:b/>
              </w:rPr>
            </w:pPr>
          </w:p>
        </w:tc>
        <w:tc>
          <w:tcPr>
            <w:tcW w:w="575" w:type="dxa"/>
            <w:shd w:val="clear" w:color="auto" w:fill="auto"/>
            <w:vAlign w:val="center"/>
          </w:tcPr>
          <w:p>
            <w:pPr>
              <w:spacing w:line="300" w:lineRule="exact"/>
              <w:jc w:val="left"/>
              <w:rPr>
                <w:rFonts w:ascii="方正书宋_GBK" w:eastAsia="方正书宋_GBK"/>
                <w:b/>
              </w:rPr>
            </w:pPr>
          </w:p>
        </w:tc>
        <w:tc>
          <w:tcPr>
            <w:tcW w:w="793" w:type="dxa"/>
            <w:shd w:val="clear" w:color="auto" w:fill="auto"/>
            <w:vAlign w:val="center"/>
          </w:tcPr>
          <w:p>
            <w:pPr>
              <w:spacing w:line="300" w:lineRule="exact"/>
              <w:jc w:val="left"/>
              <w:rPr>
                <w:rFonts w:ascii="方正书宋_GBK" w:eastAsia="方正书宋_GBK"/>
                <w:b/>
              </w:rPr>
            </w:pPr>
          </w:p>
        </w:tc>
        <w:tc>
          <w:tcPr>
            <w:tcW w:w="545" w:type="dxa"/>
            <w:shd w:val="clear" w:color="auto" w:fill="auto"/>
            <w:vAlign w:val="center"/>
          </w:tcPr>
          <w:p>
            <w:pPr>
              <w:spacing w:line="300" w:lineRule="exact"/>
              <w:jc w:val="left"/>
              <w:rPr>
                <w:rFonts w:ascii="方正书宋_GBK" w:eastAsia="方正书宋_GBK"/>
                <w:b/>
              </w:rPr>
            </w:pPr>
          </w:p>
        </w:tc>
        <w:tc>
          <w:tcPr>
            <w:tcW w:w="636" w:type="dxa"/>
            <w:shd w:val="clear" w:color="auto" w:fill="auto"/>
            <w:vAlign w:val="center"/>
          </w:tcPr>
          <w:p>
            <w:pPr>
              <w:spacing w:line="300" w:lineRule="exact"/>
              <w:jc w:val="right"/>
              <w:rPr>
                <w:rFonts w:ascii="方正书宋_GBK" w:eastAsia="方正书宋_GBK"/>
                <w:b/>
              </w:rPr>
            </w:pPr>
          </w:p>
        </w:tc>
        <w:tc>
          <w:tcPr>
            <w:tcW w:w="530" w:type="dxa"/>
            <w:shd w:val="clear" w:color="auto" w:fill="auto"/>
            <w:vAlign w:val="center"/>
          </w:tcPr>
          <w:p>
            <w:pPr>
              <w:spacing w:line="300" w:lineRule="exact"/>
              <w:jc w:val="right"/>
              <w:rPr>
                <w:rFonts w:ascii="方正书宋_GBK" w:eastAsia="方正书宋_GBK"/>
                <w:b/>
              </w:rPr>
            </w:pPr>
          </w:p>
        </w:tc>
        <w:tc>
          <w:tcPr>
            <w:tcW w:w="54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3.5</w:t>
            </w:r>
          </w:p>
        </w:tc>
        <w:tc>
          <w:tcPr>
            <w:tcW w:w="54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3.5</w:t>
            </w:r>
          </w:p>
        </w:tc>
        <w:tc>
          <w:tcPr>
            <w:tcW w:w="728"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3.5</w:t>
            </w:r>
          </w:p>
        </w:tc>
        <w:tc>
          <w:tcPr>
            <w:tcW w:w="575" w:type="dxa"/>
            <w:shd w:val="clear" w:color="auto" w:fill="auto"/>
            <w:vAlign w:val="center"/>
          </w:tcPr>
          <w:p>
            <w:pPr>
              <w:spacing w:line="300" w:lineRule="exact"/>
              <w:jc w:val="right"/>
              <w:rPr>
                <w:rFonts w:ascii="方正书宋_GBK" w:eastAsia="方正书宋_GBK"/>
                <w:b/>
              </w:rPr>
            </w:pPr>
          </w:p>
        </w:tc>
        <w:tc>
          <w:tcPr>
            <w:tcW w:w="576" w:type="dxa"/>
            <w:shd w:val="clear" w:color="auto" w:fill="auto"/>
            <w:vAlign w:val="center"/>
          </w:tcPr>
          <w:p>
            <w:pPr>
              <w:spacing w:line="300" w:lineRule="exact"/>
              <w:jc w:val="right"/>
              <w:rPr>
                <w:rFonts w:ascii="方正书宋_GBK" w:eastAsia="方正书宋_GBK"/>
                <w:b/>
              </w:rPr>
            </w:pPr>
          </w:p>
        </w:tc>
        <w:tc>
          <w:tcPr>
            <w:tcW w:w="576" w:type="dxa"/>
            <w:shd w:val="clear" w:color="auto" w:fill="auto"/>
            <w:vAlign w:val="center"/>
          </w:tcPr>
          <w:p>
            <w:pPr>
              <w:spacing w:line="300" w:lineRule="exact"/>
              <w:jc w:val="right"/>
              <w:rPr>
                <w:rFonts w:ascii="方正书宋_GBK" w:eastAsia="方正书宋_GBK"/>
                <w:b/>
              </w:rPr>
            </w:pPr>
          </w:p>
        </w:tc>
        <w:tc>
          <w:tcPr>
            <w:tcW w:w="57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威县高公庄乡人民政府小计</w:t>
            </w:r>
          </w:p>
        </w:tc>
        <w:tc>
          <w:tcPr>
            <w:tcW w:w="590" w:type="dxa"/>
            <w:shd w:val="clear" w:color="auto" w:fill="auto"/>
            <w:vAlign w:val="center"/>
          </w:tcPr>
          <w:p>
            <w:pPr>
              <w:spacing w:line="300" w:lineRule="exact"/>
              <w:jc w:val="right"/>
              <w:rPr>
                <w:rFonts w:ascii="方正书宋_GBK" w:eastAsia="方正书宋_GBK"/>
                <w:b/>
              </w:rPr>
            </w:pPr>
          </w:p>
        </w:tc>
        <w:tc>
          <w:tcPr>
            <w:tcW w:w="575" w:type="dxa"/>
            <w:shd w:val="clear" w:color="auto" w:fill="auto"/>
            <w:vAlign w:val="center"/>
          </w:tcPr>
          <w:p>
            <w:pPr>
              <w:spacing w:line="300" w:lineRule="exact"/>
              <w:jc w:val="left"/>
              <w:rPr>
                <w:rFonts w:ascii="方正书宋_GBK" w:eastAsia="方正书宋_GBK"/>
                <w:b/>
              </w:rPr>
            </w:pPr>
          </w:p>
        </w:tc>
        <w:tc>
          <w:tcPr>
            <w:tcW w:w="793" w:type="dxa"/>
            <w:shd w:val="clear" w:color="auto" w:fill="auto"/>
            <w:vAlign w:val="center"/>
          </w:tcPr>
          <w:p>
            <w:pPr>
              <w:spacing w:line="300" w:lineRule="exact"/>
              <w:jc w:val="left"/>
              <w:rPr>
                <w:rFonts w:ascii="方正书宋_GBK" w:eastAsia="方正书宋_GBK"/>
                <w:b/>
              </w:rPr>
            </w:pPr>
          </w:p>
        </w:tc>
        <w:tc>
          <w:tcPr>
            <w:tcW w:w="545" w:type="dxa"/>
            <w:shd w:val="clear" w:color="auto" w:fill="auto"/>
            <w:vAlign w:val="center"/>
          </w:tcPr>
          <w:p>
            <w:pPr>
              <w:spacing w:line="300" w:lineRule="exact"/>
              <w:jc w:val="left"/>
              <w:rPr>
                <w:rFonts w:ascii="方正书宋_GBK" w:eastAsia="方正书宋_GBK"/>
                <w:b/>
              </w:rPr>
            </w:pPr>
          </w:p>
        </w:tc>
        <w:tc>
          <w:tcPr>
            <w:tcW w:w="636" w:type="dxa"/>
            <w:shd w:val="clear" w:color="auto" w:fill="auto"/>
            <w:vAlign w:val="center"/>
          </w:tcPr>
          <w:p>
            <w:pPr>
              <w:spacing w:line="300" w:lineRule="exact"/>
              <w:jc w:val="right"/>
              <w:rPr>
                <w:rFonts w:ascii="方正书宋_GBK" w:eastAsia="方正书宋_GBK"/>
                <w:b/>
              </w:rPr>
            </w:pPr>
          </w:p>
        </w:tc>
        <w:tc>
          <w:tcPr>
            <w:tcW w:w="530" w:type="dxa"/>
            <w:shd w:val="clear" w:color="auto" w:fill="auto"/>
            <w:vAlign w:val="center"/>
          </w:tcPr>
          <w:p>
            <w:pPr>
              <w:spacing w:line="300" w:lineRule="exact"/>
              <w:jc w:val="right"/>
              <w:rPr>
                <w:rFonts w:ascii="方正书宋_GBK" w:eastAsia="方正书宋_GBK"/>
                <w:b/>
              </w:rPr>
            </w:pPr>
          </w:p>
        </w:tc>
        <w:tc>
          <w:tcPr>
            <w:tcW w:w="54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3.5</w:t>
            </w:r>
          </w:p>
        </w:tc>
        <w:tc>
          <w:tcPr>
            <w:tcW w:w="54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3.5</w:t>
            </w:r>
          </w:p>
        </w:tc>
        <w:tc>
          <w:tcPr>
            <w:tcW w:w="728"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3.5</w:t>
            </w:r>
          </w:p>
        </w:tc>
        <w:tc>
          <w:tcPr>
            <w:tcW w:w="575" w:type="dxa"/>
            <w:shd w:val="clear" w:color="auto" w:fill="auto"/>
            <w:vAlign w:val="center"/>
          </w:tcPr>
          <w:p>
            <w:pPr>
              <w:spacing w:line="300" w:lineRule="exact"/>
              <w:jc w:val="right"/>
              <w:rPr>
                <w:rFonts w:ascii="方正书宋_GBK" w:eastAsia="方正书宋_GBK"/>
                <w:b/>
              </w:rPr>
            </w:pPr>
          </w:p>
        </w:tc>
        <w:tc>
          <w:tcPr>
            <w:tcW w:w="576" w:type="dxa"/>
            <w:shd w:val="clear" w:color="auto" w:fill="auto"/>
            <w:vAlign w:val="center"/>
          </w:tcPr>
          <w:p>
            <w:pPr>
              <w:spacing w:line="300" w:lineRule="exact"/>
              <w:jc w:val="right"/>
              <w:rPr>
                <w:rFonts w:ascii="方正书宋_GBK" w:eastAsia="方正书宋_GBK"/>
                <w:b/>
              </w:rPr>
            </w:pPr>
          </w:p>
        </w:tc>
        <w:tc>
          <w:tcPr>
            <w:tcW w:w="576" w:type="dxa"/>
            <w:shd w:val="clear" w:color="auto" w:fill="auto"/>
            <w:vAlign w:val="center"/>
          </w:tcPr>
          <w:p>
            <w:pPr>
              <w:spacing w:line="300" w:lineRule="exact"/>
              <w:jc w:val="right"/>
              <w:rPr>
                <w:rFonts w:ascii="方正书宋_GBK" w:eastAsia="方正书宋_GBK"/>
                <w:b/>
              </w:rPr>
            </w:pPr>
          </w:p>
        </w:tc>
        <w:tc>
          <w:tcPr>
            <w:tcW w:w="57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590" w:type="dxa"/>
            <w:shd w:val="clear" w:color="auto" w:fill="auto"/>
            <w:vAlign w:val="center"/>
          </w:tcPr>
          <w:p>
            <w:pPr>
              <w:spacing w:line="300" w:lineRule="exact"/>
              <w:jc w:val="right"/>
              <w:rPr>
                <w:rFonts w:ascii="方正书宋_GBK" w:eastAsia="方正书宋_GBK"/>
              </w:rPr>
            </w:pPr>
            <w:r>
              <w:rPr>
                <w:rFonts w:hint="eastAsia" w:ascii="方正书宋_GBK" w:eastAsia="方正书宋_GBK"/>
                <w:b/>
              </w:rPr>
              <w:t>3.5</w:t>
            </w:r>
          </w:p>
        </w:tc>
        <w:tc>
          <w:tcPr>
            <w:tcW w:w="5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电脑、打印机</w:t>
            </w:r>
          </w:p>
        </w:tc>
        <w:tc>
          <w:tcPr>
            <w:tcW w:w="79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A02</w:t>
            </w:r>
          </w:p>
        </w:tc>
        <w:tc>
          <w:tcPr>
            <w:tcW w:w="5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63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9</w:t>
            </w:r>
            <w:r>
              <w:rPr>
                <w:rFonts w:ascii="方正书宋_GBK" w:eastAsia="方正书宋_GBK"/>
              </w:rPr>
              <w:t>.00</w:t>
            </w:r>
          </w:p>
        </w:tc>
        <w:tc>
          <w:tcPr>
            <w:tcW w:w="530"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0.1</w:t>
            </w:r>
          </w:p>
        </w:tc>
        <w:tc>
          <w:tcPr>
            <w:tcW w:w="549" w:type="dxa"/>
            <w:shd w:val="clear" w:color="auto" w:fill="auto"/>
            <w:vAlign w:val="center"/>
          </w:tcPr>
          <w:p>
            <w:pPr>
              <w:spacing w:line="300" w:lineRule="exact"/>
              <w:jc w:val="right"/>
              <w:rPr>
                <w:rFonts w:ascii="方正书宋_GBK" w:eastAsia="方正书宋_GBK"/>
              </w:rPr>
            </w:pPr>
            <w:r>
              <w:rPr>
                <w:rFonts w:hint="eastAsia" w:ascii="方正书宋_GBK" w:eastAsia="方正书宋_GBK"/>
                <w:b/>
              </w:rPr>
              <w:t>3.5</w:t>
            </w:r>
          </w:p>
        </w:tc>
        <w:tc>
          <w:tcPr>
            <w:tcW w:w="549" w:type="dxa"/>
            <w:shd w:val="clear" w:color="auto" w:fill="auto"/>
            <w:vAlign w:val="center"/>
          </w:tcPr>
          <w:p>
            <w:pPr>
              <w:spacing w:line="300" w:lineRule="exact"/>
              <w:jc w:val="right"/>
              <w:rPr>
                <w:rFonts w:ascii="方正书宋_GBK" w:eastAsia="方正书宋_GBK"/>
              </w:rPr>
            </w:pPr>
            <w:r>
              <w:rPr>
                <w:rFonts w:hint="eastAsia" w:ascii="方正书宋_GBK" w:eastAsia="方正书宋_GBK"/>
                <w:b/>
              </w:rPr>
              <w:t>3.5</w:t>
            </w:r>
          </w:p>
        </w:tc>
        <w:tc>
          <w:tcPr>
            <w:tcW w:w="728" w:type="dxa"/>
            <w:shd w:val="clear" w:color="auto" w:fill="auto"/>
            <w:vAlign w:val="center"/>
          </w:tcPr>
          <w:p>
            <w:pPr>
              <w:spacing w:line="300" w:lineRule="exact"/>
              <w:jc w:val="right"/>
              <w:rPr>
                <w:rFonts w:ascii="方正书宋_GBK" w:eastAsia="方正书宋_GBK"/>
              </w:rPr>
            </w:pPr>
            <w:r>
              <w:rPr>
                <w:rFonts w:hint="eastAsia" w:ascii="方正书宋_GBK" w:eastAsia="方正书宋_GBK"/>
                <w:b/>
              </w:rPr>
              <w:t>3.5</w:t>
            </w:r>
          </w:p>
        </w:tc>
        <w:tc>
          <w:tcPr>
            <w:tcW w:w="575" w:type="dxa"/>
            <w:shd w:val="clear" w:color="auto" w:fill="auto"/>
            <w:vAlign w:val="center"/>
          </w:tcPr>
          <w:p>
            <w:pPr>
              <w:spacing w:line="300" w:lineRule="exact"/>
              <w:jc w:val="right"/>
              <w:rPr>
                <w:rFonts w:ascii="方正书宋_GBK" w:eastAsia="方正书宋_GBK"/>
              </w:rPr>
            </w:pPr>
          </w:p>
        </w:tc>
        <w:tc>
          <w:tcPr>
            <w:tcW w:w="576" w:type="dxa"/>
            <w:shd w:val="clear" w:color="auto" w:fill="auto"/>
            <w:vAlign w:val="center"/>
          </w:tcPr>
          <w:p>
            <w:pPr>
              <w:spacing w:line="300" w:lineRule="exact"/>
              <w:jc w:val="right"/>
              <w:rPr>
                <w:rFonts w:ascii="方正书宋_GBK" w:eastAsia="方正书宋_GBK"/>
              </w:rPr>
            </w:pPr>
          </w:p>
        </w:tc>
        <w:tc>
          <w:tcPr>
            <w:tcW w:w="576" w:type="dxa"/>
            <w:shd w:val="clear" w:color="auto" w:fill="auto"/>
            <w:vAlign w:val="center"/>
          </w:tcPr>
          <w:p>
            <w:pPr>
              <w:spacing w:line="300" w:lineRule="exact"/>
              <w:jc w:val="right"/>
              <w:rPr>
                <w:rFonts w:ascii="方正书宋_GBK" w:eastAsia="方正书宋_GBK"/>
              </w:rPr>
            </w:pPr>
          </w:p>
        </w:tc>
        <w:tc>
          <w:tcPr>
            <w:tcW w:w="576"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威县高公庄乡人民政府（含所属单位）上年末固定资产金额为204.87万元（详见下表），本年度拟购置固定资产总额为3.5万元，主要为电脑、打印机等，已列入政府采购预算，详见政府采购预算表。</w:t>
      </w:r>
    </w:p>
    <w:tbl>
      <w:tblPr>
        <w:tblStyle w:val="8"/>
        <w:tblW w:w="8522" w:type="dxa"/>
        <w:tblInd w:w="93" w:type="dxa"/>
        <w:tblLayout w:type="fixed"/>
        <w:tblCellMar>
          <w:top w:w="0" w:type="dxa"/>
          <w:left w:w="108" w:type="dxa"/>
          <w:bottom w:w="0" w:type="dxa"/>
          <w:right w:w="108" w:type="dxa"/>
        </w:tblCellMar>
      </w:tblPr>
      <w:tblGrid>
        <w:gridCol w:w="3135"/>
        <w:gridCol w:w="656"/>
        <w:gridCol w:w="4731"/>
      </w:tblGrid>
      <w:tr>
        <w:tblPrEx>
          <w:tblCellMar>
            <w:top w:w="0" w:type="dxa"/>
            <w:left w:w="108" w:type="dxa"/>
            <w:bottom w:w="0" w:type="dxa"/>
            <w:right w:w="108" w:type="dxa"/>
          </w:tblCellMar>
        </w:tblPrEx>
        <w:trPr>
          <w:trHeight w:val="705" w:hRule="atLeast"/>
        </w:trPr>
        <w:tc>
          <w:tcPr>
            <w:tcW w:w="8522" w:type="dxa"/>
            <w:gridSpan w:val="3"/>
            <w:tcBorders>
              <w:top w:val="nil"/>
              <w:left w:val="nil"/>
              <w:bottom w:val="nil"/>
              <w:right w:val="nil"/>
            </w:tcBorders>
            <w:shd w:val="clear" w:color="auto" w:fill="auto"/>
            <w:noWrap/>
            <w:vAlign w:val="center"/>
          </w:tcPr>
          <w:p>
            <w:pPr>
              <w:widowControl/>
              <w:jc w:val="center"/>
              <w:rPr>
                <w:rFonts w:ascii="宋体" w:hAnsi="宋体"/>
                <w:b/>
                <w:bCs/>
                <w:kern w:val="0"/>
                <w:sz w:val="32"/>
                <w:szCs w:val="32"/>
                <w:highlight w:val="yellow"/>
              </w:rPr>
            </w:pPr>
            <w:r>
              <w:rPr>
                <w:rFonts w:hint="eastAsia" w:ascii="宋体" w:hAnsi="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3791" w:type="dxa"/>
            <w:gridSpan w:val="2"/>
            <w:tcBorders>
              <w:top w:val="nil"/>
              <w:left w:val="nil"/>
              <w:bottom w:val="nil"/>
              <w:right w:val="nil"/>
            </w:tcBorders>
            <w:shd w:val="clear" w:color="auto" w:fill="auto"/>
            <w:noWrap/>
            <w:vAlign w:val="center"/>
          </w:tcPr>
          <w:p>
            <w:pPr>
              <w:widowControl/>
              <w:jc w:val="left"/>
              <w:rPr>
                <w:rFonts w:ascii="宋体" w:hAnsi="宋体"/>
                <w:kern w:val="0"/>
                <w:sz w:val="22"/>
              </w:rPr>
            </w:pPr>
            <w:r>
              <w:rPr>
                <w:rFonts w:hint="eastAsia" w:ascii="宋体" w:hAnsi="宋体"/>
                <w:kern w:val="0"/>
                <w:sz w:val="22"/>
              </w:rPr>
              <w:t>编制部门：威县高公庄乡人民政府</w:t>
            </w:r>
          </w:p>
        </w:tc>
        <w:tc>
          <w:tcPr>
            <w:tcW w:w="4731" w:type="dxa"/>
            <w:tcBorders>
              <w:top w:val="nil"/>
              <w:left w:val="nil"/>
              <w:bottom w:val="nil"/>
              <w:right w:val="nil"/>
            </w:tcBorders>
            <w:shd w:val="clear" w:color="auto" w:fill="auto"/>
            <w:noWrap/>
            <w:vAlign w:val="center"/>
          </w:tcPr>
          <w:p>
            <w:pPr>
              <w:widowControl/>
              <w:ind w:firstLine="1210" w:firstLineChars="550"/>
              <w:jc w:val="left"/>
              <w:rPr>
                <w:rFonts w:ascii="宋体" w:hAnsi="宋体"/>
                <w:kern w:val="0"/>
                <w:sz w:val="22"/>
              </w:rPr>
            </w:pPr>
            <w:r>
              <w:rPr>
                <w:rFonts w:hint="eastAsia" w:ascii="宋体" w:hAnsi="宋体"/>
                <w:kern w:val="0"/>
                <w:sz w:val="22"/>
              </w:rPr>
              <w:t>截止时间：2018年12月31日</w:t>
            </w:r>
          </w:p>
        </w:tc>
      </w:tr>
      <w:tr>
        <w:tblPrEx>
          <w:tblCellMar>
            <w:top w:w="0" w:type="dxa"/>
            <w:left w:w="108" w:type="dxa"/>
            <w:bottom w:w="0" w:type="dxa"/>
            <w:right w:w="108" w:type="dxa"/>
          </w:tblCellMar>
        </w:tblPrEx>
        <w:trPr>
          <w:trHeight w:val="645" w:hRule="atLeast"/>
        </w:trPr>
        <w:tc>
          <w:tcPr>
            <w:tcW w:w="3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kern w:val="0"/>
                <w:sz w:val="22"/>
              </w:rPr>
            </w:pPr>
            <w:r>
              <w:rPr>
                <w:rFonts w:hint="eastAsia" w:ascii="宋体" w:hAnsi="宋体"/>
                <w:b/>
                <w:bCs/>
                <w:kern w:val="0"/>
                <w:sz w:val="22"/>
              </w:rPr>
              <w:t>项目</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2"/>
              </w:rPr>
            </w:pPr>
            <w:r>
              <w:rPr>
                <w:rFonts w:hint="eastAsia" w:ascii="宋体" w:hAnsi="宋体"/>
                <w:b/>
                <w:bCs/>
                <w:kern w:val="0"/>
                <w:sz w:val="22"/>
              </w:rPr>
              <w:t>数量</w:t>
            </w:r>
          </w:p>
        </w:tc>
        <w:tc>
          <w:tcPr>
            <w:tcW w:w="4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2"/>
              </w:rPr>
            </w:pPr>
            <w:r>
              <w:rPr>
                <w:rFonts w:hint="eastAsia" w:ascii="宋体" w:hAnsi="宋体"/>
                <w:b/>
                <w:bCs/>
                <w:kern w:val="0"/>
                <w:sz w:val="22"/>
              </w:rPr>
              <w:t>价值（金额单位：万元）</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22"/>
              </w:rPr>
            </w:pPr>
            <w:r>
              <w:rPr>
                <w:rFonts w:hint="eastAsia" w:ascii="宋体" w:hAnsi="宋体"/>
                <w:kern w:val="0"/>
                <w:sz w:val="22"/>
              </w:rPr>
              <w:t>资产总额</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4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204.87</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1、房屋（平方米）</w:t>
            </w:r>
          </w:p>
        </w:tc>
        <w:tc>
          <w:tcPr>
            <w:tcW w:w="6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4439</w:t>
            </w:r>
          </w:p>
        </w:tc>
        <w:tc>
          <w:tcPr>
            <w:tcW w:w="4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132.37</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其中：办公用房（平方米）</w:t>
            </w:r>
          </w:p>
        </w:tc>
        <w:tc>
          <w:tcPr>
            <w:tcW w:w="6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4439</w:t>
            </w:r>
          </w:p>
        </w:tc>
        <w:tc>
          <w:tcPr>
            <w:tcW w:w="4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132.37</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2、车辆（台、辆）</w:t>
            </w:r>
          </w:p>
        </w:tc>
        <w:tc>
          <w:tcPr>
            <w:tcW w:w="6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2</w:t>
            </w:r>
          </w:p>
        </w:tc>
        <w:tc>
          <w:tcPr>
            <w:tcW w:w="4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26.40</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rPr>
            </w:pPr>
            <w:r>
              <w:rPr>
                <w:rFonts w:hint="eastAsia" w:ascii="宋体" w:hAnsi="宋体"/>
                <w:kern w:val="0"/>
                <w:sz w:val="22"/>
              </w:rPr>
              <w:t>3、单价在20万元以上的设备</w:t>
            </w:r>
          </w:p>
        </w:tc>
        <w:tc>
          <w:tcPr>
            <w:tcW w:w="6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c>
          <w:tcPr>
            <w:tcW w:w="4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4、其他固定资产</w:t>
            </w:r>
          </w:p>
        </w:tc>
        <w:tc>
          <w:tcPr>
            <w:tcW w:w="6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70</w:t>
            </w:r>
          </w:p>
        </w:tc>
        <w:tc>
          <w:tcPr>
            <w:tcW w:w="4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46.10</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6</w:t>
      </w:r>
      <w:r>
        <w:rPr>
          <w:rFonts w:ascii="Times New Roman" w:hAnsi="Times New Roman" w:eastAsia="方正仿宋_GBK" w:cs="Times New Roman"/>
          <w:b/>
          <w:sz w:val="32"/>
          <w:szCs w:val="32"/>
        </w:rPr>
        <w:t>、“三公”经费：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7</w:t>
      </w:r>
      <w:r>
        <w:rPr>
          <w:rFonts w:ascii="Times New Roman" w:hAnsi="Times New Roman" w:eastAsia="方正仿宋_GBK" w:cs="Times New Roman"/>
          <w:b/>
          <w:sz w:val="32"/>
          <w:szCs w:val="32"/>
        </w:rPr>
        <w:t>、机关运行费：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8、上年结转：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647B"/>
    <w:rsid w:val="003F18C5"/>
    <w:rsid w:val="008B647B"/>
    <w:rsid w:val="36CF2EE1"/>
    <w:rsid w:val="4D5E43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39"/>
    <w:rPr>
      <w:rFonts w:ascii="Times New Roman" w:hAnsi="Times New Roman" w:cs="Times New Roman"/>
      <w:szCs w:val="24"/>
    </w:rPr>
  </w:style>
  <w:style w:type="paragraph" w:styleId="6">
    <w:name w:val="footnote text"/>
    <w:basedOn w:val="1"/>
    <w:link w:val="17"/>
    <w:qFormat/>
    <w:uiPriority w:val="99"/>
    <w:pPr>
      <w:snapToGrid w:val="0"/>
      <w:jc w:val="left"/>
    </w:pPr>
    <w:rPr>
      <w:rFonts w:cs="Times New Roman"/>
      <w:sz w:val="18"/>
      <w:szCs w:val="18"/>
    </w:rPr>
  </w:style>
  <w:style w:type="paragraph" w:styleId="7">
    <w:name w:val="toc 2"/>
    <w:basedOn w:val="1"/>
    <w:next w:val="1"/>
    <w:uiPriority w:val="39"/>
    <w:pPr>
      <w:ind w:left="420" w:leftChars="200"/>
    </w:pPr>
    <w:rPr>
      <w:rFonts w:ascii="Times New Roman" w:hAnsi="Times New Roman" w:cs="Times New Roman"/>
      <w:szCs w:val="24"/>
    </w:rPr>
  </w:style>
  <w:style w:type="character" w:styleId="10">
    <w:name w:val="page number"/>
    <w:qFormat/>
    <w:uiPriority w:val="99"/>
  </w:style>
  <w:style w:type="character" w:styleId="11">
    <w:name w:val="Hyperlink"/>
    <w:qFormat/>
    <w:uiPriority w:val="99"/>
    <w:rPr>
      <w:color w:val="0000FF"/>
      <w:u w:val="single"/>
    </w:rPr>
  </w:style>
  <w:style w:type="character" w:styleId="12">
    <w:name w:val="footnote reference"/>
    <w:qFormat/>
    <w:uiPriority w:val="99"/>
    <w:rPr>
      <w:vertAlign w:val="superscript"/>
    </w:rPr>
  </w:style>
  <w:style w:type="character" w:customStyle="1" w:styleId="13">
    <w:name w:val="页眉 Char"/>
    <w:basedOn w:val="9"/>
    <w:link w:val="4"/>
    <w:uiPriority w:val="99"/>
    <w:rPr>
      <w:rFonts w:ascii="Times New Roman" w:hAnsi="Times New Roman" w:eastAsia="宋体" w:cs="Times New Roman"/>
      <w:sz w:val="18"/>
      <w:szCs w:val="18"/>
    </w:rPr>
  </w:style>
  <w:style w:type="character" w:customStyle="1" w:styleId="14">
    <w:name w:val="页脚 Char"/>
    <w:basedOn w:val="9"/>
    <w:link w:val="3"/>
    <w:uiPriority w:val="99"/>
    <w:rPr>
      <w:rFonts w:ascii="Times New Roman" w:hAnsi="Times New Roman" w:eastAsia="宋体" w:cs="Times New Roman"/>
      <w:sz w:val="18"/>
      <w:szCs w:val="18"/>
    </w:rPr>
  </w:style>
  <w:style w:type="character" w:customStyle="1" w:styleId="15">
    <w:name w:val="批注框文本 Char"/>
    <w:basedOn w:val="9"/>
    <w:link w:val="2"/>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3F03-9BCD-45A7-9FAB-0B6311AC097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1464</Words>
  <Characters>8351</Characters>
  <Lines>69</Lines>
  <Paragraphs>19</Paragraphs>
  <TotalTime>18</TotalTime>
  <ScaleCrop>false</ScaleCrop>
  <LinksUpToDate>false</LinksUpToDate>
  <CharactersWithSpaces>9796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2019-02-25T13:39:00Z</cp:lastPrinted>
  <dcterms:modified xsi:type="dcterms:W3CDTF">2023-06-12T15:45:03Z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1CA6880459FC436E9269F3254CFCD979</vt:lpwstr>
  </property>
</Properties>
</file>