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bookmarkStart w:id="1" w:name="_GoBack"/>
      <w:bookmarkEnd w:id="1"/>
      <w:r>
        <w:rPr>
          <w:rFonts w:hint="eastAsia" w:ascii="Times New Roman" w:hAnsi="Times New Roman" w:eastAsia="方正小标宋_GBK" w:cs="Times New Roman"/>
          <w:sz w:val="44"/>
          <w:szCs w:val="44"/>
        </w:rPr>
        <w:t>威县常庄镇人民政府</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w:t>
      </w:r>
      <w:r>
        <w:rPr>
          <w:rFonts w:hint="eastAsia" w:ascii="Times New Roman" w:hAnsi="Times New Roman" w:eastAsia="方正仿宋_GBK" w:cs="Times New Roman"/>
          <w:sz w:val="32"/>
          <w:szCs w:val="32"/>
        </w:rPr>
        <w:t>将常庄镇人民政府</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镇党委的领导下和镇人大的监督下，以邓小平理论和“三个代表”重要思想为指导，认真贯彻执行党的路线、方针、政策和党中央、国务院的总体部署，严格执行国家法律、法规，坚决贯彻落实省委、省政府、市委、市政府、县委、县政府以及镇党委的决定、指示，贯彻执行镇人大及主席团会的决议，坚持以人为本，树立和落实科学发展观，全面履行政府职能，实行科学民主决策，坚持依法行政。加强行政监督，形成行为规范、运转协调、公正透明、廉洁高效的行政管理体制，建设学习型、务实型、服务型、廉洁型政府。依照法律规定的权限，管理全镇行政区域内的经济、科教、文体事业、社会治安综合治理、城镇建设、财政及税务等行政事务。镇政府组成人员要忠实履行宪法和法律赋予的职责，坚持依法行政，执政为民；坚持解放思想，实事求是，与时俱进，开拓创新；顾全大局，忠于职守，服从命令，讲究效率，发扬谦虚谨慎、不骄不躁和艰苦奋斗的精神；深入实际，调查研究，清正廉洁，全心全意为人民服务，自觉接受人民群众的监督。认真贯彻执行党中央、国务院的路线、方针、政策和市委、市政府、</w:t>
      </w:r>
      <w:r>
        <w:rPr>
          <w:rFonts w:hint="eastAsia" w:ascii="Times New Roman" w:hAnsi="Times New Roman" w:eastAsia="方正仿宋_GBK" w:cs="Times New Roman"/>
          <w:sz w:val="32"/>
          <w:szCs w:val="32"/>
          <w:lang w:eastAsia="zh-CN"/>
        </w:rPr>
        <w:t>县委、县政府</w:t>
      </w:r>
      <w:r>
        <w:rPr>
          <w:rFonts w:hint="eastAsia" w:ascii="Times New Roman" w:hAnsi="Times New Roman" w:eastAsia="方正仿宋_GBK" w:cs="Times New Roman"/>
          <w:sz w:val="32"/>
          <w:szCs w:val="32"/>
        </w:rPr>
        <w:t>和镇党委的决策部署，执行镇人民代表大会及其主席团会的决议。执行本级人民代表大会的决议、决定和上级政府机关的决定、命令；组织各职能部门搞好服务，指导、帮助、支持好村委会的工作，努力完成年度经济、社会发展计划指标任务。组织财政、税务部门完成财税收入计划，严肃财经纪律，依法监督各部门的财务收支管理，实现财政收支平衡。</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机构设置：</w:t>
      </w:r>
    </w:p>
    <w:tbl>
      <w:tblPr>
        <w:tblStyle w:val="8"/>
        <w:tblpPr w:leftFromText="180" w:rightFromText="180" w:vertAnchor="page" w:horzAnchor="page" w:tblpXSpec="center" w:tblpY="6576"/>
        <w:tblW w:w="8836" w:type="dxa"/>
        <w:jc w:val="center"/>
        <w:tblLayout w:type="fixed"/>
        <w:tblCellMar>
          <w:top w:w="0" w:type="dxa"/>
          <w:left w:w="108" w:type="dxa"/>
          <w:bottom w:w="0" w:type="dxa"/>
          <w:right w:w="108" w:type="dxa"/>
        </w:tblCellMar>
      </w:tblPr>
      <w:tblGrid>
        <w:gridCol w:w="2207"/>
        <w:gridCol w:w="2207"/>
        <w:gridCol w:w="2207"/>
        <w:gridCol w:w="2215"/>
      </w:tblGrid>
      <w:tr>
        <w:tblPrEx>
          <w:tblCellMar>
            <w:top w:w="0" w:type="dxa"/>
            <w:left w:w="108" w:type="dxa"/>
            <w:bottom w:w="0" w:type="dxa"/>
            <w:right w:w="108" w:type="dxa"/>
          </w:tblCellMar>
        </w:tblPrEx>
        <w:trPr>
          <w:trHeight w:val="99" w:hRule="atLeast"/>
          <w:jc w:val="center"/>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center"/>
              <w:outlineLvl w:val="0"/>
              <w:rPr>
                <w:rFonts w:ascii="仿宋" w:hAnsi="仿宋" w:eastAsia="仿宋"/>
              </w:rPr>
            </w:pPr>
            <w:r>
              <w:rPr>
                <w:rFonts w:ascii="仿宋" w:hAnsi="仿宋" w:eastAsia="仿宋"/>
              </w:rPr>
              <w:t>部门机构设置情况 单位名称</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ascii="仿宋" w:hAnsi="仿宋" w:eastAsia="仿宋"/>
              </w:rPr>
              <w:t xml:space="preserve">单位性质 </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ascii="仿宋" w:hAnsi="仿宋" w:eastAsia="仿宋"/>
              </w:rPr>
              <w:t xml:space="preserve">单位规格 </w:t>
            </w: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ascii="仿宋" w:hAnsi="仿宋" w:eastAsia="仿宋"/>
              </w:rPr>
              <w:t xml:space="preserve">经费保障形式 </w:t>
            </w:r>
          </w:p>
        </w:tc>
      </w:tr>
      <w:tr>
        <w:tblPrEx>
          <w:tblCellMar>
            <w:top w:w="0" w:type="dxa"/>
            <w:left w:w="108" w:type="dxa"/>
            <w:bottom w:w="0" w:type="dxa"/>
            <w:right w:w="108" w:type="dxa"/>
          </w:tblCellMar>
        </w:tblPrEx>
        <w:trPr>
          <w:trHeight w:val="99" w:hRule="atLeast"/>
          <w:jc w:val="center"/>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威县常庄镇政府机关</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行政</w:t>
            </w: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正科级</w:t>
            </w: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r>
              <w:rPr>
                <w:rFonts w:hint="eastAsia" w:ascii="仿宋" w:hAnsi="仿宋" w:eastAsia="仿宋"/>
              </w:rPr>
              <w:t>财政拨款</w:t>
            </w:r>
          </w:p>
        </w:tc>
      </w:tr>
      <w:tr>
        <w:tblPrEx>
          <w:tblCellMar>
            <w:top w:w="0" w:type="dxa"/>
            <w:left w:w="108" w:type="dxa"/>
            <w:bottom w:w="0" w:type="dxa"/>
            <w:right w:w="108" w:type="dxa"/>
          </w:tblCellMar>
        </w:tblPrEx>
        <w:trPr>
          <w:trHeight w:val="99" w:hRule="atLeast"/>
          <w:jc w:val="center"/>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r>
      <w:tr>
        <w:tblPrEx>
          <w:tblCellMar>
            <w:top w:w="0" w:type="dxa"/>
            <w:left w:w="108" w:type="dxa"/>
            <w:bottom w:w="0" w:type="dxa"/>
            <w:right w:w="108" w:type="dxa"/>
          </w:tblCellMar>
        </w:tblPrEx>
        <w:trPr>
          <w:trHeight w:val="331" w:hRule="atLeast"/>
          <w:jc w:val="center"/>
        </w:trPr>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07"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c>
          <w:tcPr>
            <w:tcW w:w="2215"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rPr>
            </w:pPr>
          </w:p>
        </w:tc>
      </w:tr>
    </w:tbl>
    <w:p>
      <w:pPr>
        <w:ind w:firstLine="640"/>
        <w:rPr>
          <w:rFonts w:ascii="黑体" w:hAnsi="黑体" w:eastAsia="黑体" w:cs="黑体"/>
          <w:sz w:val="32"/>
          <w:szCs w:val="32"/>
        </w:rPr>
      </w:pPr>
    </w:p>
    <w:p>
      <w:pPr>
        <w:ind w:firstLine="640"/>
        <w:rPr>
          <w:rFonts w:ascii="黑体" w:hAnsi="黑体" w:eastAsia="黑体" w:cs="黑体"/>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w:t>
      </w:r>
      <w:r>
        <w:rPr>
          <w:rFonts w:hint="eastAsia" w:ascii="Times New Roman" w:hAnsi="Times New Roman" w:eastAsia="方正仿宋_GBK" w:cs="Times New Roman"/>
          <w:sz w:val="32"/>
          <w:szCs w:val="32"/>
        </w:rPr>
        <w:t>常庄镇人民政府</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w:t>
      </w:r>
      <w:r>
        <w:rPr>
          <w:rFonts w:hint="eastAsia" w:ascii="Times New Roman" w:hAnsi="Times New Roman" w:eastAsia="方正仿宋_GBK" w:cs="Times New Roman"/>
          <w:sz w:val="32"/>
          <w:szCs w:val="32"/>
        </w:rPr>
        <w:t>019年预算收入972.96万元，其中：一般公共预算收入337.7万元，基金预算收入208.38万元，财政专户核拨收入0万元。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rPr>
        <w:t>常庄镇人民政府</w:t>
      </w:r>
      <w:r>
        <w:rPr>
          <w:rFonts w:ascii="Times New Roman" w:hAnsi="Times New Roman" w:eastAsia="方正仿宋_GBK" w:cs="Times New Roman"/>
          <w:sz w:val="32"/>
          <w:szCs w:val="32"/>
        </w:rPr>
        <w:t>年度部门预算中支出预算的总体情况。201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972.96</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337.7</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309.86万元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27.84万元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635.26</w:t>
      </w:r>
      <w:r>
        <w:rPr>
          <w:rFonts w:ascii="Times New Roman" w:hAnsi="Times New Roman" w:eastAsia="方正仿宋_GBK" w:cs="Times New Roman"/>
          <w:sz w:val="32"/>
          <w:szCs w:val="32"/>
        </w:rPr>
        <w:t>万元，主要为</w:t>
      </w:r>
      <w:r>
        <w:rPr>
          <w:rFonts w:hint="eastAsia" w:ascii="Times New Roman" w:hAnsi="Times New Roman" w:eastAsia="方正仿宋_GBK"/>
          <w:sz w:val="32"/>
          <w:szCs w:val="32"/>
        </w:rPr>
        <w:t>包括五保供养补助，义务兵补助，体制补助，村干部补贴，村级组织支出补助，计生组长补助</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spacing w:line="580" w:lineRule="exact"/>
        <w:ind w:firstLine="640" w:firstLineChars="200"/>
        <w:jc w:val="left"/>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年预算收支安</w:t>
      </w:r>
      <w:r>
        <w:rPr>
          <w:rFonts w:hint="eastAsia" w:ascii="Times New Roman" w:hAnsi="Times New Roman" w:eastAsia="方正仿宋_GBK" w:cs="Times New Roman"/>
          <w:sz w:val="32"/>
          <w:szCs w:val="32"/>
        </w:rPr>
        <w:t>排972.96万元，较2018年预算增加265.37万元，主要为增加人员经费支出、等项目支出。</w:t>
      </w:r>
    </w:p>
    <w:p>
      <w:pPr>
        <w:ind w:firstLine="640"/>
        <w:rPr>
          <w:rFonts w:ascii="仿宋_GB2312" w:hAnsi="黑体" w:eastAsia="仿宋_GB2312"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spacing w:line="580" w:lineRule="exact"/>
        <w:ind w:firstLine="640" w:firstLineChars="200"/>
        <w:rPr>
          <w:rFonts w:ascii="仿宋_GB2312" w:hAnsi="Times New Roman" w:eastAsia="仿宋_GB2312" w:cs="Times New Roman"/>
          <w:sz w:val="32"/>
          <w:szCs w:val="32"/>
        </w:rPr>
      </w:pPr>
      <w:r>
        <w:rPr>
          <w:rFonts w:hint="eastAsia" w:ascii="Times New Roman" w:hAnsi="Times New Roman" w:eastAsia="方正仿宋_GBK" w:cs="Times New Roman"/>
          <w:sz w:val="32"/>
          <w:szCs w:val="32"/>
        </w:rPr>
        <w:t>2019年，机关运行经费共计安排27.84万元，主要用于办公费、邮电费、差旅费、会议费、日常维修费、办公用房水电费、办公用房取暖费等日常运行支出。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仿宋_GB2312" w:hAnsi="仿宋_GB2312" w:eastAsia="仿宋_GB2312"/>
          <w:color w:val="000000"/>
          <w:sz w:val="32"/>
        </w:rPr>
        <w:t>，</w:t>
      </w:r>
      <w:r>
        <w:rPr>
          <w:rFonts w:hint="eastAsia" w:ascii="Times New Roman" w:hAnsi="Times New Roman" w:eastAsia="方正仿宋_GBK" w:cs="Times New Roman"/>
          <w:sz w:val="32"/>
          <w:szCs w:val="32"/>
        </w:rPr>
        <w:t>本部门财政拨款“三公”经费预算安排7.2万元，其中：未安排因公出国经费，公务用车购置及运维费6万元（公务用车购置费为0，公务用车运行费6万元)，公务接待费1.2万元。严格按照控制和压缩“三公”经费的要求，不高于上年“三公”经费。与2018年部门预算三公经费预算持平。</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spacing w:line="500" w:lineRule="exact"/>
        <w:ind w:firstLine="560"/>
        <w:rPr>
          <w:rFonts w:ascii="仿宋" w:hAnsi="仿宋" w:eastAsia="仿宋" w:cs="仿宋"/>
          <w:sz w:val="28"/>
        </w:rPr>
      </w:pPr>
      <w:r>
        <w:rPr>
          <w:rFonts w:hint="eastAsia" w:ascii="仿宋" w:hAnsi="仿宋" w:eastAsia="仿宋" w:cs="仿宋"/>
          <w:sz w:val="28"/>
        </w:rPr>
        <w:t>1、招商引资，落实奖罚责任制，以推进招商引资的积极性，努力完成上级下达的招商任务，为全县招商引资工作做出贡献。力争引进投资5亿元以上的上市公司5个，并全部开工建设。</w:t>
      </w:r>
    </w:p>
    <w:p>
      <w:pPr>
        <w:spacing w:line="500" w:lineRule="exact"/>
        <w:ind w:firstLine="560"/>
        <w:rPr>
          <w:rFonts w:ascii="仿宋" w:hAnsi="仿宋" w:eastAsia="仿宋" w:cs="仿宋"/>
          <w:sz w:val="28"/>
        </w:rPr>
      </w:pPr>
      <w:r>
        <w:rPr>
          <w:rFonts w:hint="eastAsia" w:ascii="仿宋" w:hAnsi="仿宋" w:eastAsia="仿宋" w:cs="仿宋"/>
          <w:sz w:val="28"/>
        </w:rPr>
        <w:t>2、发展壮大实体经济，增进创税创收项目。重点督促在建的投资5亿以上的河北顺驰汽车配件项目、重庆长安汽车公司行车电脑项目、河北杰星新型高科技密封件项目、河北技奥汽车灯具项目尽快完成建设进行生产，加大力度确保路迪电动汽车、亚泰密封件公司、海力船舶公司等在谈规模项目达成投资协议。确保超额完成县财税收入并比去年增长25%的目标。</w:t>
      </w:r>
    </w:p>
    <w:p>
      <w:pPr>
        <w:spacing w:line="500" w:lineRule="exact"/>
        <w:ind w:firstLine="560"/>
        <w:rPr>
          <w:rFonts w:ascii="仿宋" w:hAnsi="仿宋" w:eastAsia="仿宋" w:cs="仿宋"/>
          <w:sz w:val="28"/>
        </w:rPr>
      </w:pPr>
      <w:r>
        <w:rPr>
          <w:rFonts w:hint="eastAsia" w:ascii="仿宋" w:hAnsi="仿宋" w:eastAsia="仿宋" w:cs="仿宋"/>
          <w:sz w:val="28"/>
        </w:rPr>
        <w:t>3、调整农业产业结构，加快经济增长步伐。坚持把“三农”工作放在重中之重，加快经济增长步伐，大力发展特色产业，实现助农增收。巩固发展生态种植业，大力发展特色名优产业，并积极给予土地、技术等相应的支持。</w:t>
      </w:r>
    </w:p>
    <w:p>
      <w:pPr>
        <w:spacing w:line="500" w:lineRule="exact"/>
        <w:ind w:firstLine="560"/>
        <w:rPr>
          <w:rFonts w:ascii="仿宋" w:hAnsi="仿宋" w:eastAsia="仿宋" w:cs="仿宋"/>
          <w:sz w:val="28"/>
        </w:rPr>
      </w:pPr>
      <w:r>
        <w:rPr>
          <w:rFonts w:hint="eastAsia" w:ascii="仿宋" w:hAnsi="仿宋" w:eastAsia="仿宋" w:cs="仿宋"/>
          <w:sz w:val="28"/>
        </w:rPr>
        <w:t>4、优化发展环境。加强对乡村党员干部素质教育，转变作风，规范行为，做好园区服务，建立园区企业定期巡防制度，严厉打击对干扰企业生产生活的“五霸”。</w:t>
      </w:r>
    </w:p>
    <w:p>
      <w:pPr>
        <w:spacing w:line="500" w:lineRule="exact"/>
        <w:ind w:firstLine="560"/>
        <w:rPr>
          <w:rFonts w:ascii="仿宋" w:hAnsi="仿宋" w:eastAsia="仿宋" w:cs="仿宋"/>
          <w:sz w:val="28"/>
        </w:rPr>
      </w:pPr>
      <w:r>
        <w:rPr>
          <w:rFonts w:hint="eastAsia" w:ascii="仿宋" w:hAnsi="仿宋" w:eastAsia="仿宋" w:cs="仿宋"/>
          <w:sz w:val="28"/>
        </w:rPr>
        <w:t>5、搞好幸福美丽乡村建设，切实改善群众居住环境。重点做好后店村等村绿化工作，集中整治村内外环境，严禁乱堆乱放、私排污水等，着力开展庭院绿化，改善居住条件，打造新美丽乡村。</w:t>
      </w:r>
    </w:p>
    <w:p>
      <w:pPr>
        <w:spacing w:line="500" w:lineRule="exact"/>
        <w:ind w:firstLine="560"/>
        <w:rPr>
          <w:rFonts w:ascii="仿宋" w:hAnsi="仿宋" w:eastAsia="仿宋" w:cs="仿宋"/>
          <w:sz w:val="28"/>
        </w:rPr>
      </w:pPr>
      <w:r>
        <w:rPr>
          <w:rFonts w:hint="eastAsia" w:ascii="仿宋" w:hAnsi="仿宋" w:eastAsia="仿宋" w:cs="仿宋"/>
          <w:sz w:val="28"/>
        </w:rPr>
        <w:t>6、和谐稳定，确保年内本镇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spacing w:line="500" w:lineRule="exact"/>
        <w:ind w:firstLine="560"/>
        <w:rPr>
          <w:rFonts w:ascii="仿宋" w:hAnsi="仿宋" w:eastAsia="仿宋" w:cs="仿宋"/>
          <w:sz w:val="28"/>
        </w:rPr>
      </w:pPr>
      <w:r>
        <w:rPr>
          <w:rFonts w:hint="eastAsia" w:ascii="仿宋" w:hAnsi="仿宋" w:eastAsia="仿宋" w:cs="仿宋"/>
          <w:sz w:val="28"/>
        </w:rPr>
        <w:t>7、突出民生福祉，扎实开展新一轮扶贫开发，贯彻落实市、县农村扶贫开发实施意见，抓住全面对口帮扶机遇，大力扶持发展种养业和特色产业，着力增加村集体收入和农民收入，真正做到扶出和谐，扶出成效。</w:t>
      </w:r>
    </w:p>
    <w:p>
      <w:pPr>
        <w:ind w:firstLine="560"/>
        <w:rPr>
          <w:rFonts w:ascii="Times New Roman" w:hAnsi="Times New Roman" w:eastAsia="方正仿宋_GBK" w:cs="Times New Roman"/>
          <w:sz w:val="32"/>
          <w:szCs w:val="32"/>
        </w:rPr>
      </w:pPr>
    </w:p>
    <w:p>
      <w:pPr>
        <w:jc w:val="left"/>
        <w:rPr>
          <w:rFonts w:ascii="仿宋" w:hAnsi="仿宋" w:eastAsia="仿宋" w:cs="仿宋"/>
          <w:b/>
          <w:sz w:val="28"/>
        </w:rPr>
      </w:pPr>
      <w:r>
        <w:rPr>
          <w:rFonts w:hint="eastAsia" w:ascii="仿宋" w:hAnsi="仿宋" w:eastAsia="仿宋" w:cs="仿宋"/>
          <w:b/>
          <w:sz w:val="28"/>
        </w:rPr>
        <w:t xml:space="preserve"> 职责分类绩效目标：</w:t>
      </w:r>
    </w:p>
    <w:p>
      <w:pPr>
        <w:spacing w:line="500" w:lineRule="exact"/>
        <w:ind w:firstLine="560"/>
        <w:rPr>
          <w:rFonts w:ascii="仿宋" w:hAnsi="仿宋" w:eastAsia="仿宋" w:cs="仿宋"/>
          <w:sz w:val="28"/>
        </w:rPr>
      </w:pPr>
      <w:r>
        <w:rPr>
          <w:rFonts w:hint="eastAsia" w:ascii="仿宋" w:hAnsi="仿宋" w:eastAsia="仿宋" w:cs="仿宋"/>
          <w:sz w:val="28"/>
        </w:rPr>
        <w:t>一、招大引强有大突破。全面发动我乡在外经商人员，广辟信息来源渠道，特别是利用好上海奇益投资公司接触上市公司、央企多的优势，不惜人力、物力、财力，全力以赴招大商、引强企，争取年内引进超十亿元项目1个、亿元以上项目5个。</w:t>
      </w:r>
      <w:r>
        <w:rPr>
          <w:rFonts w:hint="eastAsia" w:ascii="仿宋" w:hAnsi="仿宋" w:eastAsia="仿宋" w:cs="仿宋"/>
          <w:sz w:val="28"/>
          <w:lang w:eastAsia="zh-CN"/>
        </w:rPr>
        <w:t>截至目前</w:t>
      </w:r>
      <w:r>
        <w:rPr>
          <w:rFonts w:hint="eastAsia" w:ascii="仿宋" w:hAnsi="仿宋" w:eastAsia="仿宋" w:cs="仿宋"/>
          <w:sz w:val="28"/>
        </w:rPr>
        <w:t>，已储备20个在谈项目，其中超亿元以上项目6个。努力在10亿元以上重点项目上实现突破。</w:t>
      </w:r>
    </w:p>
    <w:p>
      <w:pPr>
        <w:spacing w:line="500" w:lineRule="exact"/>
        <w:ind w:firstLine="560"/>
        <w:rPr>
          <w:rFonts w:ascii="仿宋" w:hAnsi="仿宋" w:eastAsia="仿宋" w:cs="仿宋"/>
          <w:sz w:val="28"/>
        </w:rPr>
      </w:pPr>
      <w:r>
        <w:rPr>
          <w:rFonts w:hint="eastAsia" w:ascii="仿宋" w:hAnsi="仿宋" w:eastAsia="仿宋" w:cs="仿宋"/>
          <w:sz w:val="28"/>
        </w:rPr>
        <w:t>梨园建设突破，确保完成今冬明春3300亩的建设任务，必将有效带动农民增收在现代农业上迈出坚实步伐。积极谋划跑办，完善园区路、电、气、供排水等基础设施，增强吸纳力和辐射力。</w:t>
      </w:r>
    </w:p>
    <w:p>
      <w:pPr>
        <w:spacing w:line="500" w:lineRule="exact"/>
        <w:ind w:firstLine="560"/>
        <w:rPr>
          <w:rFonts w:ascii="仿宋" w:hAnsi="仿宋" w:eastAsia="仿宋" w:cs="仿宋"/>
          <w:sz w:val="28"/>
        </w:rPr>
      </w:pPr>
      <w:r>
        <w:rPr>
          <w:rFonts w:hint="eastAsia" w:ascii="仿宋" w:hAnsi="仿宋" w:eastAsia="仿宋" w:cs="仿宋"/>
          <w:sz w:val="28"/>
        </w:rPr>
        <w:t>二、农业提质，以何庄农业园区为基点，以农民合作社为抓手，扩张提升蔬菜、牛、鸡等标准和水平，增加农民收入，实现增比进位。坚持育产业、夯基础，确保按照</w:t>
      </w:r>
      <w:r>
        <w:rPr>
          <w:rFonts w:hint="eastAsia" w:ascii="仿宋" w:hAnsi="仿宋" w:eastAsia="仿宋" w:cs="仿宋"/>
          <w:sz w:val="28"/>
          <w:lang w:eastAsia="zh-CN"/>
        </w:rPr>
        <w:t>县委、县政府</w:t>
      </w:r>
      <w:r>
        <w:rPr>
          <w:rFonts w:hint="eastAsia" w:ascii="仿宋" w:hAnsi="仿宋" w:eastAsia="仿宋" w:cs="仿宋"/>
          <w:sz w:val="28"/>
        </w:rPr>
        <w:t>安排，如期高质量完成脱贫攻坚任务。</w:t>
      </w:r>
    </w:p>
    <w:p>
      <w:pPr>
        <w:spacing w:line="500" w:lineRule="exact"/>
        <w:ind w:firstLine="560"/>
        <w:rPr>
          <w:rFonts w:ascii="仿宋" w:hAnsi="仿宋" w:eastAsia="仿宋" w:cs="仿宋"/>
          <w:sz w:val="28"/>
        </w:rPr>
      </w:pPr>
      <w:r>
        <w:rPr>
          <w:rFonts w:hint="eastAsia" w:ascii="仿宋" w:hAnsi="仿宋" w:eastAsia="仿宋" w:cs="仿宋"/>
          <w:sz w:val="28"/>
        </w:rPr>
        <w:t>建成牛寨综合服务中心，集文化广场、便民服务中心、村民议事中心、综合会议室、村史馆、图书馆、淘宝店等功能为一体，为加强基层组织建设提供引导和示范</w:t>
      </w:r>
    </w:p>
    <w:p>
      <w:pPr>
        <w:spacing w:line="500" w:lineRule="exact"/>
        <w:ind w:firstLine="560"/>
        <w:rPr>
          <w:rFonts w:ascii="仿宋" w:hAnsi="仿宋" w:eastAsia="仿宋" w:cs="仿宋"/>
          <w:sz w:val="28"/>
        </w:rPr>
      </w:pPr>
      <w:r>
        <w:rPr>
          <w:rFonts w:hint="eastAsia" w:ascii="仿宋" w:hAnsi="仿宋" w:eastAsia="仿宋" w:cs="仿宋"/>
          <w:sz w:val="28"/>
        </w:rPr>
        <w:t>抓好汽配工业园区建设，夯实经济发展基础，我镇依托汽车工业配件产业园区，积极争取上级支持，在常庄新民居北侧兴建常庄汽车站，并铺设排水管道2000米，完善了园区排水系统，装交通信号灯系统和交通标志牌，划定了交通标线，实现了主街道宽敞整洁、道路通畅、设施完善、管理有序。位于常庄镇工业区的35kV变电站建成投用，全站总征地面积2000平方米，镇内共建设线路塔12个，工程总投资共计1000多万，有力的保障了工业园区和人民群众的用电需求。</w:t>
      </w:r>
    </w:p>
    <w:p>
      <w:pPr>
        <w:spacing w:line="500" w:lineRule="exact"/>
        <w:ind w:firstLine="560"/>
        <w:rPr>
          <w:rFonts w:ascii="仿宋" w:hAnsi="仿宋" w:eastAsia="仿宋" w:cs="仿宋"/>
          <w:sz w:val="28"/>
        </w:rPr>
      </w:pPr>
      <w:r>
        <w:rPr>
          <w:rFonts w:hint="eastAsia" w:ascii="仿宋" w:hAnsi="仿宋" w:eastAsia="仿宋" w:cs="仿宋"/>
          <w:sz w:val="28"/>
        </w:rPr>
        <w:t>三、新农保参保率达到98%，农民群众看病难问题得到基本解决。孙庄、常庄两村孝道文化建设，在全镇范围内形成“尊老敬老爱老”的良好氛围，农民老有所养愿望初步实现；民主政治建设水平不断提高，全面推行“4321”工作机制，组织群众广泛参政议政，办好社会公益事业，从而达到了深化民主政治、实现共同发展的良好效果。加强民主法制和信访安全工作，有效控制了越级上访和集体上访事件的发生；通过社会治安综合治理的扎实开展，各种违法犯罪活动得到打击和控制；安全生产监管责任全面落实，各种安全隐患得以及时消除。</w:t>
      </w:r>
    </w:p>
    <w:p>
      <w:pPr>
        <w:ind w:firstLine="560"/>
        <w:rPr>
          <w:rFonts w:ascii="Times New Roman" w:hAnsi="Times New Roman" w:eastAsia="方正仿宋_GBK" w:cs="Times New Roman"/>
          <w:sz w:val="32"/>
          <w:szCs w:val="32"/>
        </w:rPr>
      </w:pPr>
    </w:p>
    <w:p>
      <w:pPr>
        <w:ind w:firstLine="560"/>
        <w:rPr>
          <w:rFonts w:ascii="Times New Roman" w:hAnsi="Times New Roman" w:eastAsia="方正仿宋_GBK" w:cs="Times New Roman"/>
          <w:sz w:val="32"/>
          <w:szCs w:val="32"/>
        </w:rPr>
      </w:pP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0"/>
    <w:p>
      <w:pPr>
        <w:jc w:val="center"/>
        <w:outlineLvl w:val="0"/>
        <w:rPr>
          <w:rFonts w:ascii="方正小标宋_GBK" w:hAnsi="Times New Roman" w:eastAsia="方正小标宋_GBK" w:cs="方正小标宋_GBK"/>
          <w:sz w:val="32"/>
          <w:szCs w:val="32"/>
        </w:rPr>
      </w:pPr>
      <w:r>
        <w:rPr>
          <w:rFonts w:hint="eastAsia" w:ascii="方正小标宋_GBK" w:hAnsi="Times New Roman" w:eastAsia="方正小标宋_GBK" w:cs="方正小标宋_GBK"/>
          <w:sz w:val="32"/>
          <w:szCs w:val="32"/>
        </w:rPr>
        <w:t>部门职责</w:t>
      </w:r>
      <w:r>
        <w:rPr>
          <w:rFonts w:ascii="方正小标宋_GBK" w:hAnsi="Times New Roman" w:eastAsia="方正小标宋_GBK" w:cs="方正小标宋_GBK"/>
          <w:sz w:val="32"/>
          <w:szCs w:val="32"/>
        </w:rPr>
        <w:t>-</w:t>
      </w:r>
      <w:r>
        <w:rPr>
          <w:rFonts w:hint="eastAsia" w:ascii="方正小标宋_GBK" w:hAnsi="Times New Roman" w:eastAsia="方正小标宋_GBK" w:cs="方正小标宋_GBK"/>
          <w:sz w:val="32"/>
          <w:szCs w:val="32"/>
        </w:rPr>
        <w:t>工作活动绩效目标</w:t>
      </w:r>
    </w:p>
    <w:tbl>
      <w:tblPr>
        <w:tblStyle w:val="8"/>
        <w:tblW w:w="124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937"/>
        <w:gridCol w:w="1878"/>
        <w:gridCol w:w="1932"/>
        <w:gridCol w:w="1015"/>
        <w:gridCol w:w="635"/>
        <w:gridCol w:w="960"/>
        <w:gridCol w:w="1005"/>
        <w:gridCol w:w="2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717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814</w:t>
            </w:r>
            <w:r>
              <w:rPr>
                <w:rFonts w:hint="eastAsia" w:ascii="方正小标宋_GBK" w:eastAsia="方正小标宋_GBK"/>
                <w:sz w:val="24"/>
              </w:rPr>
              <w:t>威县常庄镇人民政府</w:t>
            </w:r>
          </w:p>
        </w:tc>
        <w:tc>
          <w:tcPr>
            <w:tcW w:w="5272"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1414"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937"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1878"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1932"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15"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5272"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1414" w:type="dxa"/>
            <w:vMerge w:val="continue"/>
            <w:vAlign w:val="center"/>
          </w:tcPr>
          <w:p>
            <w:pPr>
              <w:spacing w:line="300" w:lineRule="exact"/>
              <w:jc w:val="left"/>
              <w:outlineLvl w:val="0"/>
            </w:pPr>
          </w:p>
        </w:tc>
        <w:tc>
          <w:tcPr>
            <w:tcW w:w="937" w:type="dxa"/>
            <w:vMerge w:val="continue"/>
            <w:vAlign w:val="center"/>
          </w:tcPr>
          <w:p>
            <w:pPr>
              <w:spacing w:line="300" w:lineRule="exact"/>
              <w:jc w:val="left"/>
              <w:outlineLvl w:val="0"/>
            </w:pPr>
          </w:p>
        </w:tc>
        <w:tc>
          <w:tcPr>
            <w:tcW w:w="1878" w:type="dxa"/>
            <w:vMerge w:val="continue"/>
            <w:vAlign w:val="center"/>
          </w:tcPr>
          <w:p>
            <w:pPr>
              <w:spacing w:line="300" w:lineRule="exact"/>
              <w:jc w:val="left"/>
              <w:outlineLvl w:val="0"/>
            </w:pPr>
          </w:p>
        </w:tc>
        <w:tc>
          <w:tcPr>
            <w:tcW w:w="1932" w:type="dxa"/>
            <w:vMerge w:val="continue"/>
            <w:vAlign w:val="center"/>
          </w:tcPr>
          <w:p>
            <w:pPr>
              <w:spacing w:line="300" w:lineRule="exact"/>
              <w:jc w:val="left"/>
              <w:outlineLvl w:val="0"/>
            </w:pPr>
          </w:p>
        </w:tc>
        <w:tc>
          <w:tcPr>
            <w:tcW w:w="1015" w:type="dxa"/>
            <w:vMerge w:val="continue"/>
            <w:vAlign w:val="center"/>
          </w:tcPr>
          <w:p>
            <w:pPr>
              <w:spacing w:line="300" w:lineRule="exact"/>
              <w:jc w:val="left"/>
              <w:outlineLvl w:val="0"/>
            </w:pPr>
          </w:p>
        </w:tc>
        <w:tc>
          <w:tcPr>
            <w:tcW w:w="635"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960"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1005"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2672"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一、招商引资</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通过加大对工业性项目的招商，增强全镇经济实力，实现镇域经济越快越好发展</w:t>
            </w:r>
          </w:p>
        </w:tc>
        <w:tc>
          <w:tcPr>
            <w:tcW w:w="1932" w:type="dxa"/>
            <w:vAlign w:val="center"/>
          </w:tcPr>
          <w:p>
            <w:pPr>
              <w:spacing w:line="300" w:lineRule="exact"/>
              <w:jc w:val="left"/>
              <w:rPr>
                <w:rFonts w:ascii="方正书宋_GBK" w:eastAsia="方正书宋_GBK"/>
              </w:rPr>
            </w:pPr>
            <w:r>
              <w:rPr>
                <w:rFonts w:ascii="方正书宋_GBK" w:eastAsia="方正书宋_GBK"/>
              </w:rPr>
              <w:t>201</w:t>
            </w:r>
            <w:r>
              <w:rPr>
                <w:rFonts w:hint="eastAsia" w:ascii="方正书宋_GBK" w:eastAsia="方正书宋_GBK"/>
              </w:rPr>
              <w:t>8年引进生产性项目</w:t>
            </w:r>
            <w:r>
              <w:rPr>
                <w:rFonts w:ascii="方正书宋_GBK" w:eastAsia="方正书宋_GBK"/>
              </w:rPr>
              <w:t xml:space="preserve">6  </w:t>
            </w:r>
            <w:r>
              <w:rPr>
                <w:rFonts w:hint="eastAsia" w:ascii="方正书宋_GBK" w:eastAsia="方正书宋_GBK"/>
              </w:rPr>
              <w:t>个，协议引资</w:t>
            </w:r>
            <w:r>
              <w:rPr>
                <w:rFonts w:ascii="方正书宋_GBK" w:eastAsia="方正书宋_GBK"/>
              </w:rPr>
              <w:t xml:space="preserve"> 5</w:t>
            </w:r>
            <w:r>
              <w:rPr>
                <w:rFonts w:hint="eastAsia" w:ascii="方正书宋_GBK" w:eastAsia="方正书宋_GBK"/>
              </w:rPr>
              <w:t>亿元。</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加强对外宣传</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加大力度向客商宣传我镇发展环境、优惠政策、奖励政策等</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提高我镇招商外部形象，形成招商工作助力</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推介次数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外出招商</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cs/>
              </w:rPr>
              <w:t>“</w:t>
            </w:r>
            <w:r>
              <w:rPr>
                <w:rFonts w:hint="eastAsia" w:ascii="方正书宋_GBK" w:eastAsia="方正书宋_GBK"/>
              </w:rPr>
              <w:t>主体招商活动</w:t>
            </w:r>
            <w:r>
              <w:rPr>
                <w:rFonts w:hint="cs" w:ascii="方正书宋_GBK" w:eastAsia="方正书宋_GBK"/>
                <w:cs/>
              </w:rPr>
              <w:t>”</w:t>
            </w:r>
            <w:r>
              <w:rPr>
                <w:rFonts w:hint="eastAsia" w:ascii="方正书宋_GBK" w:eastAsia="方正书宋_GBK"/>
              </w:rPr>
              <w:t>，瞄准重点区域、重点客商和商务机构，引进一批战略支撑项目、龙头企业</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通过招商活动为镇引进一批重点项目、优质企业</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完成全县分配招商任务数量</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优化服务环境</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对所有招商项目全程协调服务，将项目引进、审批、建设工作的各项任务分解到人派出专门代办人员协助投资客商开展建设</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通过专人负责全程协调为客商提供优质服务</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协调解决问题次数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落实招商扶持政策</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为引进企业从土地、水电、金融、税收等提供扶持政策，并派专人进行协调督办</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提供多种扶持政策吸引客商投资，为引进企业发展提供便利</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3"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二、项目建设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促进重大项目落地；加快我镇战略性新兴产业项目、传统产业技术升级和结构调整项目、产业技术创新平台与基础设施项目建设，促进我镇产业结构调整和优化升级</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有效引导行业健康发展，提升全镇产业和行业竞争力</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9"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技术改造提升</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完善布局规划，创新开发机制，加强基础建设，集聚发展产业，构建服务平台，加快转型升级，继续打造好经济发展的强大引擎</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推动工业发展壮大，引导进区企业积极引进和培养科技人才，提升企业的核心竞争力。推进品牌战略，鼓励利用块状优势和产业集聚打造区域品牌</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全镇项目改造提升数目</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安全生产</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编制安全生产规划，开展安全生产调研和相关政策制订；开展对外合作交流；开展行政复议及行政应诉工作等；为保障机关履行安全生产监管基本职责提供必要条件</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加强指挥机构管理和专业应急救援队伍训练，统一规划安全生产应急平台信息化建设和救援通信、信息网络运行保障，及时进行重大危险源预警</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安全生产业务保障率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企业服务</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积极为企业落实金融、土地、水电、用工等优惠政策，加快企业发展步伐</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通过指派专人协调督办，提高企业入驻效率，促进全镇快速发展</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上门服务次数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电商管理</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支持电子商务建设，提高电子商务平台知名度，完善服务体系。</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全镇电子平台数量</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三、园区建设</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208.38</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提升园区服务能力、优化园区发展环境</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通过制定园区发展规划，建设孵化器提升园区发展水平充分发挥园区比较优势、切实提升园区核心竞争力</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形象宣传</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制作园区宣传画册，组织开展园区主题活动</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提升园区知名度，打造镇工业发展新名片</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基础设施建设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对园区基础设施进行项目建设</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通过园区基础设施建设，完善园区服务能力</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项目完工数量</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园区服务规范化建设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精简审批服务项目，优化服务流程，创新服务方式，大力推行规范化服务</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通过不断升级办公方法，加快服务队伍建设进程，使各项目得到快速高效办理，中心服务水平和服务效率得到全面提升</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服务规范化目标完成情况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5"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四、城建城管</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加强土地的使用、管理和监督；对集体和农民建房、房产开发、各类园区等建设项目的规划与管理；抓好对违章建筑的执法监督和整治工作；参与住宅建设规划、验收并做好设施的配套工作</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城市管理队伍建设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组织开展城管队伍培训，加强城市管理队伍规范化建设</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提高城市管理队伍形象，加快城市发展步伐</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7"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镇区卫生整治</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镇区环境卫生的清扫、保洁和生活垃圾的清运；环卫设施的建设与管理工作；垃圾无害化处理工作；建筑垃圾的管理；垃圾处理场的规划选址、建设和运行的监督管理；生活垃圾的处理</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提高镇区环境卫生管理水平</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镇区道路、社区卫生保洁完成率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镇区道路美化亮化</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加大镇区道路绿地树木的保护力度；加强大镇区林木绿化工程的建设进行管理监督；保持镇区道路环境卫生等</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提高镇区道路承载能力和宜居度，改善镇区环境</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镇区道路工程数量</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发展梨产业带</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对我镇北区公路沿线发展种植梨树项目，</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改善农民生活水平，提高农民收入。</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完成情况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五、调整农业结构</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329.62</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通过产业结构调整、新增产业的发展，可有效增加农民收入，通过科技推广，可改善群众的整体素质，提高农民生活水平。</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发展高效农业、特色农业作为促进农民增收致富、繁荣农村经济。</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9"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农业招商活动</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组织开展农业招商活动，鼓励引导符合我镇农业产业发展方向的项目，吸引外资投资农业开发，从事农产品加工、流通，引进农业新品种、新技术</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改善我镇传统农业落后局面，提高农民收入，促进我真农业向现代农业转型升级</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外出招商、洽谈次数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推进农业合作社建设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积极鼓励引导农民发展成立农业合作社，为农民建立合作社提供金融、人才、税收优惠等政策</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通过一批优质合作社的成立，带动我镇农业致富，加快我镇农业发展升级</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发展成立农业合作社的个数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推进土地流转</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208.38</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指导全县建立运转顺畅、便捷高效的农村土地承包经营权流转服务平台，带动土地流转依法、有序开展</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土地保护</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充分利用国家有关规定实行合理土地管理与保护，保证土地永续利用，不断提高土地生产力所采取的生物和工程措施</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构建科学的土地资源质量指标体系，探讨农田均衡化的生产模式和管理对策。</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土地资源质量动态监测，农村土地合理使用情况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六、基层党建</w:t>
            </w:r>
          </w:p>
        </w:tc>
        <w:tc>
          <w:tcPr>
            <w:tcW w:w="937" w:type="dxa"/>
            <w:vAlign w:val="center"/>
          </w:tcPr>
          <w:p>
            <w:pPr>
              <w:spacing w:line="300" w:lineRule="exact"/>
              <w:jc w:val="left"/>
              <w:rPr>
                <w:rFonts w:hint="eastAsia" w:ascii="方正书宋_GBK" w:eastAsia="方正书宋_GBK"/>
                <w:lang w:val="en-US" w:eastAsia="zh-CN"/>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加强基层组织建设，创新工作机制，为特色魅力乡镇建设提供重要组织保证</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落实主体责任，增强基础保障，包括基层党建的场所、制度等规范化、标准化管理</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加强农村党建阵地建设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根据国家政策适时推动农村党建阵地的发展，及时满足党员活动和群众办事的合理需求，全方位发挥基层党建阵地的作用</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多渠道争取党建资金，高标准科学谋划，强化农村阵地的政治职能</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党务信息公开栏的建设和使用情况，村党支的硬件配套和使用情况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加强基层党员队伍建设和监督</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完善基层党支部的软件和硬件建设，落实主体责任，增强基础保障</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推进基层服务型党组织建设，发挥党员的模范带头作用</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基层党员数量和党员活动的开展次数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指导村委会建设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健全完善村委会的组织体系，优化村委会队伍结构，理顺村委会于基层组织关系，充分发挥村委会的应有职能</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加快建设符合服务型标准的村委会，切实为基层群众提供良好的专业性服务，维护基层组织的稳定</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村委会的组织队伍建设及相关职能的利用情况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加强解决信访问题</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建立完善的信访接待机制，保证人员物资的充足供应，维护乡镇的和谐稳定</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及时掌握基层群众的精神状况，及时解决村镇居民的合理诉求</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年度内信访事件数量</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1"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七、文化卫生公共事业管理</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97.26</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落实教育、卫生、科技、文化、体育事业发展规划、工作计划和措施；抓好人口与计划生育工作；落实科教兴镇计划、项目；搞好卫生防疫、妇幼保健工作；抓好群众性文化、体育工作</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满足镇区群众文化需要为目的健全镇、村文化中心建设，推动多元化公共事业体系建设；加强卫生、计生、科技政务公开和业务宣传工作，落实计划生育制度；提高公共事业服务水平、规范公共事业管理。</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镇消防队建设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建立健全消防队伍，配备标准消防器材，组织专业培训，适应城镇日常消防及教育任务</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掌握并利用好镇的消防人员装备，保障本镇的安全环境</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消防事故有效控制比例</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养老院建设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建设上规模上档次高标准养老院</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为乡镇居民提供良好的生活保障，保证老有所依</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养老院基础设施人员配备情况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农村环境卫生整治</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按照国家园林城市的建设标准，组织全镇基层环境卫生机构开展实施基本公共卫生服务项目。</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努力打造村容村貌的整体提升，积极向文明村镇标准靠拢</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乡镇卫生达标情况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计划生育</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加大农村群众计生政策宣传；免费为公民提供计划生育避孕节育基本技术服务；免费为农村已婚育龄妇女提供生殖健康检查服务。</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适时掌握村镇居民的计划生育情况，及时处理违反国家政策情况</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处理违反计划生育比例</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文化事业</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提高村镇居民的整体文化素质，建设符合现代化标准的村镇文化服务中心，满足和丰富村镇居民的精神文化需求</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建设高质量的村镇文化中心，及时为居民提供有利信息，完成村镇居民精神面貌的提升</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村镇文化中心的建设完成率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教育事业</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加强教育的统筹规划和管理，监督完善教育政策措施，督促规范办学秩序，促进教育事业发展，保障村镇适龄学生的受教育权利。</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准确掌握村镇居民的受教育情况，保障村民的合法权利</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适龄儿童入学率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卫生事业</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按照国家基本公共卫生服务项目《规范》，组织全镇基层医疗卫生机构开展实施基本公共卫生服务项目。</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对城乡居民健康实行干预，有效预防传染病及慢性病，使其享有平等的基本卫生服务。</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居民健康档案总体建档率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福利救助</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77.16</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引导提升社会对福利救助合理认识，建立专项救助基金。面向困难群体开展符合其宗旨的福利救助，重点救助患病儿童及困难群众。</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使更多的贫困家庭、患病儿童得到救助</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救助困难群众人数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兵役管理</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20.10</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完善对村镇入伍青年进行建档登记，广泛宣传征兵政策和重大意义，增强群众对兵役的合理正确认识，营造良好的入伍从军氛围。</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准确掌握兵役的基本情况，保障上级下达任务的快速、高效完成</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年度征兵工作完成情况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档案管理</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规范档案管理制度，对现存档案进行规范分类、保存，完善进档出档登记制度</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八、政府机关规范化建设</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337.7</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提高工作效能和服务质量，转变工作作风，树立政府良好社会形象</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完善各项规章制度，细化部门职责，严格落实考评机制，实现规范化管理</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政府大厅正规化建设</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制定完善大厅考勤、人员管理、来人接待制度，组织业务骨干办理窗口业务，打造高效服务型政府形象</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信息提供安全有效，窗口建设稳步推进；提高人员业务水平；研究学习政策法规，推动公共服务事业发展。</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6"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政府机关日常管理</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304.92</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规范机关日常事务管理；机关办公区物业管理；机关车辆日常管理，保障机关日常运转。</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确保机关工作有效运转</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Merge w:val="restart"/>
            <w:vAlign w:val="center"/>
          </w:tcPr>
          <w:p>
            <w:pPr>
              <w:spacing w:line="300" w:lineRule="exact"/>
              <w:jc w:val="left"/>
              <w:rPr>
                <w:rFonts w:ascii="方正书宋_GBK" w:eastAsia="方正书宋_GBK"/>
                <w:b/>
              </w:rPr>
            </w:pPr>
            <w:r>
              <w:rPr>
                <w:rFonts w:hint="eastAsia" w:ascii="方正书宋_GBK" w:eastAsia="方正书宋_GBK"/>
                <w:b/>
              </w:rPr>
              <w:t>　　历史性债务管理</w:t>
            </w:r>
          </w:p>
        </w:tc>
        <w:tc>
          <w:tcPr>
            <w:tcW w:w="937" w:type="dxa"/>
            <w:vMerge w:val="restart"/>
            <w:vAlign w:val="center"/>
          </w:tcPr>
          <w:p>
            <w:pPr>
              <w:spacing w:line="300" w:lineRule="exact"/>
              <w:jc w:val="left"/>
              <w:rPr>
                <w:rFonts w:ascii="方正书宋_GBK" w:eastAsia="方正书宋_GBK"/>
              </w:rPr>
            </w:pPr>
          </w:p>
        </w:tc>
        <w:tc>
          <w:tcPr>
            <w:tcW w:w="1878" w:type="dxa"/>
            <w:vMerge w:val="restart"/>
            <w:vAlign w:val="center"/>
          </w:tcPr>
          <w:p>
            <w:pPr>
              <w:spacing w:line="300" w:lineRule="exact"/>
              <w:jc w:val="left"/>
              <w:rPr>
                <w:rFonts w:ascii="方正书宋_GBK" w:eastAsia="方正书宋_GBK"/>
              </w:rPr>
            </w:pPr>
            <w:r>
              <w:rPr>
                <w:rFonts w:hint="eastAsia" w:ascii="方正书宋_GBK" w:eastAsia="方正书宋_GBK"/>
              </w:rPr>
              <w:t>组织开展历史性债务的梳理认定工作，建立规范的债务管理机制，而发挥积极作用、防范化解风险和促进健康发展</w:t>
            </w:r>
          </w:p>
        </w:tc>
        <w:tc>
          <w:tcPr>
            <w:tcW w:w="1932" w:type="dxa"/>
            <w:vMerge w:val="restart"/>
            <w:vAlign w:val="center"/>
          </w:tcPr>
          <w:p>
            <w:pPr>
              <w:spacing w:line="300" w:lineRule="exact"/>
              <w:jc w:val="left"/>
              <w:rPr>
                <w:rFonts w:ascii="方正书宋_GBK" w:eastAsia="方正书宋_GBK"/>
              </w:rPr>
            </w:pPr>
            <w:r>
              <w:rPr>
                <w:rFonts w:hint="eastAsia" w:ascii="方正书宋_GBK" w:eastAsia="方正书宋_GBK"/>
              </w:rPr>
              <w:t>搞好服务保障，为乡镇工作提供安全、快捷、细致、周到的环境；加强财务管理，确保资金安全，提高财政资金使用效益。</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本年度化解历史性债务金额</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Merge w:val="continue"/>
            <w:vAlign w:val="center"/>
          </w:tcPr>
          <w:p>
            <w:pPr>
              <w:spacing w:line="300" w:lineRule="exact"/>
              <w:jc w:val="left"/>
              <w:rPr>
                <w:rFonts w:ascii="方正书宋_GBK" w:eastAsia="方正书宋_GBK"/>
                <w:b/>
              </w:rPr>
            </w:pPr>
          </w:p>
        </w:tc>
        <w:tc>
          <w:tcPr>
            <w:tcW w:w="937" w:type="dxa"/>
            <w:vMerge w:val="continue"/>
            <w:vAlign w:val="center"/>
          </w:tcPr>
          <w:p>
            <w:pPr>
              <w:spacing w:line="300" w:lineRule="exact"/>
              <w:jc w:val="left"/>
              <w:rPr>
                <w:rFonts w:ascii="方正书宋_GBK" w:eastAsia="方正书宋_GBK"/>
              </w:rPr>
            </w:pPr>
          </w:p>
        </w:tc>
        <w:tc>
          <w:tcPr>
            <w:tcW w:w="1878" w:type="dxa"/>
            <w:vMerge w:val="continue"/>
            <w:vAlign w:val="center"/>
          </w:tcPr>
          <w:p>
            <w:pPr>
              <w:spacing w:line="300" w:lineRule="exact"/>
              <w:jc w:val="left"/>
              <w:rPr>
                <w:rFonts w:ascii="方正书宋_GBK" w:eastAsia="方正书宋_GBK"/>
              </w:rPr>
            </w:pPr>
          </w:p>
        </w:tc>
        <w:tc>
          <w:tcPr>
            <w:tcW w:w="1932" w:type="dxa"/>
            <w:vMerge w:val="continue"/>
            <w:vAlign w:val="center"/>
          </w:tcPr>
          <w:p>
            <w:pPr>
              <w:spacing w:line="300" w:lineRule="exact"/>
              <w:jc w:val="left"/>
              <w:rPr>
                <w:rFonts w:ascii="方正书宋_GBK" w:eastAsia="方正书宋_GBK"/>
              </w:rPr>
            </w:pPr>
          </w:p>
        </w:tc>
        <w:tc>
          <w:tcPr>
            <w:tcW w:w="1015"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机关后勤日常管理</w:t>
            </w:r>
          </w:p>
        </w:tc>
        <w:tc>
          <w:tcPr>
            <w:tcW w:w="93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27.84</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后勤保障、财务管理、办公用房和车辆、办公用品和其他固定资产管理以及办公区物业管理和机关安全保卫工作</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提升保障能力及管理水平，完成各项工作任务</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九、社会治安综合治理</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落实社会治安综合治理规划、工作计划和措施，抓好依法治镇等工作</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完善社会治安综合治理制度，依法打击、防范、教育、管理、建设、改造六个方面的有机结合，营造良好的安全稳定环境</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调节民事纠纷</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依法对民事诉讼和行政诉讼实行法律监督，维护司法公正和司法权威，保障法律的统一正确实施，维护乡镇和谐稳定</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法律监督到位，乡镇和谐稳定程度得到提高</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调节成功率</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0"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加强食品安全</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组织实施全镇食品安全风险监测工作；开展食品安全宣传和风险交流；食品安全风险监测预警评估机构建设。</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保障餐饮业食品安全，为群众提供放心食品</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食药问题在年度中发生次数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414" w:type="dxa"/>
            <w:vMerge w:val="restart"/>
            <w:vAlign w:val="center"/>
          </w:tcPr>
          <w:p>
            <w:pPr>
              <w:spacing w:line="300" w:lineRule="exact"/>
              <w:jc w:val="left"/>
              <w:rPr>
                <w:rFonts w:ascii="方正书宋_GBK" w:eastAsia="方正书宋_GBK"/>
                <w:b/>
              </w:rPr>
            </w:pPr>
            <w:r>
              <w:rPr>
                <w:rFonts w:hint="eastAsia" w:ascii="方正书宋_GBK" w:eastAsia="方正书宋_GBK"/>
                <w:b/>
              </w:rPr>
              <w:t>　　其他应急事务</w:t>
            </w:r>
          </w:p>
        </w:tc>
        <w:tc>
          <w:tcPr>
            <w:tcW w:w="937" w:type="dxa"/>
            <w:vMerge w:val="restart"/>
            <w:vAlign w:val="center"/>
          </w:tcPr>
          <w:p>
            <w:pPr>
              <w:spacing w:line="300" w:lineRule="exact"/>
              <w:jc w:val="left"/>
              <w:rPr>
                <w:rFonts w:ascii="方正书宋_GBK" w:eastAsia="方正书宋_GBK"/>
              </w:rPr>
            </w:pPr>
          </w:p>
        </w:tc>
        <w:tc>
          <w:tcPr>
            <w:tcW w:w="1878" w:type="dxa"/>
            <w:vMerge w:val="restart"/>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932" w:type="dxa"/>
            <w:vMerge w:val="restart"/>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镇重大自然灾害防御能力；保证救灾应急预案科学性和实效性；提高专业队伍业务素质，提升救灾科技支持能力；推进以农房保险为主要险种的救灾保险，提高抗灾水平</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3" w:hRule="atLeast"/>
          <w:jc w:val="center"/>
        </w:trPr>
        <w:tc>
          <w:tcPr>
            <w:tcW w:w="1414" w:type="dxa"/>
            <w:vMerge w:val="continue"/>
            <w:vAlign w:val="center"/>
          </w:tcPr>
          <w:p>
            <w:pPr>
              <w:spacing w:line="300" w:lineRule="exact"/>
              <w:jc w:val="left"/>
              <w:rPr>
                <w:rFonts w:ascii="方正书宋_GBK" w:eastAsia="方正书宋_GBK"/>
                <w:b/>
              </w:rPr>
            </w:pPr>
          </w:p>
        </w:tc>
        <w:tc>
          <w:tcPr>
            <w:tcW w:w="937" w:type="dxa"/>
            <w:vMerge w:val="continue"/>
            <w:vAlign w:val="center"/>
          </w:tcPr>
          <w:p>
            <w:pPr>
              <w:spacing w:line="300" w:lineRule="exact"/>
              <w:jc w:val="left"/>
              <w:rPr>
                <w:rFonts w:ascii="方正书宋_GBK" w:eastAsia="方正书宋_GBK"/>
              </w:rPr>
            </w:pPr>
          </w:p>
        </w:tc>
        <w:tc>
          <w:tcPr>
            <w:tcW w:w="1878" w:type="dxa"/>
            <w:vMerge w:val="continue"/>
            <w:vAlign w:val="center"/>
          </w:tcPr>
          <w:p>
            <w:pPr>
              <w:spacing w:line="300" w:lineRule="exact"/>
              <w:jc w:val="left"/>
              <w:rPr>
                <w:rFonts w:ascii="方正书宋_GBK" w:eastAsia="方正书宋_GBK"/>
              </w:rPr>
            </w:pPr>
          </w:p>
        </w:tc>
        <w:tc>
          <w:tcPr>
            <w:tcW w:w="1932" w:type="dxa"/>
            <w:vMerge w:val="continue"/>
            <w:vAlign w:val="center"/>
          </w:tcPr>
          <w:p>
            <w:pPr>
              <w:spacing w:line="300" w:lineRule="exact"/>
              <w:jc w:val="left"/>
              <w:rPr>
                <w:rFonts w:ascii="方正书宋_GBK" w:eastAsia="方正书宋_GBK"/>
              </w:rPr>
            </w:pPr>
          </w:p>
        </w:tc>
        <w:tc>
          <w:tcPr>
            <w:tcW w:w="1015" w:type="dxa"/>
            <w:vAlign w:val="center"/>
          </w:tcPr>
          <w:p>
            <w:pPr>
              <w:spacing w:line="300" w:lineRule="exact"/>
              <w:jc w:val="left"/>
              <w:rPr>
                <w:rFonts w:ascii="方正书宋_GBK" w:eastAsia="方正书宋_GBK"/>
              </w:rPr>
            </w:pPr>
            <w:r>
              <w:rPr>
                <w:rFonts w:hint="eastAsia" w:ascii="方正书宋_GBK" w:eastAsia="方正书宋_GBK"/>
              </w:rPr>
              <w:t>物资保障受灾群众人数</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7"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十、其他</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优化常庄镇发展环境，促进经济跨域发展</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落实各项保障措施，为常庄发展保驾护航</w:t>
            </w:r>
          </w:p>
        </w:tc>
        <w:tc>
          <w:tcPr>
            <w:tcW w:w="1015" w:type="dxa"/>
            <w:vAlign w:val="center"/>
          </w:tcPr>
          <w:p>
            <w:pPr>
              <w:spacing w:line="300" w:lineRule="exact"/>
              <w:jc w:val="left"/>
              <w:rPr>
                <w:rFonts w:ascii="方正书宋_GBK" w:eastAsia="方正书宋_GBK"/>
              </w:rPr>
            </w:pPr>
          </w:p>
        </w:tc>
        <w:tc>
          <w:tcPr>
            <w:tcW w:w="635" w:type="dxa"/>
            <w:vAlign w:val="center"/>
          </w:tcPr>
          <w:p>
            <w:pPr>
              <w:spacing w:line="300" w:lineRule="exact"/>
              <w:jc w:val="center"/>
              <w:rPr>
                <w:rFonts w:ascii="方正书宋_GBK" w:eastAsia="方正书宋_GBK"/>
              </w:rPr>
            </w:pPr>
          </w:p>
        </w:tc>
        <w:tc>
          <w:tcPr>
            <w:tcW w:w="960" w:type="dxa"/>
            <w:vAlign w:val="center"/>
          </w:tcPr>
          <w:p>
            <w:pPr>
              <w:spacing w:line="300" w:lineRule="exact"/>
              <w:jc w:val="center"/>
              <w:rPr>
                <w:rFonts w:ascii="方正书宋_GBK" w:eastAsia="方正书宋_GBK"/>
              </w:rPr>
            </w:pPr>
          </w:p>
        </w:tc>
        <w:tc>
          <w:tcPr>
            <w:tcW w:w="1005" w:type="dxa"/>
            <w:vAlign w:val="center"/>
          </w:tcPr>
          <w:p>
            <w:pPr>
              <w:spacing w:line="300" w:lineRule="exact"/>
              <w:jc w:val="center"/>
              <w:rPr>
                <w:rFonts w:ascii="方正书宋_GBK" w:eastAsia="方正书宋_GBK"/>
              </w:rPr>
            </w:pPr>
          </w:p>
        </w:tc>
        <w:tc>
          <w:tcPr>
            <w:tcW w:w="267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7" w:hRule="atLeast"/>
          <w:jc w:val="center"/>
        </w:trPr>
        <w:tc>
          <w:tcPr>
            <w:tcW w:w="1414" w:type="dxa"/>
            <w:vAlign w:val="center"/>
          </w:tcPr>
          <w:p>
            <w:pPr>
              <w:spacing w:line="300" w:lineRule="exact"/>
              <w:jc w:val="left"/>
              <w:rPr>
                <w:rFonts w:ascii="方正书宋_GBK" w:eastAsia="方正书宋_GBK"/>
                <w:b/>
              </w:rPr>
            </w:pPr>
            <w:r>
              <w:rPr>
                <w:rFonts w:hint="eastAsia" w:ascii="方正书宋_GBK" w:eastAsia="方正书宋_GBK"/>
                <w:b/>
              </w:rPr>
              <w:t>　　城管车辆租用</w:t>
            </w:r>
          </w:p>
        </w:tc>
        <w:tc>
          <w:tcPr>
            <w:tcW w:w="937" w:type="dxa"/>
            <w:vAlign w:val="center"/>
          </w:tcPr>
          <w:p>
            <w:pPr>
              <w:spacing w:line="300" w:lineRule="exact"/>
              <w:jc w:val="left"/>
              <w:rPr>
                <w:rFonts w:ascii="方正书宋_GBK" w:eastAsia="方正书宋_GBK"/>
              </w:rPr>
            </w:pPr>
          </w:p>
        </w:tc>
        <w:tc>
          <w:tcPr>
            <w:tcW w:w="1878" w:type="dxa"/>
            <w:vAlign w:val="center"/>
          </w:tcPr>
          <w:p>
            <w:pPr>
              <w:spacing w:line="300" w:lineRule="exact"/>
              <w:jc w:val="left"/>
              <w:rPr>
                <w:rFonts w:ascii="方正书宋_GBK" w:eastAsia="方正书宋_GBK"/>
              </w:rPr>
            </w:pPr>
            <w:r>
              <w:rPr>
                <w:rFonts w:hint="eastAsia" w:ascii="方正书宋_GBK" w:eastAsia="方正书宋_GBK"/>
              </w:rPr>
              <w:t>租用城管车辆，年付费用</w:t>
            </w:r>
            <w:r>
              <w:rPr>
                <w:rFonts w:ascii="方正书宋_GBK" w:eastAsia="方正书宋_GBK"/>
              </w:rPr>
              <w:t>28000</w:t>
            </w:r>
            <w:r>
              <w:rPr>
                <w:rFonts w:hint="eastAsia" w:ascii="方正书宋_GBK" w:eastAsia="方正书宋_GBK"/>
              </w:rPr>
              <w:t>元</w:t>
            </w:r>
          </w:p>
        </w:tc>
        <w:tc>
          <w:tcPr>
            <w:tcW w:w="1932" w:type="dxa"/>
            <w:vAlign w:val="center"/>
          </w:tcPr>
          <w:p>
            <w:pPr>
              <w:spacing w:line="300" w:lineRule="exact"/>
              <w:jc w:val="left"/>
              <w:rPr>
                <w:rFonts w:ascii="方正书宋_GBK" w:eastAsia="方正书宋_GBK"/>
              </w:rPr>
            </w:pPr>
            <w:r>
              <w:rPr>
                <w:rFonts w:hint="eastAsia" w:ascii="方正书宋_GBK" w:eastAsia="方正书宋_GBK"/>
              </w:rPr>
              <w:t>优化镇区服务环境，促进社会经济又好又快发展</w:t>
            </w:r>
          </w:p>
        </w:tc>
        <w:tc>
          <w:tcPr>
            <w:tcW w:w="1015" w:type="dxa"/>
            <w:vAlign w:val="center"/>
          </w:tcPr>
          <w:p>
            <w:pPr>
              <w:spacing w:line="300" w:lineRule="exact"/>
              <w:jc w:val="left"/>
              <w:rPr>
                <w:rFonts w:ascii="方正书宋_GBK" w:eastAsia="方正书宋_GBK"/>
              </w:rPr>
            </w:pPr>
            <w:r>
              <w:rPr>
                <w:rFonts w:hint="eastAsia" w:ascii="方正书宋_GBK" w:eastAsia="方正书宋_GBK"/>
              </w:rPr>
              <w:t>车辆使用情况</w:t>
            </w:r>
          </w:p>
        </w:tc>
        <w:tc>
          <w:tcPr>
            <w:tcW w:w="635" w:type="dxa"/>
            <w:vAlign w:val="center"/>
          </w:tcPr>
          <w:p>
            <w:pPr>
              <w:spacing w:line="300" w:lineRule="exact"/>
              <w:jc w:val="center"/>
              <w:rPr>
                <w:rFonts w:ascii="方正书宋_GBK" w:eastAsia="方正书宋_GBK"/>
              </w:rPr>
            </w:pPr>
            <w:r>
              <w:rPr>
                <w:rFonts w:ascii="方正书宋_GBK" w:eastAsia="方正书宋_GBK"/>
              </w:rPr>
              <w:t>100%</w:t>
            </w:r>
          </w:p>
        </w:tc>
        <w:tc>
          <w:tcPr>
            <w:tcW w:w="960"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1005"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2672"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bl>
    <w:p>
      <w:pPr>
        <w:autoSpaceDE w:val="0"/>
        <w:autoSpaceDN w:val="0"/>
        <w:adjustRightInd w:val="0"/>
        <w:ind w:firstLine="640" w:firstLineChars="200"/>
        <w:jc w:val="left"/>
        <w:rPr>
          <w:rFonts w:ascii="黑体" w:hAnsi="黑体" w:eastAsia="黑体" w:cs="Times New Roman"/>
          <w:sz w:val="32"/>
          <w:szCs w:val="32"/>
        </w:rPr>
      </w:pPr>
    </w:p>
    <w:p>
      <w:pPr>
        <w:numPr>
          <w:ilvl w:val="0"/>
          <w:numId w:val="1"/>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autoSpaceDE w:val="0"/>
        <w:autoSpaceDN w:val="0"/>
        <w:adjustRightInd w:val="0"/>
        <w:ind w:firstLine="1920" w:firstLineChars="600"/>
        <w:jc w:val="left"/>
        <w:rPr>
          <w:rFonts w:ascii="仿宋_GB2312" w:hAnsi="黑体" w:eastAsia="仿宋_GB2312" w:cs="仿宋_GB2312"/>
          <w:sz w:val="32"/>
          <w:szCs w:val="32"/>
        </w:rPr>
      </w:pPr>
      <w:r>
        <w:rPr>
          <w:rFonts w:hint="eastAsia" w:ascii="仿宋_GB2312" w:hAnsi="黑体" w:eastAsia="仿宋_GB2312" w:cs="仿宋_GB2312"/>
          <w:sz w:val="32"/>
          <w:szCs w:val="32"/>
        </w:rPr>
        <w:t>本年度无政府采购预算</w:t>
      </w:r>
    </w:p>
    <w:p>
      <w:pPr>
        <w:autoSpaceDE w:val="0"/>
        <w:autoSpaceDN w:val="0"/>
        <w:adjustRightInd w:val="0"/>
        <w:ind w:firstLine="1920" w:firstLineChars="600"/>
        <w:jc w:val="left"/>
        <w:rPr>
          <w:rFonts w:ascii="仿宋_GB2312" w:hAnsi="黑体" w:eastAsia="仿宋_GB2312" w:cs="仿宋_GB2312"/>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本部门上年末固定资产金额为271.853万元（详见下表）。本年度无拟购置固定资产。</w:t>
      </w:r>
    </w:p>
    <w:tbl>
      <w:tblPr>
        <w:tblStyle w:val="8"/>
        <w:tblW w:w="7960" w:type="dxa"/>
        <w:jc w:val="center"/>
        <w:tblLayout w:type="fixed"/>
        <w:tblCellMar>
          <w:top w:w="0" w:type="dxa"/>
          <w:left w:w="108" w:type="dxa"/>
          <w:bottom w:w="0" w:type="dxa"/>
          <w:right w:w="108" w:type="dxa"/>
        </w:tblCellMar>
      </w:tblPr>
      <w:tblGrid>
        <w:gridCol w:w="3174"/>
        <w:gridCol w:w="1829"/>
        <w:gridCol w:w="2957"/>
      </w:tblGrid>
      <w:tr>
        <w:tblPrEx>
          <w:tblCellMar>
            <w:top w:w="0" w:type="dxa"/>
            <w:left w:w="108" w:type="dxa"/>
            <w:bottom w:w="0" w:type="dxa"/>
            <w:right w:w="108" w:type="dxa"/>
          </w:tblCellMar>
        </w:tblPrEx>
        <w:trPr>
          <w:trHeight w:val="742" w:hRule="atLeast"/>
          <w:jc w:val="center"/>
        </w:trPr>
        <w:tc>
          <w:tcPr>
            <w:tcW w:w="7960"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37" w:hRule="atLeast"/>
          <w:jc w:val="center"/>
        </w:trPr>
        <w:tc>
          <w:tcPr>
            <w:tcW w:w="5003" w:type="dxa"/>
            <w:gridSpan w:val="2"/>
            <w:tcBorders>
              <w:top w:val="nil"/>
              <w:left w:val="nil"/>
              <w:bottom w:val="nil"/>
              <w:right w:val="nil"/>
            </w:tcBorders>
            <w:vAlign w:val="center"/>
          </w:tcPr>
          <w:p>
            <w:pPr>
              <w:widowControl/>
              <w:jc w:val="left"/>
              <w:rPr>
                <w:rFonts w:ascii="宋体" w:cs="Times New Roman"/>
                <w:kern w:val="0"/>
                <w:sz w:val="22"/>
              </w:rPr>
            </w:pPr>
          </w:p>
        </w:tc>
        <w:tc>
          <w:tcPr>
            <w:tcW w:w="2957" w:type="dxa"/>
            <w:tcBorders>
              <w:top w:val="nil"/>
              <w:left w:val="nil"/>
              <w:bottom w:val="nil"/>
              <w:right w:val="nil"/>
            </w:tcBorders>
            <w:vAlign w:val="center"/>
          </w:tcPr>
          <w:p>
            <w:pPr>
              <w:widowControl/>
              <w:ind w:firstLine="1430" w:firstLineChars="650"/>
              <w:jc w:val="left"/>
              <w:rPr>
                <w:rFonts w:ascii="宋体" w:cs="Times New Roman"/>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99" w:hRule="atLeast"/>
          <w:jc w:val="center"/>
        </w:trPr>
        <w:tc>
          <w:tcPr>
            <w:tcW w:w="3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rPr>
              <w:t>数量</w:t>
            </w:r>
          </w:p>
        </w:tc>
        <w:tc>
          <w:tcPr>
            <w:tcW w:w="295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494" w:hRule="atLeast"/>
          <w:jc w:val="center"/>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资产总额</w:t>
            </w:r>
          </w:p>
        </w:tc>
        <w:tc>
          <w:tcPr>
            <w:tcW w:w="182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c>
          <w:tcPr>
            <w:tcW w:w="2957"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rPr>
              <w:t>271.853</w:t>
            </w:r>
          </w:p>
        </w:tc>
      </w:tr>
      <w:tr>
        <w:tblPrEx>
          <w:tblCellMar>
            <w:top w:w="0" w:type="dxa"/>
            <w:left w:w="108" w:type="dxa"/>
            <w:bottom w:w="0" w:type="dxa"/>
            <w:right w:w="108" w:type="dxa"/>
          </w:tblCellMar>
        </w:tblPrEx>
        <w:trPr>
          <w:trHeight w:val="510" w:hRule="atLeast"/>
          <w:jc w:val="center"/>
        </w:trPr>
        <w:tc>
          <w:tcPr>
            <w:tcW w:w="317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rPr>
              <w:t>1</w:t>
            </w:r>
            <w:r>
              <w:rPr>
                <w:rFonts w:hint="eastAsia" w:ascii="宋体" w:hAnsi="宋体" w:cs="宋体"/>
                <w:kern w:val="0"/>
                <w:sz w:val="22"/>
              </w:rPr>
              <w:t>、房屋（平方米）</w:t>
            </w:r>
          </w:p>
        </w:tc>
        <w:tc>
          <w:tcPr>
            <w:tcW w:w="182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c>
          <w:tcPr>
            <w:tcW w:w="2957"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r>
      <w:tr>
        <w:tblPrEx>
          <w:tblCellMar>
            <w:top w:w="0" w:type="dxa"/>
            <w:left w:w="108" w:type="dxa"/>
            <w:bottom w:w="0" w:type="dxa"/>
            <w:right w:w="108" w:type="dxa"/>
          </w:tblCellMar>
        </w:tblPrEx>
        <w:trPr>
          <w:trHeight w:val="699" w:hRule="atLeast"/>
          <w:jc w:val="center"/>
        </w:trPr>
        <w:tc>
          <w:tcPr>
            <w:tcW w:w="317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182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rPr>
              <w:t>3450</w:t>
            </w:r>
          </w:p>
        </w:tc>
        <w:tc>
          <w:tcPr>
            <w:tcW w:w="2957"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rPr>
              <w:t>218.73</w:t>
            </w:r>
          </w:p>
        </w:tc>
      </w:tr>
      <w:tr>
        <w:tblPrEx>
          <w:tblCellMar>
            <w:top w:w="0" w:type="dxa"/>
            <w:left w:w="108" w:type="dxa"/>
            <w:bottom w:w="0" w:type="dxa"/>
            <w:right w:w="108" w:type="dxa"/>
          </w:tblCellMar>
        </w:tblPrEx>
        <w:trPr>
          <w:trHeight w:val="510" w:hRule="atLeast"/>
          <w:jc w:val="center"/>
        </w:trPr>
        <w:tc>
          <w:tcPr>
            <w:tcW w:w="317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rPr>
              <w:t>2</w:t>
            </w:r>
            <w:r>
              <w:rPr>
                <w:rFonts w:hint="eastAsia" w:ascii="宋体" w:hAnsi="宋体" w:cs="宋体"/>
                <w:kern w:val="0"/>
                <w:sz w:val="22"/>
              </w:rPr>
              <w:t>、车辆（台、辆）</w:t>
            </w:r>
          </w:p>
        </w:tc>
        <w:tc>
          <w:tcPr>
            <w:tcW w:w="182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rPr>
              <w:t>1</w:t>
            </w:r>
          </w:p>
        </w:tc>
        <w:tc>
          <w:tcPr>
            <w:tcW w:w="2957"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rPr>
              <w:t>13.6</w:t>
            </w:r>
          </w:p>
        </w:tc>
      </w:tr>
      <w:tr>
        <w:tblPrEx>
          <w:tblCellMar>
            <w:top w:w="0" w:type="dxa"/>
            <w:left w:w="108" w:type="dxa"/>
            <w:bottom w:w="0" w:type="dxa"/>
            <w:right w:w="108" w:type="dxa"/>
          </w:tblCellMar>
        </w:tblPrEx>
        <w:trPr>
          <w:trHeight w:val="494" w:hRule="atLeast"/>
          <w:jc w:val="center"/>
        </w:trPr>
        <w:tc>
          <w:tcPr>
            <w:tcW w:w="317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182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c>
          <w:tcPr>
            <w:tcW w:w="2957"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r>
      <w:tr>
        <w:tblPrEx>
          <w:tblCellMar>
            <w:top w:w="0" w:type="dxa"/>
            <w:left w:w="108" w:type="dxa"/>
            <w:bottom w:w="0" w:type="dxa"/>
            <w:right w:w="108" w:type="dxa"/>
          </w:tblCellMar>
        </w:tblPrEx>
        <w:trPr>
          <w:trHeight w:val="589" w:hRule="atLeast"/>
          <w:jc w:val="center"/>
        </w:trPr>
        <w:tc>
          <w:tcPr>
            <w:tcW w:w="317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rPr>
              <w:t>4</w:t>
            </w:r>
            <w:r>
              <w:rPr>
                <w:rFonts w:hint="eastAsia" w:ascii="宋体" w:hAnsi="宋体" w:cs="宋体"/>
                <w:kern w:val="0"/>
                <w:sz w:val="22"/>
              </w:rPr>
              <w:t>、其他固定资产</w:t>
            </w:r>
          </w:p>
        </w:tc>
        <w:tc>
          <w:tcPr>
            <w:tcW w:w="1829"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c>
          <w:tcPr>
            <w:tcW w:w="2957"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rPr>
              <w:t>39.523</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6</w:t>
      </w:r>
      <w:r>
        <w:rPr>
          <w:rFonts w:ascii="Times New Roman" w:hAnsi="Times New Roman" w:eastAsia="方正仿宋_GBK" w:cs="Times New Roman"/>
          <w:b/>
          <w:sz w:val="32"/>
          <w:szCs w:val="32"/>
        </w:rPr>
        <w:t>、“三公”经费：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7</w:t>
      </w:r>
      <w:r>
        <w:rPr>
          <w:rFonts w:ascii="Times New Roman" w:hAnsi="Times New Roman" w:eastAsia="方正仿宋_GBK" w:cs="Times New Roman"/>
          <w:b/>
          <w:sz w:val="32"/>
          <w:szCs w:val="32"/>
        </w:rPr>
        <w:t>、机关运行费：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8、上年结转：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B33DB"/>
    <w:multiLevelType w:val="singleLevel"/>
    <w:tmpl w:val="FB5B33D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2829"/>
    <w:rsid w:val="00966C5C"/>
    <w:rsid w:val="00973104"/>
    <w:rsid w:val="00994032"/>
    <w:rsid w:val="00995BF0"/>
    <w:rsid w:val="009A16D5"/>
    <w:rsid w:val="009A353D"/>
    <w:rsid w:val="009A447F"/>
    <w:rsid w:val="009B0B77"/>
    <w:rsid w:val="009B511E"/>
    <w:rsid w:val="00A3595B"/>
    <w:rsid w:val="00A44E3D"/>
    <w:rsid w:val="00A646CC"/>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1152F1C"/>
    <w:rsid w:val="026A0E92"/>
    <w:rsid w:val="05D8074F"/>
    <w:rsid w:val="0DFA6EA9"/>
    <w:rsid w:val="111C378E"/>
    <w:rsid w:val="1D28322B"/>
    <w:rsid w:val="1DF86E27"/>
    <w:rsid w:val="22DA2F1D"/>
    <w:rsid w:val="230F7AD6"/>
    <w:rsid w:val="23CE3661"/>
    <w:rsid w:val="240278AF"/>
    <w:rsid w:val="279831DE"/>
    <w:rsid w:val="2E43298F"/>
    <w:rsid w:val="353843EF"/>
    <w:rsid w:val="354225E8"/>
    <w:rsid w:val="361D3595"/>
    <w:rsid w:val="36DA5394"/>
    <w:rsid w:val="39BA7158"/>
    <w:rsid w:val="39F70A0F"/>
    <w:rsid w:val="3CB8253C"/>
    <w:rsid w:val="3FCB3FBE"/>
    <w:rsid w:val="4A0C67A1"/>
    <w:rsid w:val="4B587329"/>
    <w:rsid w:val="4D2B5670"/>
    <w:rsid w:val="4F3C0217"/>
    <w:rsid w:val="501E65B8"/>
    <w:rsid w:val="55272478"/>
    <w:rsid w:val="57F311E4"/>
    <w:rsid w:val="59E47F4D"/>
    <w:rsid w:val="5FED28D1"/>
    <w:rsid w:val="5FF5029E"/>
    <w:rsid w:val="645051B8"/>
    <w:rsid w:val="6A4421EF"/>
    <w:rsid w:val="6FD06713"/>
    <w:rsid w:val="749960D8"/>
    <w:rsid w:val="75EA1621"/>
    <w:rsid w:val="772E5540"/>
    <w:rsid w:val="77FE0B59"/>
    <w:rsid w:val="7AE87786"/>
    <w:rsid w:val="7B46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styleId="12">
    <w:name w:val="footnote reference"/>
    <w:semiHidden/>
    <w:unhideWhenUsed/>
    <w:qFormat/>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1362</Words>
  <Characters>7767</Characters>
  <Lines>64</Lines>
  <Paragraphs>18</Paragraphs>
  <TotalTime>1</TotalTime>
  <ScaleCrop>false</ScaleCrop>
  <LinksUpToDate>false</LinksUpToDate>
  <CharactersWithSpaces>9111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冯长刚</cp:lastModifiedBy>
  <cp:lastPrinted>2017-11-09T01:12:00Z</cp:lastPrinted>
  <dcterms:modified xsi:type="dcterms:W3CDTF">2023-06-12T15:45:01Z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2E4985E7BC75477394269F15E30AE7AF</vt:lpwstr>
  </property>
</Properties>
</file>