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880" w:firstLineChars="200"/>
        <w:jc w:val="center"/>
        <w:rPr>
          <w:rFonts w:ascii="Times New Roman" w:hAnsi="Times New Roman" w:eastAsia="方正小标宋_GBK" w:cs="Times New Roman"/>
          <w:sz w:val="44"/>
          <w:szCs w:val="44"/>
        </w:rPr>
      </w:pPr>
      <w:bookmarkStart w:id="3" w:name="_GoBack"/>
      <w:bookmarkEnd w:id="3"/>
      <w:r>
        <w:rPr>
          <w:rFonts w:hint="eastAsia" w:ascii="Times New Roman" w:hAnsi="Times New Roman" w:eastAsia="方正小标宋_GBK" w:cs="Times New Roman"/>
          <w:sz w:val="44"/>
          <w:szCs w:val="44"/>
        </w:rPr>
        <w:t>中国共产党威县委员会党校</w:t>
      </w:r>
      <w:r>
        <w:rPr>
          <w:rFonts w:ascii="Times New Roman" w:hAnsi="Times New Roman" w:eastAsia="方正小标宋_GBK" w:cs="Times New Roman"/>
          <w:sz w:val="44"/>
          <w:szCs w:val="44"/>
        </w:rPr>
        <w:t>201</w:t>
      </w:r>
      <w:r>
        <w:rPr>
          <w:rFonts w:hint="eastAsia" w:ascii="Times New Roman" w:hAnsi="Times New Roman" w:eastAsia="方正小标宋_GBK" w:cs="Times New Roman"/>
          <w:sz w:val="44"/>
          <w:szCs w:val="44"/>
        </w:rPr>
        <w:t>9</w:t>
      </w:r>
      <w:r>
        <w:rPr>
          <w:rFonts w:ascii="Times New Roman" w:hAnsi="Times New Roman" w:eastAsia="方正小标宋_GBK" w:cs="Times New Roman"/>
          <w:sz w:val="44"/>
          <w:szCs w:val="44"/>
        </w:rPr>
        <w:t>年部门预算信息公开</w:t>
      </w:r>
      <w:r>
        <w:rPr>
          <w:rFonts w:hint="eastAsia" w:ascii="Times New Roman" w:hAnsi="Times New Roman" w:eastAsia="方正小标宋_GBK" w:cs="Times New Roman"/>
          <w:sz w:val="44"/>
          <w:szCs w:val="44"/>
        </w:rPr>
        <w:t>情况说明</w:t>
      </w:r>
    </w:p>
    <w:p>
      <w:pPr>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按照《预算法》、《地方预决算公开操作规程》和《河北省县级预算公开办法》规定，现将中国共产党威县委员会党校2019年部门预算公开如下：</w:t>
      </w:r>
    </w:p>
    <w:p>
      <w:pPr>
        <w:ind w:firstLine="640"/>
        <w:rPr>
          <w:rFonts w:asciiTheme="minorEastAsia" w:hAnsiTheme="minorEastAsia" w:cstheme="minorEastAsia"/>
          <w:sz w:val="32"/>
          <w:szCs w:val="32"/>
        </w:rPr>
      </w:pPr>
      <w:r>
        <w:rPr>
          <w:rFonts w:hint="eastAsia" w:asciiTheme="minorEastAsia" w:hAnsiTheme="minorEastAsia" w:cstheme="minorEastAsia"/>
          <w:sz w:val="32"/>
          <w:szCs w:val="32"/>
        </w:rPr>
        <w:t>一、部门职责及机构设置情况</w:t>
      </w:r>
    </w:p>
    <w:p>
      <w:pPr>
        <w:ind w:firstLine="640" w:firstLineChars="200"/>
        <w:rPr>
          <w:rFonts w:asciiTheme="minorEastAsia" w:hAnsiTheme="minorEastAsia" w:cstheme="minorEastAsia"/>
          <w:b/>
          <w:sz w:val="32"/>
          <w:szCs w:val="32"/>
        </w:rPr>
      </w:pPr>
      <w:r>
        <w:rPr>
          <w:rFonts w:hint="eastAsia" w:asciiTheme="minorEastAsia" w:hAnsiTheme="minorEastAsia" w:cstheme="minorEastAsia"/>
          <w:b/>
          <w:sz w:val="32"/>
          <w:szCs w:val="32"/>
        </w:rPr>
        <w:t>部门职责：</w:t>
      </w:r>
    </w:p>
    <w:p>
      <w:pPr>
        <w:pStyle w:val="8"/>
        <w:widowControl/>
        <w:spacing w:line="390" w:lineRule="atLeast"/>
        <w:ind w:firstLine="640" w:firstLineChars="200"/>
        <w:rPr>
          <w:rFonts w:asciiTheme="minorEastAsia" w:hAnsiTheme="minorEastAsia" w:cstheme="minorEastAsia"/>
          <w:sz w:val="32"/>
          <w:szCs w:val="32"/>
        </w:rPr>
      </w:pPr>
      <w:r>
        <w:rPr>
          <w:rFonts w:hint="eastAsia" w:asciiTheme="minorEastAsia" w:hAnsiTheme="minorEastAsia" w:cstheme="minorEastAsia"/>
          <w:color w:val="333333"/>
          <w:sz w:val="32"/>
          <w:szCs w:val="32"/>
        </w:rPr>
        <w:t>党校是在党委直接领导下培养党员领导干部和理论干部的学校，是党委的重要部门，是学习、研究和宣传马克思主义、毛泽东思想、邓小平理论“三个代表”重要思想、科学发展观、习近平新时代中国特色社会主义思想等重大战略思想的重要阵地，是培训轮训党员领导干部的主渠道，是党的哲学研究机构。</w:t>
      </w:r>
    </w:p>
    <w:p>
      <w:pPr>
        <w:pStyle w:val="8"/>
        <w:widowControl/>
        <w:spacing w:line="390" w:lineRule="atLeast"/>
        <w:rPr>
          <w:rFonts w:asciiTheme="minorEastAsia" w:hAnsiTheme="minorEastAsia" w:cstheme="minorEastAsia"/>
          <w:sz w:val="32"/>
          <w:szCs w:val="32"/>
        </w:rPr>
      </w:pPr>
      <w:r>
        <w:rPr>
          <w:rFonts w:hint="eastAsia" w:asciiTheme="minorEastAsia" w:hAnsiTheme="minorEastAsia" w:cstheme="minorEastAsia"/>
          <w:color w:val="333333"/>
          <w:sz w:val="32"/>
          <w:szCs w:val="32"/>
        </w:rPr>
        <w:t>　　党校工作的总体要求是，围绕党和国家工作大局，按照实事求是、与时俱进、艰苦奋斗、执政为民的要求，尊重和研究干部成长规律和党校教育规律，针对干部成长的特点和需求，以马克思主义理论特别是中国特色社会主义理论体系为主课，培养忠诚于中国特色社会主义事业、德才兼备的党员领导干部和理论干部。</w:t>
      </w:r>
    </w:p>
    <w:p>
      <w:pPr>
        <w:pStyle w:val="8"/>
        <w:widowControl/>
        <w:spacing w:line="390" w:lineRule="atLeast"/>
        <w:rPr>
          <w:rFonts w:asciiTheme="minorEastAsia" w:hAnsiTheme="minorEastAsia" w:cstheme="minorEastAsia"/>
          <w:sz w:val="32"/>
          <w:szCs w:val="32"/>
        </w:rPr>
      </w:pPr>
      <w:r>
        <w:rPr>
          <w:rFonts w:hint="eastAsia" w:asciiTheme="minorEastAsia" w:hAnsiTheme="minorEastAsia" w:cstheme="minorEastAsia"/>
          <w:color w:val="333333"/>
          <w:sz w:val="32"/>
          <w:szCs w:val="32"/>
        </w:rPr>
        <w:t>　　党校的工作职责是：</w:t>
      </w:r>
    </w:p>
    <w:p>
      <w:pPr>
        <w:pStyle w:val="8"/>
        <w:widowControl/>
        <w:spacing w:line="390" w:lineRule="atLeast"/>
        <w:rPr>
          <w:rFonts w:asciiTheme="minorEastAsia" w:hAnsiTheme="minorEastAsia" w:cstheme="minorEastAsia"/>
          <w:sz w:val="32"/>
          <w:szCs w:val="32"/>
        </w:rPr>
      </w:pPr>
      <w:r>
        <w:rPr>
          <w:rFonts w:hint="eastAsia" w:asciiTheme="minorEastAsia" w:hAnsiTheme="minorEastAsia" w:cstheme="minorEastAsia"/>
          <w:color w:val="333333"/>
          <w:sz w:val="32"/>
          <w:szCs w:val="32"/>
        </w:rPr>
        <w:t>　　1、培训轮训各级党员领导干部及后备干部，培养理论干部；</w:t>
      </w:r>
    </w:p>
    <w:p>
      <w:pPr>
        <w:pStyle w:val="8"/>
        <w:widowControl/>
        <w:spacing w:line="390" w:lineRule="atLeast"/>
        <w:rPr>
          <w:rFonts w:asciiTheme="minorEastAsia" w:hAnsiTheme="minorEastAsia" w:cstheme="minorEastAsia"/>
          <w:sz w:val="32"/>
          <w:szCs w:val="32"/>
        </w:rPr>
      </w:pPr>
      <w:r>
        <w:rPr>
          <w:rFonts w:hint="eastAsia" w:asciiTheme="minorEastAsia" w:hAnsiTheme="minorEastAsia" w:cstheme="minorEastAsia"/>
          <w:color w:val="333333"/>
          <w:sz w:val="32"/>
          <w:szCs w:val="32"/>
        </w:rPr>
        <w:t>　　2、承办党委和政府举办的专题研讨班；</w:t>
      </w:r>
    </w:p>
    <w:p>
      <w:pPr>
        <w:pStyle w:val="8"/>
        <w:widowControl/>
        <w:spacing w:line="390" w:lineRule="atLeast"/>
        <w:rPr>
          <w:rFonts w:asciiTheme="minorEastAsia" w:hAnsiTheme="minorEastAsia" w:cstheme="minorEastAsia"/>
          <w:sz w:val="32"/>
          <w:szCs w:val="32"/>
        </w:rPr>
      </w:pPr>
      <w:r>
        <w:rPr>
          <w:rFonts w:hint="eastAsia" w:asciiTheme="minorEastAsia" w:hAnsiTheme="minorEastAsia" w:cstheme="minorEastAsia"/>
          <w:color w:val="333333"/>
          <w:sz w:val="32"/>
          <w:szCs w:val="32"/>
        </w:rPr>
        <w:t>　　3、围绕国内出现的新情况新问题开展科学研究，承担党委和政府下达的调研任务，推进理论创新；</w:t>
      </w:r>
    </w:p>
    <w:p>
      <w:pPr>
        <w:pStyle w:val="8"/>
        <w:widowControl/>
        <w:spacing w:line="390" w:lineRule="atLeast"/>
        <w:rPr>
          <w:rFonts w:asciiTheme="minorEastAsia" w:hAnsiTheme="minorEastAsia" w:cstheme="minorEastAsia"/>
          <w:sz w:val="32"/>
          <w:szCs w:val="32"/>
        </w:rPr>
      </w:pPr>
      <w:r>
        <w:rPr>
          <w:rFonts w:hint="eastAsia" w:asciiTheme="minorEastAsia" w:hAnsiTheme="minorEastAsia" w:cstheme="minorEastAsia"/>
          <w:color w:val="333333"/>
          <w:sz w:val="32"/>
          <w:szCs w:val="32"/>
        </w:rPr>
        <w:t>　　4、针对改革开放和社会主义现代化进程中的重大理论和现实问题，开展马克思主义中国化最新成果的理论宣传，开展党的路线、方针、政策的宣传；</w:t>
      </w:r>
    </w:p>
    <w:p>
      <w:pPr>
        <w:pStyle w:val="8"/>
        <w:widowControl/>
        <w:spacing w:line="390" w:lineRule="atLeast"/>
        <w:rPr>
          <w:rFonts w:asciiTheme="minorEastAsia" w:hAnsiTheme="minorEastAsia" w:cstheme="minorEastAsia"/>
          <w:sz w:val="32"/>
          <w:szCs w:val="32"/>
        </w:rPr>
      </w:pPr>
      <w:r>
        <w:rPr>
          <w:rFonts w:hint="eastAsia" w:asciiTheme="minorEastAsia" w:hAnsiTheme="minorEastAsia" w:cstheme="minorEastAsia"/>
          <w:color w:val="333333"/>
          <w:sz w:val="32"/>
          <w:szCs w:val="32"/>
        </w:rPr>
        <w:t>　　5、按照国家有关法律法规和政策规定，开展干部继续教育和培训；</w:t>
      </w:r>
    </w:p>
    <w:p>
      <w:pPr>
        <w:pStyle w:val="8"/>
        <w:widowControl/>
        <w:spacing w:line="390" w:lineRule="atLeast"/>
        <w:rPr>
          <w:rFonts w:asciiTheme="minorEastAsia" w:hAnsiTheme="minorEastAsia" w:cstheme="minorEastAsia"/>
          <w:sz w:val="32"/>
          <w:szCs w:val="32"/>
        </w:rPr>
      </w:pPr>
      <w:r>
        <w:rPr>
          <w:rFonts w:hint="eastAsia" w:asciiTheme="minorEastAsia" w:hAnsiTheme="minorEastAsia" w:cstheme="minorEastAsia"/>
          <w:color w:val="333333"/>
          <w:sz w:val="32"/>
          <w:szCs w:val="32"/>
        </w:rPr>
        <w:t>　　6、承办</w:t>
      </w:r>
      <w:r>
        <w:rPr>
          <w:rFonts w:hint="eastAsia" w:asciiTheme="minorEastAsia" w:hAnsiTheme="minorEastAsia" w:cstheme="minorEastAsia"/>
          <w:color w:val="333333"/>
          <w:sz w:val="32"/>
          <w:szCs w:val="32"/>
          <w:lang w:eastAsia="zh-CN"/>
        </w:rPr>
        <w:t>县委县政府</w:t>
      </w:r>
      <w:r>
        <w:rPr>
          <w:rFonts w:hint="eastAsia" w:asciiTheme="minorEastAsia" w:hAnsiTheme="minorEastAsia" w:cstheme="minorEastAsia"/>
          <w:color w:val="333333"/>
          <w:sz w:val="32"/>
          <w:szCs w:val="32"/>
        </w:rPr>
        <w:t>交办的其他事项。</w:t>
      </w:r>
    </w:p>
    <w:p>
      <w:pPr>
        <w:autoSpaceDE w:val="0"/>
        <w:autoSpaceDN w:val="0"/>
        <w:adjustRightInd w:val="0"/>
        <w:ind w:firstLine="640" w:firstLineChars="200"/>
        <w:jc w:val="left"/>
        <w:rPr>
          <w:rFonts w:asciiTheme="minorEastAsia" w:hAnsiTheme="minorEastAsia" w:cstheme="minorEastAsia"/>
          <w:b/>
          <w:sz w:val="32"/>
          <w:szCs w:val="32"/>
        </w:rPr>
      </w:pPr>
      <w:r>
        <w:rPr>
          <w:rFonts w:hint="eastAsia" w:asciiTheme="minorEastAsia" w:hAnsiTheme="minorEastAsia" w:cstheme="minorEastAsia"/>
          <w:b/>
          <w:sz w:val="32"/>
          <w:szCs w:val="32"/>
        </w:rPr>
        <w:t>机构设置：</w:t>
      </w:r>
    </w:p>
    <w:p>
      <w:pPr>
        <w:jc w:val="center"/>
        <w:outlineLvl w:val="0"/>
        <w:rPr>
          <w:rFonts w:asciiTheme="minorEastAsia" w:hAnsiTheme="minorEastAsia" w:cstheme="minorEastAsia"/>
          <w:sz w:val="32"/>
          <w:szCs w:val="24"/>
        </w:rPr>
      </w:pPr>
      <w:r>
        <w:rPr>
          <w:rFonts w:hint="eastAsia" w:asciiTheme="minorEastAsia" w:hAnsiTheme="minorEastAsia" w:cstheme="minorEastAsia"/>
          <w:sz w:val="32"/>
          <w:szCs w:val="24"/>
        </w:rPr>
        <w:t>部门机构设置情况</w:t>
      </w:r>
    </w:p>
    <w:tbl>
      <w:tblPr>
        <w:tblStyle w:val="9"/>
        <w:tblW w:w="978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359"/>
        <w:gridCol w:w="1134"/>
        <w:gridCol w:w="1276"/>
        <w:gridCol w:w="301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4359" w:type="dxa"/>
            <w:vMerge w:val="restart"/>
            <w:shd w:val="clear" w:color="auto" w:fill="auto"/>
            <w:vAlign w:val="center"/>
          </w:tcPr>
          <w:p>
            <w:pPr>
              <w:spacing w:line="300" w:lineRule="exact"/>
              <w:jc w:val="center"/>
              <w:rPr>
                <w:rFonts w:asciiTheme="minorEastAsia" w:hAnsiTheme="minorEastAsia" w:cstheme="minorEastAsia"/>
                <w:b/>
              </w:rPr>
            </w:pPr>
            <w:r>
              <w:rPr>
                <w:rFonts w:hint="eastAsia" w:asciiTheme="minorEastAsia" w:hAnsiTheme="minorEastAsia" w:cstheme="minorEastAsia"/>
                <w:b/>
              </w:rPr>
              <w:t>单位名称</w:t>
            </w:r>
          </w:p>
        </w:tc>
        <w:tc>
          <w:tcPr>
            <w:tcW w:w="1134" w:type="dxa"/>
            <w:vMerge w:val="restart"/>
            <w:shd w:val="clear" w:color="auto" w:fill="auto"/>
            <w:vAlign w:val="center"/>
          </w:tcPr>
          <w:p>
            <w:pPr>
              <w:spacing w:line="300" w:lineRule="exact"/>
              <w:jc w:val="center"/>
              <w:rPr>
                <w:rFonts w:asciiTheme="minorEastAsia" w:hAnsiTheme="minorEastAsia" w:cstheme="minorEastAsia"/>
                <w:b/>
              </w:rPr>
            </w:pPr>
            <w:r>
              <w:rPr>
                <w:rFonts w:hint="eastAsia" w:asciiTheme="minorEastAsia" w:hAnsiTheme="minorEastAsia" w:cstheme="minorEastAsia"/>
                <w:b/>
              </w:rPr>
              <w:t>单位性质</w:t>
            </w:r>
          </w:p>
        </w:tc>
        <w:tc>
          <w:tcPr>
            <w:tcW w:w="1276" w:type="dxa"/>
            <w:vMerge w:val="restart"/>
            <w:shd w:val="clear" w:color="auto" w:fill="auto"/>
            <w:vAlign w:val="center"/>
          </w:tcPr>
          <w:p>
            <w:pPr>
              <w:spacing w:line="300" w:lineRule="exact"/>
              <w:jc w:val="center"/>
              <w:rPr>
                <w:rFonts w:asciiTheme="minorEastAsia" w:hAnsiTheme="minorEastAsia" w:cstheme="minorEastAsia"/>
                <w:b/>
              </w:rPr>
            </w:pPr>
            <w:r>
              <w:rPr>
                <w:rFonts w:hint="eastAsia" w:asciiTheme="minorEastAsia" w:hAnsiTheme="minorEastAsia" w:cstheme="minorEastAsia"/>
                <w:b/>
              </w:rPr>
              <w:t>单位规格</w:t>
            </w:r>
          </w:p>
        </w:tc>
        <w:tc>
          <w:tcPr>
            <w:tcW w:w="3013" w:type="dxa"/>
            <w:vMerge w:val="restart"/>
            <w:shd w:val="clear" w:color="auto" w:fill="auto"/>
            <w:vAlign w:val="center"/>
          </w:tcPr>
          <w:p>
            <w:pPr>
              <w:spacing w:line="300" w:lineRule="exact"/>
              <w:jc w:val="center"/>
              <w:rPr>
                <w:rFonts w:asciiTheme="minorEastAsia" w:hAnsiTheme="minorEastAsia" w:cstheme="minorEastAsia"/>
                <w:b/>
              </w:rPr>
            </w:pPr>
            <w:r>
              <w:rPr>
                <w:rFonts w:hint="eastAsia" w:asciiTheme="minorEastAsia" w:hAnsiTheme="minorEastAsia" w:cstheme="minorEastAsia"/>
                <w:b/>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4359" w:type="dxa"/>
            <w:vMerge w:val="continue"/>
            <w:shd w:val="clear" w:color="auto" w:fill="auto"/>
            <w:vAlign w:val="center"/>
          </w:tcPr>
          <w:p>
            <w:pPr>
              <w:spacing w:line="300" w:lineRule="exact"/>
              <w:jc w:val="left"/>
              <w:outlineLvl w:val="0"/>
              <w:rPr>
                <w:rFonts w:asciiTheme="minorEastAsia" w:hAnsiTheme="minorEastAsia" w:cstheme="minorEastAsia"/>
              </w:rPr>
            </w:pPr>
          </w:p>
        </w:tc>
        <w:tc>
          <w:tcPr>
            <w:tcW w:w="1134" w:type="dxa"/>
            <w:vMerge w:val="continue"/>
            <w:shd w:val="clear" w:color="auto" w:fill="auto"/>
            <w:vAlign w:val="center"/>
          </w:tcPr>
          <w:p>
            <w:pPr>
              <w:spacing w:line="300" w:lineRule="exact"/>
              <w:jc w:val="left"/>
              <w:outlineLvl w:val="0"/>
              <w:rPr>
                <w:rFonts w:asciiTheme="minorEastAsia" w:hAnsiTheme="minorEastAsia" w:cstheme="minorEastAsia"/>
              </w:rPr>
            </w:pPr>
          </w:p>
        </w:tc>
        <w:tc>
          <w:tcPr>
            <w:tcW w:w="1276" w:type="dxa"/>
            <w:vMerge w:val="continue"/>
            <w:shd w:val="clear" w:color="auto" w:fill="auto"/>
            <w:vAlign w:val="center"/>
          </w:tcPr>
          <w:p>
            <w:pPr>
              <w:spacing w:line="300" w:lineRule="exact"/>
              <w:jc w:val="left"/>
              <w:outlineLvl w:val="0"/>
              <w:rPr>
                <w:rFonts w:asciiTheme="minorEastAsia" w:hAnsiTheme="minorEastAsia" w:cstheme="minorEastAsia"/>
              </w:rPr>
            </w:pPr>
          </w:p>
        </w:tc>
        <w:tc>
          <w:tcPr>
            <w:tcW w:w="3013" w:type="dxa"/>
            <w:vMerge w:val="continue"/>
            <w:shd w:val="clear" w:color="auto" w:fill="auto"/>
            <w:vAlign w:val="center"/>
          </w:tcPr>
          <w:p>
            <w:pPr>
              <w:spacing w:line="300" w:lineRule="exact"/>
              <w:jc w:val="left"/>
              <w:outlineLvl w:val="0"/>
              <w:rPr>
                <w:rFonts w:asciiTheme="minorEastAsia" w:hAnsiTheme="minorEastAsia" w:cs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359" w:type="dxa"/>
            <w:shd w:val="clear" w:color="auto" w:fill="auto"/>
            <w:vAlign w:val="center"/>
          </w:tcPr>
          <w:p>
            <w:pPr>
              <w:spacing w:line="300" w:lineRule="exact"/>
              <w:jc w:val="center"/>
              <w:rPr>
                <w:rFonts w:asciiTheme="minorEastAsia" w:hAnsiTheme="minorEastAsia" w:cstheme="minorEastAsia"/>
                <w:b/>
              </w:rPr>
            </w:pPr>
            <w:r>
              <w:rPr>
                <w:rFonts w:hint="eastAsia" w:asciiTheme="minorEastAsia" w:hAnsiTheme="minorEastAsia" w:cstheme="minorEastAsia"/>
                <w:b/>
              </w:rPr>
              <w:t>合    计</w:t>
            </w:r>
          </w:p>
        </w:tc>
        <w:tc>
          <w:tcPr>
            <w:tcW w:w="1134" w:type="dxa"/>
            <w:shd w:val="clear" w:color="auto" w:fill="auto"/>
            <w:vAlign w:val="center"/>
          </w:tcPr>
          <w:p>
            <w:pPr>
              <w:spacing w:line="300" w:lineRule="exact"/>
              <w:jc w:val="center"/>
              <w:rPr>
                <w:rFonts w:asciiTheme="minorEastAsia" w:hAnsiTheme="minorEastAsia" w:cstheme="minorEastAsia"/>
                <w:b/>
              </w:rPr>
            </w:pPr>
          </w:p>
        </w:tc>
        <w:tc>
          <w:tcPr>
            <w:tcW w:w="1276" w:type="dxa"/>
            <w:shd w:val="clear" w:color="auto" w:fill="auto"/>
            <w:vAlign w:val="center"/>
          </w:tcPr>
          <w:p>
            <w:pPr>
              <w:spacing w:line="300" w:lineRule="exact"/>
              <w:jc w:val="center"/>
              <w:rPr>
                <w:rFonts w:asciiTheme="minorEastAsia" w:hAnsiTheme="minorEastAsia" w:cstheme="minorEastAsia"/>
                <w:b/>
              </w:rPr>
            </w:pPr>
          </w:p>
        </w:tc>
        <w:tc>
          <w:tcPr>
            <w:tcW w:w="3013" w:type="dxa"/>
            <w:shd w:val="clear" w:color="auto" w:fill="auto"/>
            <w:vAlign w:val="center"/>
          </w:tcPr>
          <w:p>
            <w:pPr>
              <w:spacing w:line="300" w:lineRule="exact"/>
              <w:jc w:val="center"/>
              <w:rPr>
                <w:rFonts w:asciiTheme="minorEastAsia" w:hAnsiTheme="minorEastAsia" w:cstheme="minorEastAsia"/>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440" w:hRule="atLeast"/>
          <w:jc w:val="center"/>
        </w:trPr>
        <w:tc>
          <w:tcPr>
            <w:tcW w:w="4359" w:type="dxa"/>
            <w:shd w:val="clear" w:color="auto" w:fill="auto"/>
            <w:vAlign w:val="center"/>
          </w:tcPr>
          <w:p>
            <w:pPr>
              <w:spacing w:line="300" w:lineRule="exact"/>
              <w:jc w:val="left"/>
              <w:rPr>
                <w:rFonts w:asciiTheme="minorEastAsia" w:hAnsiTheme="minorEastAsia" w:cstheme="minorEastAsia"/>
                <w:highlight w:val="yellow"/>
              </w:rPr>
            </w:pPr>
            <w:r>
              <w:rPr>
                <w:rFonts w:hint="eastAsia" w:asciiTheme="minorEastAsia" w:hAnsiTheme="minorEastAsia" w:cstheme="minorEastAsia"/>
                <w:sz w:val="32"/>
                <w:szCs w:val="32"/>
              </w:rPr>
              <w:t>中国共产党威县委员会党校</w:t>
            </w:r>
          </w:p>
        </w:tc>
        <w:tc>
          <w:tcPr>
            <w:tcW w:w="1134" w:type="dxa"/>
            <w:shd w:val="clear" w:color="auto" w:fill="auto"/>
            <w:vAlign w:val="center"/>
          </w:tcPr>
          <w:p>
            <w:pPr>
              <w:spacing w:line="300" w:lineRule="exact"/>
              <w:jc w:val="center"/>
              <w:rPr>
                <w:rFonts w:asciiTheme="minorEastAsia" w:hAnsiTheme="minorEastAsia" w:cstheme="minorEastAsia"/>
                <w:highlight w:val="yellow"/>
              </w:rPr>
            </w:pPr>
            <w:r>
              <w:rPr>
                <w:rFonts w:hint="eastAsia" w:asciiTheme="minorEastAsia" w:hAnsiTheme="minorEastAsia" w:cstheme="minorEastAsia"/>
                <w:sz w:val="32"/>
                <w:szCs w:val="32"/>
              </w:rPr>
              <w:t>参公事业单位</w:t>
            </w:r>
          </w:p>
        </w:tc>
        <w:tc>
          <w:tcPr>
            <w:tcW w:w="1276" w:type="dxa"/>
            <w:shd w:val="clear" w:color="auto" w:fill="auto"/>
            <w:vAlign w:val="center"/>
          </w:tcPr>
          <w:p>
            <w:pPr>
              <w:spacing w:line="300" w:lineRule="exact"/>
              <w:jc w:val="center"/>
              <w:rPr>
                <w:rFonts w:asciiTheme="minorEastAsia" w:hAnsiTheme="minorEastAsia" w:cstheme="minorEastAsia"/>
                <w:highlight w:val="yellow"/>
              </w:rPr>
            </w:pPr>
            <w:r>
              <w:rPr>
                <w:rFonts w:hint="eastAsia" w:asciiTheme="minorEastAsia" w:hAnsiTheme="minorEastAsia" w:cstheme="minorEastAsia"/>
                <w:sz w:val="32"/>
                <w:szCs w:val="32"/>
              </w:rPr>
              <w:t>正科级</w:t>
            </w:r>
          </w:p>
        </w:tc>
        <w:tc>
          <w:tcPr>
            <w:tcW w:w="3013" w:type="dxa"/>
            <w:shd w:val="clear" w:color="auto" w:fill="auto"/>
            <w:vAlign w:val="center"/>
          </w:tcPr>
          <w:p>
            <w:pPr>
              <w:spacing w:line="300" w:lineRule="exact"/>
              <w:jc w:val="center"/>
              <w:rPr>
                <w:rFonts w:asciiTheme="minorEastAsia" w:hAnsiTheme="minorEastAsia" w:cstheme="minorEastAsia"/>
                <w:highlight w:val="yellow"/>
              </w:rPr>
            </w:pPr>
            <w:r>
              <w:rPr>
                <w:rFonts w:hint="eastAsia" w:asciiTheme="minorEastAsia" w:hAnsiTheme="minorEastAsia" w:cstheme="minorEastAsia"/>
                <w:sz w:val="32"/>
                <w:szCs w:val="32"/>
              </w:rPr>
              <w:t>财政拨款</w:t>
            </w:r>
          </w:p>
        </w:tc>
      </w:tr>
    </w:tbl>
    <w:p>
      <w:pPr>
        <w:pStyle w:val="8"/>
        <w:widowControl/>
        <w:spacing w:line="390" w:lineRule="atLeast"/>
        <w:rPr>
          <w:rFonts w:asciiTheme="minorEastAsia" w:hAnsiTheme="minorEastAsia" w:cstheme="minorEastAsia"/>
          <w:sz w:val="32"/>
          <w:szCs w:val="32"/>
        </w:rPr>
      </w:pPr>
      <w:r>
        <w:rPr>
          <w:rFonts w:hint="eastAsia" w:asciiTheme="minorEastAsia" w:hAnsiTheme="minorEastAsia" w:cstheme="minorEastAsia"/>
          <w:color w:val="333333"/>
          <w:sz w:val="32"/>
          <w:szCs w:val="32"/>
        </w:rPr>
        <w:t>县委党校共设3个科室，具体情况如下：</w:t>
      </w:r>
    </w:p>
    <w:p>
      <w:pPr>
        <w:pStyle w:val="8"/>
        <w:widowControl/>
        <w:spacing w:line="390" w:lineRule="atLeast"/>
        <w:rPr>
          <w:rFonts w:asciiTheme="minorEastAsia" w:hAnsiTheme="minorEastAsia" w:cstheme="minorEastAsia"/>
          <w:sz w:val="32"/>
          <w:szCs w:val="32"/>
        </w:rPr>
      </w:pPr>
      <w:r>
        <w:rPr>
          <w:rFonts w:hint="eastAsia" w:asciiTheme="minorEastAsia" w:hAnsiTheme="minorEastAsia" w:cstheme="minorEastAsia"/>
          <w:color w:val="333333"/>
          <w:sz w:val="32"/>
          <w:szCs w:val="32"/>
        </w:rPr>
        <w:t>　　 1.内设机构：办公室、教研室、学管室3个科室。</w:t>
      </w:r>
    </w:p>
    <w:p>
      <w:pPr>
        <w:numPr>
          <w:ilvl w:val="0"/>
          <w:numId w:val="1"/>
        </w:numPr>
        <w:snapToGrid w:val="0"/>
        <w:spacing w:line="360" w:lineRule="auto"/>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人员情况：2019年党校在职人员7人，</w:t>
      </w:r>
      <w:r>
        <w:rPr>
          <w:rFonts w:hint="eastAsia" w:asciiTheme="minorEastAsia" w:hAnsiTheme="minorEastAsia" w:cstheme="minorEastAsia"/>
          <w:color w:val="333333"/>
          <w:sz w:val="32"/>
          <w:szCs w:val="32"/>
        </w:rPr>
        <w:t>，正科级1人，副科级1人，正股级3人，副股级1人，科员1人。</w:t>
      </w:r>
    </w:p>
    <w:p>
      <w:pPr>
        <w:ind w:firstLine="640"/>
        <w:rPr>
          <w:rFonts w:asciiTheme="minorEastAsia" w:hAnsiTheme="minorEastAsia" w:cstheme="minorEastAsia"/>
          <w:sz w:val="32"/>
          <w:szCs w:val="32"/>
        </w:rPr>
      </w:pPr>
      <w:r>
        <w:rPr>
          <w:rFonts w:hint="eastAsia" w:asciiTheme="minorEastAsia" w:hAnsiTheme="minorEastAsia" w:cstheme="minorEastAsia"/>
          <w:sz w:val="32"/>
          <w:szCs w:val="32"/>
        </w:rPr>
        <w:t>二、部门预算安排的总体情况</w:t>
      </w:r>
    </w:p>
    <w:p>
      <w:pPr>
        <w:ind w:firstLine="640"/>
        <w:rPr>
          <w:rFonts w:asciiTheme="minorEastAsia" w:hAnsiTheme="minorEastAsia" w:cstheme="minorEastAsia"/>
          <w:sz w:val="32"/>
          <w:szCs w:val="32"/>
        </w:rPr>
      </w:pPr>
      <w:r>
        <w:rPr>
          <w:rFonts w:hint="eastAsia" w:asciiTheme="minorEastAsia" w:hAnsiTheme="minorEastAsia" w:cstheme="minorEastAsia"/>
          <w:sz w:val="32"/>
          <w:szCs w:val="32"/>
        </w:rPr>
        <w:t>按照预算管理有关规定，目前我县部门预算的编制实行综合预算管理，即全部收入和支出都反映在预算中。中国共产党威县委员会党校的收支包含在部门预算中。</w:t>
      </w:r>
    </w:p>
    <w:p>
      <w:pPr>
        <w:ind w:firstLine="640"/>
        <w:rPr>
          <w:rFonts w:asciiTheme="minorEastAsia" w:hAnsiTheme="minorEastAsia" w:cstheme="minorEastAsia"/>
          <w:sz w:val="32"/>
          <w:szCs w:val="32"/>
        </w:rPr>
      </w:pPr>
      <w:r>
        <w:rPr>
          <w:rFonts w:hint="eastAsia" w:asciiTheme="minorEastAsia" w:hAnsiTheme="minorEastAsia" w:cstheme="minorEastAsia"/>
          <w:sz w:val="32"/>
          <w:szCs w:val="32"/>
        </w:rPr>
        <w:t>1、收入说明</w:t>
      </w:r>
    </w:p>
    <w:p>
      <w:pPr>
        <w:ind w:firstLine="640"/>
        <w:rPr>
          <w:rFonts w:asciiTheme="minorEastAsia" w:hAnsiTheme="minorEastAsia" w:cstheme="minorEastAsia"/>
          <w:sz w:val="32"/>
          <w:szCs w:val="32"/>
        </w:rPr>
      </w:pPr>
      <w:r>
        <w:rPr>
          <w:rFonts w:hint="eastAsia" w:asciiTheme="minorEastAsia" w:hAnsiTheme="minorEastAsia" w:cstheme="minorEastAsia"/>
          <w:sz w:val="32"/>
          <w:szCs w:val="32"/>
        </w:rPr>
        <w:t>反映本部门当年全部收入。2019年预算收入71.9万元，其中：一般公共预算收入71.9万元，基金预算收入0万元，财政专户核拨收入0万元，其他来源收入0万元。</w:t>
      </w:r>
    </w:p>
    <w:p>
      <w:pPr>
        <w:ind w:firstLine="640"/>
        <w:rPr>
          <w:rFonts w:asciiTheme="minorEastAsia" w:hAnsiTheme="minorEastAsia" w:cstheme="minorEastAsia"/>
          <w:sz w:val="32"/>
          <w:szCs w:val="32"/>
        </w:rPr>
      </w:pPr>
      <w:r>
        <w:rPr>
          <w:rFonts w:hint="eastAsia" w:asciiTheme="minorEastAsia" w:hAnsiTheme="minorEastAsia" w:cstheme="minorEastAsia"/>
          <w:sz w:val="32"/>
          <w:szCs w:val="32"/>
        </w:rPr>
        <w:t>2、支出说明</w:t>
      </w:r>
    </w:p>
    <w:p>
      <w:pPr>
        <w:ind w:firstLine="640"/>
        <w:rPr>
          <w:rFonts w:asciiTheme="minorEastAsia" w:hAnsiTheme="minorEastAsia" w:cstheme="minorEastAsia"/>
          <w:sz w:val="32"/>
          <w:szCs w:val="32"/>
        </w:rPr>
      </w:pPr>
      <w:r>
        <w:rPr>
          <w:rFonts w:hint="eastAsia" w:asciiTheme="minorEastAsia" w:hAnsiTheme="minorEastAsia" w:cstheme="minorEastAsia"/>
          <w:sz w:val="32"/>
          <w:szCs w:val="32"/>
        </w:rPr>
        <w:t>收支预算总表支出栏、基本支出表、项目支出表按经济分类和支出功能分类科目编制，反映中国共产党威县委员会党校年度部门预算中支出预算的总体情况。2019年支出预算71.9万元，其中基本支出65.9万元，包括人员经费63.34万元和日常公用经费2.56万元；项目支出6万元，主要为教学研究经费。</w:t>
      </w:r>
    </w:p>
    <w:p>
      <w:pPr>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3、比上年增减情况</w:t>
      </w:r>
    </w:p>
    <w:p>
      <w:pPr>
        <w:ind w:firstLine="640"/>
        <w:rPr>
          <w:rFonts w:asciiTheme="minorEastAsia" w:hAnsiTheme="minorEastAsia" w:cstheme="minorEastAsia"/>
          <w:sz w:val="32"/>
          <w:szCs w:val="32"/>
        </w:rPr>
      </w:pPr>
      <w:r>
        <w:rPr>
          <w:rFonts w:hint="eastAsia" w:asciiTheme="minorEastAsia" w:hAnsiTheme="minorEastAsia" w:cstheme="minorEastAsia"/>
          <w:sz w:val="32"/>
          <w:szCs w:val="32"/>
        </w:rPr>
        <w:t>2019年预算收支安排71.9万元，较2018年预算65.73万元，增加6.17万元，其中：基本支出增加5.17万元，主要为增加人员经费支出；项目支出增加1万元，主要为培训任务增加。</w:t>
      </w:r>
    </w:p>
    <w:p>
      <w:pPr>
        <w:autoSpaceDE w:val="0"/>
        <w:autoSpaceDN w:val="0"/>
        <w:adjustRightInd w:val="0"/>
        <w:ind w:left="198" w:firstLine="640" w:firstLineChars="200"/>
        <w:jc w:val="left"/>
        <w:rPr>
          <w:rFonts w:asciiTheme="minorEastAsia" w:hAnsiTheme="minorEastAsia" w:cstheme="minorEastAsia"/>
          <w:sz w:val="32"/>
          <w:szCs w:val="32"/>
        </w:rPr>
      </w:pPr>
      <w:r>
        <w:rPr>
          <w:rFonts w:hint="eastAsia" w:asciiTheme="minorEastAsia" w:hAnsiTheme="minorEastAsia" w:cstheme="minorEastAsia"/>
          <w:sz w:val="32"/>
          <w:szCs w:val="32"/>
        </w:rPr>
        <w:t>三、机关运行经费安排情况</w:t>
      </w:r>
    </w:p>
    <w:p>
      <w:pPr>
        <w:autoSpaceDE w:val="0"/>
        <w:autoSpaceDN w:val="0"/>
        <w:adjustRightInd w:val="0"/>
        <w:ind w:left="198" w:firstLine="640" w:firstLineChars="200"/>
        <w:jc w:val="left"/>
        <w:rPr>
          <w:rFonts w:asciiTheme="minorEastAsia" w:hAnsiTheme="minorEastAsia" w:cstheme="minorEastAsia"/>
          <w:sz w:val="32"/>
          <w:szCs w:val="32"/>
        </w:rPr>
      </w:pPr>
      <w:r>
        <w:rPr>
          <w:rFonts w:hint="eastAsia" w:asciiTheme="minorEastAsia" w:hAnsiTheme="minorEastAsia" w:cstheme="minorEastAsia"/>
          <w:sz w:val="32"/>
          <w:szCs w:val="32"/>
        </w:rPr>
        <w:t>2019年，机关运行经费共计安排2.56万元，主要用于我单位日常维修、办公用房水电费等日常运行支出。</w:t>
      </w:r>
    </w:p>
    <w:p>
      <w:pPr>
        <w:autoSpaceDE w:val="0"/>
        <w:autoSpaceDN w:val="0"/>
        <w:adjustRightInd w:val="0"/>
        <w:ind w:left="198" w:firstLine="640" w:firstLineChars="200"/>
        <w:jc w:val="left"/>
        <w:rPr>
          <w:rFonts w:asciiTheme="minorEastAsia" w:hAnsiTheme="minorEastAsia" w:cstheme="minorEastAsia"/>
          <w:sz w:val="32"/>
          <w:szCs w:val="32"/>
        </w:rPr>
      </w:pPr>
      <w:r>
        <w:rPr>
          <w:rFonts w:hint="eastAsia" w:asciiTheme="minorEastAsia" w:hAnsiTheme="minorEastAsia" w:cstheme="minorEastAsia"/>
          <w:sz w:val="32"/>
          <w:szCs w:val="32"/>
        </w:rPr>
        <w:t>四、财政拨款“三公”经费预算情况及增减变化原因</w:t>
      </w:r>
    </w:p>
    <w:p>
      <w:pPr>
        <w:autoSpaceDE w:val="0"/>
        <w:autoSpaceDN w:val="0"/>
        <w:adjustRightInd w:val="0"/>
        <w:ind w:left="198" w:firstLine="640" w:firstLineChars="200"/>
        <w:jc w:val="left"/>
        <w:rPr>
          <w:rFonts w:asciiTheme="minorEastAsia" w:hAnsiTheme="minorEastAsia" w:cstheme="minorEastAsia"/>
          <w:sz w:val="32"/>
          <w:szCs w:val="32"/>
        </w:rPr>
      </w:pPr>
      <w:r>
        <w:rPr>
          <w:rFonts w:hint="eastAsia" w:asciiTheme="minorEastAsia" w:hAnsiTheme="minorEastAsia" w:cstheme="minorEastAsia"/>
          <w:sz w:val="32"/>
          <w:szCs w:val="32"/>
        </w:rPr>
        <w:t>2019年，我单位财政拨款“三公”经费预算安排0.4万元，其中因公出国（境）费0万元；公务用车购置及运维费0万元（其中：公务用车购置费为0万元，公务用车运维费0万元)；公务接待费0.4万元。与2018年0.95万元，相比减少0.55万元，减少原因：严格按照控制和压缩“三公”的要求，不高于上年“三公”经费。</w:t>
      </w:r>
    </w:p>
    <w:p>
      <w:pPr>
        <w:autoSpaceDE w:val="0"/>
        <w:autoSpaceDN w:val="0"/>
        <w:adjustRightInd w:val="0"/>
        <w:ind w:left="198" w:firstLine="640" w:firstLineChars="200"/>
        <w:jc w:val="left"/>
        <w:rPr>
          <w:rFonts w:asciiTheme="minorEastAsia" w:hAnsiTheme="minorEastAsia" w:cstheme="minorEastAsia"/>
          <w:sz w:val="32"/>
          <w:szCs w:val="32"/>
        </w:rPr>
      </w:pPr>
    </w:p>
    <w:p>
      <w:pPr>
        <w:ind w:firstLine="640"/>
        <w:rPr>
          <w:rFonts w:asciiTheme="minorEastAsia" w:hAnsiTheme="minorEastAsia" w:cstheme="minorEastAsia"/>
          <w:sz w:val="32"/>
          <w:szCs w:val="32"/>
        </w:rPr>
      </w:pPr>
      <w:r>
        <w:rPr>
          <w:rFonts w:hint="eastAsia" w:asciiTheme="minorEastAsia" w:hAnsiTheme="minorEastAsia" w:cstheme="minorEastAsia"/>
          <w:sz w:val="32"/>
          <w:szCs w:val="32"/>
        </w:rPr>
        <w:t>五、绩效预算信息</w:t>
      </w:r>
    </w:p>
    <w:p>
      <w:pPr>
        <w:ind w:firstLine="640" w:firstLineChars="200"/>
        <w:jc w:val="left"/>
        <w:rPr>
          <w:rFonts w:asciiTheme="minorEastAsia" w:hAnsiTheme="minorEastAsia" w:cstheme="minorEastAsia"/>
          <w:b/>
          <w:sz w:val="32"/>
          <w:szCs w:val="32"/>
        </w:rPr>
      </w:pPr>
      <w:bookmarkStart w:id="0" w:name="_Toc471398463"/>
      <w:r>
        <w:rPr>
          <w:rFonts w:hint="eastAsia" w:asciiTheme="minorEastAsia" w:hAnsiTheme="minorEastAsia" w:cstheme="minorEastAsia"/>
          <w:b/>
          <w:sz w:val="32"/>
          <w:szCs w:val="32"/>
        </w:rPr>
        <w:t>总体绩效目标：</w:t>
      </w:r>
    </w:p>
    <w:p>
      <w:pPr>
        <w:rPr>
          <w:rFonts w:asciiTheme="minorEastAsia" w:hAnsiTheme="minorEastAsia" w:cstheme="minorEastAsia"/>
          <w:sz w:val="32"/>
          <w:szCs w:val="32"/>
        </w:rPr>
      </w:pPr>
      <w:r>
        <w:rPr>
          <w:rFonts w:hint="eastAsia" w:asciiTheme="minorEastAsia" w:hAnsiTheme="minorEastAsia" w:cstheme="minorEastAsia"/>
          <w:sz w:val="32"/>
          <w:szCs w:val="32"/>
        </w:rPr>
        <w:t>在</w:t>
      </w:r>
      <w:r>
        <w:rPr>
          <w:rFonts w:hint="eastAsia" w:asciiTheme="minorEastAsia" w:hAnsiTheme="minorEastAsia" w:cstheme="minorEastAsia"/>
          <w:sz w:val="32"/>
          <w:szCs w:val="32"/>
          <w:lang w:eastAsia="zh-CN"/>
        </w:rPr>
        <w:t>县委、县政府</w:t>
      </w:r>
      <w:r>
        <w:rPr>
          <w:rFonts w:hint="eastAsia" w:asciiTheme="minorEastAsia" w:hAnsiTheme="minorEastAsia" w:cstheme="minorEastAsia"/>
          <w:sz w:val="32"/>
          <w:szCs w:val="32"/>
        </w:rPr>
        <w:t>、纪委的正确领导下，威县县委党校以落实全面从严治党主体责任和党风廉政建设责任制为抓手，坚决落实</w:t>
      </w:r>
      <w:r>
        <w:rPr>
          <w:rFonts w:hint="eastAsia" w:asciiTheme="minorEastAsia" w:hAnsiTheme="minorEastAsia" w:cstheme="minorEastAsia"/>
          <w:sz w:val="32"/>
          <w:szCs w:val="32"/>
          <w:lang w:eastAsia="zh-CN"/>
        </w:rPr>
        <w:t>中央八项规定</w:t>
      </w:r>
      <w:r>
        <w:rPr>
          <w:rFonts w:hint="eastAsia" w:asciiTheme="minorEastAsia" w:hAnsiTheme="minorEastAsia" w:cstheme="minorEastAsia"/>
          <w:sz w:val="32"/>
          <w:szCs w:val="32"/>
        </w:rPr>
        <w:t>及省、市、县有关规定，认真学习</w:t>
      </w:r>
      <w:r>
        <w:rPr>
          <w:rFonts w:hint="eastAsia" w:asciiTheme="minorEastAsia" w:hAnsiTheme="minorEastAsia" w:cstheme="minorEastAsia"/>
          <w:sz w:val="32"/>
          <w:szCs w:val="32"/>
          <w:lang w:eastAsia="zh-CN"/>
        </w:rPr>
        <w:t>《中国共产党章程》</w:t>
      </w:r>
      <w:r>
        <w:rPr>
          <w:rFonts w:hint="eastAsia" w:asciiTheme="minorEastAsia" w:hAnsiTheme="minorEastAsia" w:cstheme="minorEastAsia"/>
          <w:sz w:val="32"/>
          <w:szCs w:val="32"/>
        </w:rPr>
        <w:t>、</w:t>
      </w:r>
      <w:r>
        <w:rPr>
          <w:rStyle w:val="19"/>
          <w:rFonts w:hint="eastAsia" w:asciiTheme="minorEastAsia" w:hAnsiTheme="minorEastAsia" w:cstheme="minorEastAsia"/>
          <w:b w:val="0"/>
          <w:bCs w:val="0"/>
          <w:sz w:val="32"/>
          <w:szCs w:val="32"/>
        </w:rPr>
        <w:t>《中国共产党纪律处分条例》、《中国共产党廉洁自律准则》、《中国共产党问责条例》、《中国共产党党内监督条例》等法规，</w:t>
      </w:r>
      <w:r>
        <w:rPr>
          <w:rFonts w:hint="eastAsia" w:asciiTheme="minorEastAsia" w:hAnsiTheme="minorEastAsia" w:cstheme="minorEastAsia"/>
          <w:sz w:val="32"/>
          <w:szCs w:val="32"/>
        </w:rPr>
        <w:t>始终坚持从严治校的方针，</w:t>
      </w:r>
      <w:r>
        <w:rPr>
          <w:rStyle w:val="19"/>
          <w:rFonts w:hint="eastAsia" w:asciiTheme="minorEastAsia" w:hAnsiTheme="minorEastAsia" w:cstheme="minorEastAsia"/>
          <w:b w:val="0"/>
          <w:bCs w:val="0"/>
          <w:sz w:val="32"/>
          <w:szCs w:val="32"/>
        </w:rPr>
        <w:t>做好十九大精神和宪法的宣讲工作，</w:t>
      </w:r>
      <w:r>
        <w:rPr>
          <w:rFonts w:hint="eastAsia" w:asciiTheme="minorEastAsia" w:hAnsiTheme="minorEastAsia" w:cstheme="minorEastAsia"/>
          <w:sz w:val="32"/>
          <w:szCs w:val="32"/>
        </w:rPr>
        <w:t>充分发挥党校干部教育培训主渠道、主阵地的职能作用，全校落实全面从严治党主体责任和党风廉政建设责任制工作取得新的成效，现汇总如下：</w:t>
      </w:r>
      <w:r>
        <w:rPr>
          <w:rFonts w:hint="eastAsia" w:asciiTheme="minorEastAsia" w:hAnsiTheme="minorEastAsia" w:cstheme="minorEastAsia"/>
          <w:sz w:val="32"/>
          <w:szCs w:val="32"/>
        </w:rPr>
        <w:br w:type="textWrapping"/>
      </w:r>
      <w:r>
        <w:rPr>
          <w:rFonts w:hint="eastAsia" w:asciiTheme="minorEastAsia" w:hAnsiTheme="minorEastAsia" w:cstheme="minorEastAsia"/>
          <w:sz w:val="32"/>
          <w:szCs w:val="32"/>
        </w:rPr>
        <w:t xml:space="preserve">   </w:t>
      </w:r>
      <w:r>
        <w:rPr>
          <w:rFonts w:hint="eastAsia" w:asciiTheme="minorEastAsia" w:hAnsiTheme="minorEastAsia" w:cstheme="minorEastAsia"/>
          <w:b/>
          <w:sz w:val="32"/>
          <w:szCs w:val="32"/>
        </w:rPr>
        <w:t xml:space="preserve"> </w:t>
      </w:r>
      <w:r>
        <w:rPr>
          <w:rFonts w:hint="eastAsia" w:asciiTheme="minorEastAsia" w:hAnsiTheme="minorEastAsia" w:cstheme="minorEastAsia"/>
          <w:sz w:val="32"/>
          <w:szCs w:val="32"/>
        </w:rPr>
        <w:t xml:space="preserve"> </w:t>
      </w:r>
      <w:r>
        <w:rPr>
          <w:rFonts w:hint="eastAsia" w:asciiTheme="minorEastAsia" w:hAnsiTheme="minorEastAsia" w:cstheme="minorEastAsia"/>
          <w:b/>
          <w:bCs/>
          <w:sz w:val="32"/>
          <w:szCs w:val="32"/>
        </w:rPr>
        <w:t>（一）落实宣传工作责任制。</w:t>
      </w:r>
      <w:r>
        <w:rPr>
          <w:rFonts w:hint="eastAsia" w:asciiTheme="minorEastAsia" w:hAnsiTheme="minorEastAsia" w:cstheme="minorEastAsia"/>
          <w:sz w:val="32"/>
          <w:szCs w:val="32"/>
        </w:rPr>
        <w:t>党校充分发挥主阵地作用，把落实全面从严治党主体责任和党风廉政建设责任制的内容纳入各类党员干部培训教材和教学计划，弘扬主旋律，增强反腐败信心，确保反腐倡廉教育在课程安排、学习内容、学习时间、学习见实效，推动全县落实全面从严治党主体责任和党风廉政建设责任制工作上水平、上台阶。</w:t>
      </w:r>
      <w:r>
        <w:rPr>
          <w:rFonts w:hint="eastAsia" w:asciiTheme="minorEastAsia" w:hAnsiTheme="minorEastAsia" w:cstheme="minorEastAsia"/>
          <w:b/>
          <w:sz w:val="32"/>
          <w:szCs w:val="32"/>
        </w:rPr>
        <w:t>一是与县委组织部联合举办“流动党校”</w:t>
      </w:r>
      <w:r>
        <w:rPr>
          <w:rFonts w:hint="eastAsia" w:asciiTheme="minorEastAsia" w:hAnsiTheme="minorEastAsia" w:cstheme="minorEastAsia"/>
          <w:sz w:val="32"/>
          <w:szCs w:val="32"/>
        </w:rPr>
        <w:t>。开设党的建设、反腐倡廉等内容，我校承担了跟班教学、专题辅导等工作。</w:t>
      </w:r>
      <w:r>
        <w:rPr>
          <w:rFonts w:hint="eastAsia" w:asciiTheme="minorEastAsia" w:hAnsiTheme="minorEastAsia" w:cstheme="minorEastAsia"/>
          <w:b/>
          <w:sz w:val="32"/>
          <w:szCs w:val="32"/>
        </w:rPr>
        <w:t>二是与县直工委联合举办县直机关、乡镇党务工作培训班。</w:t>
      </w:r>
      <w:r>
        <w:rPr>
          <w:rFonts w:hint="eastAsia" w:asciiTheme="minorEastAsia" w:hAnsiTheme="minorEastAsia" w:cstheme="minorEastAsia"/>
          <w:sz w:val="32"/>
          <w:szCs w:val="32"/>
        </w:rPr>
        <w:t>向参训人员讲授了</w:t>
      </w:r>
      <w:r>
        <w:rPr>
          <w:rFonts w:hint="eastAsia" w:asciiTheme="minorEastAsia" w:hAnsiTheme="minorEastAsia" w:cstheme="minorEastAsia"/>
          <w:sz w:val="32"/>
          <w:szCs w:val="32"/>
          <w:lang w:eastAsia="zh-CN"/>
        </w:rPr>
        <w:t>《中国共产党章程》</w:t>
      </w:r>
      <w:r>
        <w:rPr>
          <w:rFonts w:hint="eastAsia" w:asciiTheme="minorEastAsia" w:hAnsiTheme="minorEastAsia" w:cstheme="minorEastAsia"/>
          <w:sz w:val="32"/>
          <w:szCs w:val="32"/>
        </w:rPr>
        <w:t>、《宪法》、《党史》等知识，增强了全体党员的党员意识、责任意识和大局意识。</w:t>
      </w:r>
      <w:r>
        <w:rPr>
          <w:rFonts w:hint="eastAsia" w:asciiTheme="minorEastAsia" w:hAnsiTheme="minorEastAsia" w:cstheme="minorEastAsia"/>
          <w:b/>
          <w:sz w:val="32"/>
          <w:szCs w:val="32"/>
        </w:rPr>
        <w:t>三是派出骨干教师到县直单位和部分乡镇、部门开展菜单式教学服务。</w:t>
      </w:r>
      <w:r>
        <w:rPr>
          <w:rFonts w:hint="eastAsia" w:asciiTheme="minorEastAsia" w:hAnsiTheme="minorEastAsia" w:cstheme="minorEastAsia"/>
          <w:sz w:val="32"/>
          <w:szCs w:val="32"/>
        </w:rPr>
        <w:t>增强授课的针对性和吸引力，受到各界的高度肯定。</w:t>
      </w:r>
    </w:p>
    <w:p>
      <w:pPr>
        <w:rPr>
          <w:rFonts w:asciiTheme="minorEastAsia" w:hAnsiTheme="minorEastAsia" w:cstheme="minorEastAsia"/>
          <w:sz w:val="32"/>
          <w:szCs w:val="32"/>
        </w:rPr>
      </w:pPr>
      <w:r>
        <w:rPr>
          <w:rFonts w:hint="eastAsia" w:asciiTheme="minorEastAsia" w:hAnsiTheme="minorEastAsia" w:cstheme="minorEastAsia"/>
          <w:b/>
          <w:bCs/>
          <w:sz w:val="32"/>
          <w:szCs w:val="32"/>
        </w:rPr>
        <w:t xml:space="preserve">  （二）自觉接受党政纪教育。</w:t>
      </w:r>
      <w:r>
        <w:rPr>
          <w:rFonts w:hint="eastAsia" w:asciiTheme="minorEastAsia" w:hAnsiTheme="minorEastAsia" w:cstheme="minorEastAsia"/>
          <w:sz w:val="32"/>
          <w:szCs w:val="32"/>
        </w:rPr>
        <w:t>我们把加强学习教育，提高班子成员的廉政意识和自律意识作为领导干部落实全面从严治党主体责任和党风廉政建设工作的前提和基础，狠抓了源头治理。</w:t>
      </w:r>
      <w:r>
        <w:rPr>
          <w:rFonts w:hint="eastAsia" w:asciiTheme="minorEastAsia" w:hAnsiTheme="minorEastAsia" w:cstheme="minorEastAsia"/>
          <w:b/>
          <w:sz w:val="32"/>
          <w:szCs w:val="32"/>
        </w:rPr>
        <w:t>一是制定了学习计划。</w:t>
      </w:r>
      <w:r>
        <w:rPr>
          <w:rFonts w:hint="eastAsia" w:asciiTheme="minorEastAsia" w:hAnsiTheme="minorEastAsia" w:cstheme="minorEastAsia"/>
          <w:sz w:val="32"/>
          <w:szCs w:val="32"/>
        </w:rPr>
        <w:t>把落实全面从严治党主体责任和党风廉政建设责任制作为学习的重点内容，认真组织党校教职工学习《中国共产党廉洁自律准则》、《中国共产党纪律处分条例》等有关规定。</w:t>
      </w:r>
      <w:r>
        <w:rPr>
          <w:rFonts w:hint="eastAsia" w:asciiTheme="minorEastAsia" w:hAnsiTheme="minorEastAsia" w:cstheme="minorEastAsia"/>
          <w:b/>
          <w:sz w:val="32"/>
          <w:szCs w:val="32"/>
        </w:rPr>
        <w:t>二是坚持单位主要负责人每年至少上两次廉政党课。</w:t>
      </w:r>
      <w:r>
        <w:rPr>
          <w:rFonts w:hint="eastAsia" w:asciiTheme="minorEastAsia" w:hAnsiTheme="minorEastAsia" w:cstheme="minorEastAsia"/>
          <w:sz w:val="32"/>
          <w:szCs w:val="32"/>
        </w:rPr>
        <w:t>常务副校长给全体教职工上了题为《党的建设新的伟大工程》、《十八大以来的党内法规建设》的廉政党课;</w:t>
      </w:r>
      <w:r>
        <w:rPr>
          <w:rFonts w:hint="eastAsia" w:asciiTheme="minorEastAsia" w:hAnsiTheme="minorEastAsia" w:cstheme="minorEastAsia"/>
          <w:b/>
          <w:sz w:val="32"/>
          <w:szCs w:val="32"/>
        </w:rPr>
        <w:t>三是组织党校教职工进行集中观看警示教育片。</w:t>
      </w:r>
      <w:r>
        <w:rPr>
          <w:rFonts w:hint="eastAsia" w:asciiTheme="minorEastAsia" w:hAnsiTheme="minorEastAsia" w:cstheme="minorEastAsia"/>
          <w:sz w:val="32"/>
          <w:szCs w:val="32"/>
        </w:rPr>
        <w:t>观看警示教育片《永远在路上》、《巡视利剑》等，对其中的典型案例认真分析讨论，不断增强廉洁自律意识，起到警示教育的作用。通过学习，党校全体教职工进一步坚定了正确的政治方向和理想信念，加强了思想道德修养，增强了政治鉴别力和敏锐性，深化了对落实全面从严治党主体责任和党风廉政建设责任制工作重要性的认识，提高了自觉抵制各种不正之风和拒腐防变的能力。</w:t>
      </w:r>
    </w:p>
    <w:p>
      <w:pPr>
        <w:pStyle w:val="8"/>
        <w:spacing w:before="0" w:beforeAutospacing="0" w:after="0" w:afterAutospacing="0" w:line="360" w:lineRule="auto"/>
        <w:ind w:firstLine="640" w:firstLineChars="200"/>
        <w:rPr>
          <w:rFonts w:asciiTheme="minorEastAsia" w:hAnsiTheme="minorEastAsia" w:cstheme="minorEastAsia"/>
          <w:b/>
          <w:bCs/>
          <w:color w:val="000000"/>
          <w:sz w:val="32"/>
          <w:szCs w:val="32"/>
        </w:rPr>
      </w:pPr>
      <w:r>
        <w:rPr>
          <w:rFonts w:hint="eastAsia" w:asciiTheme="minorEastAsia" w:hAnsiTheme="minorEastAsia" w:cstheme="minorEastAsia"/>
          <w:sz w:val="32"/>
          <w:szCs w:val="32"/>
        </w:rPr>
        <w:t xml:space="preserve"> </w:t>
      </w:r>
      <w:r>
        <w:rPr>
          <w:rFonts w:hint="eastAsia" w:asciiTheme="minorEastAsia" w:hAnsiTheme="minorEastAsia" w:cstheme="minorEastAsia"/>
          <w:b/>
          <w:bCs/>
          <w:sz w:val="32"/>
          <w:szCs w:val="32"/>
        </w:rPr>
        <w:t>（三）</w:t>
      </w:r>
      <w:r>
        <w:rPr>
          <w:rFonts w:hint="eastAsia" w:asciiTheme="minorEastAsia" w:hAnsiTheme="minorEastAsia" w:cstheme="minorEastAsia"/>
          <w:sz w:val="32"/>
          <w:szCs w:val="32"/>
        </w:rPr>
        <w:t xml:space="preserve">  </w:t>
      </w:r>
      <w:r>
        <w:rPr>
          <w:rFonts w:hint="eastAsia" w:asciiTheme="minorEastAsia" w:hAnsiTheme="minorEastAsia" w:cstheme="minorEastAsia"/>
          <w:b/>
          <w:bCs/>
          <w:color w:val="000000"/>
          <w:sz w:val="32"/>
          <w:szCs w:val="32"/>
        </w:rPr>
        <w:t>整合资源，构建“大培训”新格局。1、</w:t>
      </w:r>
      <w:r>
        <w:rPr>
          <w:rFonts w:hint="eastAsia" w:asciiTheme="minorEastAsia" w:hAnsiTheme="minorEastAsia" w:cstheme="minorEastAsia"/>
          <w:b/>
          <w:color w:val="000000"/>
          <w:sz w:val="32"/>
          <w:szCs w:val="32"/>
        </w:rPr>
        <w:t>完善干部培训规划。</w:t>
      </w:r>
      <w:r>
        <w:rPr>
          <w:rFonts w:hint="eastAsia" w:asciiTheme="minorEastAsia" w:hAnsiTheme="minorEastAsia" w:cstheme="minorEastAsia"/>
          <w:color w:val="000000"/>
          <w:sz w:val="32"/>
          <w:szCs w:val="32"/>
        </w:rPr>
        <w:t>调整干部培训思路，完善干部培训规划，将领导干部、公务员、专业技术人员等各行各业人员培训统一纳入党校培训计划，杜绝分散培训、多头培训和重复培训的现象。</w:t>
      </w:r>
      <w:r>
        <w:rPr>
          <w:rFonts w:hint="eastAsia" w:asciiTheme="minorEastAsia" w:hAnsiTheme="minorEastAsia" w:cstheme="minorEastAsia"/>
          <w:sz w:val="32"/>
          <w:szCs w:val="32"/>
        </w:rPr>
        <w:t>以强化政治建设为重点，实施领导干部思想政治素质提升工程；以提升执行力为重点，加强对机关、村（企）干部队伍的培训，办好“流动党校”，举办“周末大讲堂”，对年轻干部进行系统培训；办好威县妇女干部培训学校，打造妇女培训品牌，与其它部门联合办班，举办产业政策、企业管理、信托融资等培训，使干部培训的模式和途径向广度和深度延伸。</w:t>
      </w:r>
      <w:r>
        <w:rPr>
          <w:rFonts w:hint="eastAsia" w:asciiTheme="minorEastAsia" w:hAnsiTheme="minorEastAsia" w:cstheme="minorEastAsia"/>
          <w:kern w:val="2"/>
          <w:sz w:val="32"/>
          <w:szCs w:val="32"/>
        </w:rPr>
        <w:t>2、</w:t>
      </w:r>
      <w:r>
        <w:rPr>
          <w:rFonts w:hint="eastAsia" w:asciiTheme="minorEastAsia" w:hAnsiTheme="minorEastAsia" w:cstheme="minorEastAsia"/>
          <w:b/>
          <w:color w:val="000000"/>
          <w:sz w:val="32"/>
          <w:szCs w:val="32"/>
        </w:rPr>
        <w:t>师资队伍建设。</w:t>
      </w:r>
      <w:r>
        <w:rPr>
          <w:rFonts w:hint="eastAsia" w:asciiTheme="minorEastAsia" w:hAnsiTheme="minorEastAsia" w:cstheme="minorEastAsia"/>
          <w:color w:val="000000"/>
          <w:sz w:val="32"/>
          <w:szCs w:val="32"/>
        </w:rPr>
        <w:t>通过多种途径切实加强师资队伍建设，</w:t>
      </w:r>
      <w:r>
        <w:rPr>
          <w:rFonts w:hint="eastAsia" w:asciiTheme="minorEastAsia" w:hAnsiTheme="minorEastAsia" w:cstheme="minorEastAsia"/>
          <w:sz w:val="32"/>
          <w:szCs w:val="32"/>
        </w:rPr>
        <w:t>完善学习进修、实践锻炼、激励竞争、考核评价等培养机制，在充分用好党校师资外，整合社会资源，组建一支由县级领导、各单位业务骨干、一线成功人士、外聘省内外高校知名学者教授在内的近百人的专兼职教师团，为做好培训工作提供师资保证。</w:t>
      </w:r>
    </w:p>
    <w:p>
      <w:pPr>
        <w:spacing w:line="360" w:lineRule="auto"/>
        <w:ind w:firstLine="640" w:firstLineChars="200"/>
        <w:rPr>
          <w:rFonts w:asciiTheme="minorEastAsia" w:hAnsiTheme="minorEastAsia" w:cstheme="minorEastAsia"/>
          <w:b/>
          <w:bCs/>
          <w:sz w:val="32"/>
          <w:szCs w:val="32"/>
        </w:rPr>
      </w:pPr>
      <w:r>
        <w:rPr>
          <w:rFonts w:hint="eastAsia" w:asciiTheme="minorEastAsia" w:hAnsiTheme="minorEastAsia" w:cstheme="minorEastAsia"/>
          <w:b/>
          <w:bCs/>
          <w:sz w:val="32"/>
          <w:szCs w:val="32"/>
        </w:rPr>
        <w:t>（四）更新理念，构建“大课堂”新格局。1、</w:t>
      </w:r>
      <w:r>
        <w:rPr>
          <w:rFonts w:hint="eastAsia" w:asciiTheme="minorEastAsia" w:hAnsiTheme="minorEastAsia" w:cstheme="minorEastAsia"/>
          <w:b/>
          <w:sz w:val="32"/>
          <w:szCs w:val="32"/>
        </w:rPr>
        <w:t>创新培训模式。</w:t>
      </w:r>
      <w:r>
        <w:rPr>
          <w:rFonts w:hint="eastAsia" w:asciiTheme="minorEastAsia" w:hAnsiTheme="minorEastAsia" w:cstheme="minorEastAsia"/>
          <w:sz w:val="32"/>
          <w:szCs w:val="32"/>
        </w:rPr>
        <w:t>要按照干部的不同需求，在办好主体班次的基础上，开设周末课堂、网上党校、流动党课等“短、平、快”式的小规模培训，丰富培训形式，提高培训覆盖面。</w:t>
      </w:r>
      <w:r>
        <w:rPr>
          <w:rFonts w:hint="eastAsia" w:asciiTheme="minorEastAsia" w:hAnsiTheme="minorEastAsia" w:cstheme="minorEastAsia"/>
          <w:b/>
          <w:bCs/>
          <w:sz w:val="32"/>
          <w:szCs w:val="32"/>
        </w:rPr>
        <w:t>2、</w:t>
      </w:r>
      <w:r>
        <w:rPr>
          <w:rFonts w:hint="eastAsia" w:asciiTheme="minorEastAsia" w:hAnsiTheme="minorEastAsia" w:cstheme="minorEastAsia"/>
          <w:b/>
          <w:sz w:val="32"/>
          <w:szCs w:val="32"/>
        </w:rPr>
        <w:t>创新培训内容。</w:t>
      </w:r>
      <w:r>
        <w:rPr>
          <w:rFonts w:hint="eastAsia" w:asciiTheme="minorEastAsia" w:hAnsiTheme="minorEastAsia" w:cstheme="minorEastAsia"/>
          <w:sz w:val="32"/>
          <w:szCs w:val="32"/>
          <w:shd w:val="clear" w:color="auto" w:fill="FFFFFF"/>
        </w:rPr>
        <w:t>开设习近平新时代中国特色社会主义思想、党史近代史、干部素质与能力建设、依法行政与领导艺术、县域经济与社会管理等七大领域细化为近百个专题，根据培训对象的不同因材施教。</w:t>
      </w:r>
      <w:r>
        <w:rPr>
          <w:rFonts w:hint="eastAsia" w:asciiTheme="minorEastAsia" w:hAnsiTheme="minorEastAsia" w:cstheme="minorEastAsia"/>
          <w:b/>
          <w:bCs/>
          <w:sz w:val="32"/>
          <w:szCs w:val="32"/>
        </w:rPr>
        <w:t>3、</w:t>
      </w:r>
      <w:r>
        <w:rPr>
          <w:rFonts w:hint="eastAsia" w:asciiTheme="minorEastAsia" w:hAnsiTheme="minorEastAsia" w:cstheme="minorEastAsia"/>
          <w:b/>
          <w:sz w:val="32"/>
          <w:szCs w:val="32"/>
        </w:rPr>
        <w:t>创新培训形式。</w:t>
      </w:r>
      <w:r>
        <w:rPr>
          <w:rFonts w:hint="eastAsia" w:asciiTheme="minorEastAsia" w:hAnsiTheme="minorEastAsia" w:cstheme="minorEastAsia"/>
          <w:sz w:val="32"/>
          <w:szCs w:val="32"/>
        </w:rPr>
        <w:t>采用集中培训与在职自学相结合、电化教育与专题讲座相结合、参观考察与实践锻炼相结合、理论测试与课题论文相结合，</w:t>
      </w:r>
      <w:r>
        <w:rPr>
          <w:rFonts w:hint="eastAsia" w:asciiTheme="minorEastAsia" w:hAnsiTheme="minorEastAsia" w:cstheme="minorEastAsia"/>
          <w:color w:val="000000"/>
          <w:sz w:val="32"/>
          <w:szCs w:val="32"/>
        </w:rPr>
        <w:t>不断创新培训形式，</w:t>
      </w:r>
      <w:r>
        <w:rPr>
          <w:rFonts w:hint="eastAsia" w:asciiTheme="minorEastAsia" w:hAnsiTheme="minorEastAsia" w:cstheme="minorEastAsia"/>
          <w:sz w:val="32"/>
          <w:szCs w:val="32"/>
          <w:shd w:val="clear" w:color="auto" w:fill="FFFFFF"/>
        </w:rPr>
        <w:t>开展军训、拓展训练、影视教育、文艺联欢、知识竞赛、演讲比赛、实践锻炼、外出参观考察等活动，培养学员的团队精神和创新能力。</w:t>
      </w:r>
      <w:r>
        <w:rPr>
          <w:rFonts w:hint="eastAsia" w:asciiTheme="minorEastAsia" w:hAnsiTheme="minorEastAsia" w:cstheme="minorEastAsia"/>
          <w:b/>
          <w:bCs/>
          <w:sz w:val="32"/>
          <w:szCs w:val="32"/>
          <w:shd w:val="clear" w:color="auto" w:fill="FFFFFF"/>
        </w:rPr>
        <w:t>4、</w:t>
      </w:r>
      <w:r>
        <w:rPr>
          <w:rFonts w:hint="eastAsia" w:asciiTheme="minorEastAsia" w:hAnsiTheme="minorEastAsia" w:cstheme="minorEastAsia"/>
          <w:b/>
          <w:sz w:val="32"/>
          <w:szCs w:val="32"/>
          <w:shd w:val="clear" w:color="auto" w:fill="FFFFFF"/>
        </w:rPr>
        <w:t>创新教学方法。</w:t>
      </w:r>
      <w:r>
        <w:rPr>
          <w:rFonts w:hint="eastAsia" w:asciiTheme="minorEastAsia" w:hAnsiTheme="minorEastAsia" w:cstheme="minorEastAsia"/>
          <w:sz w:val="32"/>
          <w:szCs w:val="32"/>
        </w:rPr>
        <w:t>切实改变传统“满堂灌”的方式，采取互动式、案例式、研究式、体验式等方式，</w:t>
      </w:r>
      <w:r>
        <w:rPr>
          <w:rFonts w:hint="eastAsia" w:asciiTheme="minorEastAsia" w:hAnsiTheme="minorEastAsia" w:cstheme="minorEastAsia"/>
          <w:color w:val="000000"/>
          <w:sz w:val="32"/>
          <w:szCs w:val="32"/>
        </w:rPr>
        <w:t>把党课和拓展培训相结合，精选培训主题、立足体验感知、着眼分享交流、突出整合应用，探索培训新路径。</w:t>
      </w:r>
      <w:r>
        <w:rPr>
          <w:rFonts w:hint="eastAsia" w:asciiTheme="minorEastAsia" w:hAnsiTheme="minorEastAsia" w:cstheme="minorEastAsia"/>
          <w:sz w:val="32"/>
          <w:szCs w:val="32"/>
        </w:rPr>
        <w:t>同时，要加大电教化、信息化、网络化教学力度，探索多媒体教学、网上教学、远程教学等新型教学方法，提高培训的直观性、形象性和生动性。</w:t>
      </w:r>
    </w:p>
    <w:p>
      <w:pPr>
        <w:spacing w:line="360" w:lineRule="auto"/>
        <w:ind w:firstLine="640" w:firstLineChars="200"/>
        <w:rPr>
          <w:rFonts w:asciiTheme="minorEastAsia" w:hAnsiTheme="minorEastAsia" w:cstheme="minorEastAsia"/>
          <w:b/>
          <w:bCs/>
          <w:kern w:val="0"/>
          <w:sz w:val="32"/>
          <w:szCs w:val="32"/>
        </w:rPr>
      </w:pPr>
      <w:r>
        <w:rPr>
          <w:rFonts w:hint="eastAsia" w:asciiTheme="minorEastAsia" w:hAnsiTheme="minorEastAsia" w:cstheme="minorEastAsia"/>
          <w:b/>
          <w:bCs/>
          <w:sz w:val="32"/>
          <w:szCs w:val="32"/>
        </w:rPr>
        <w:t>（五）</w:t>
      </w:r>
      <w:r>
        <w:rPr>
          <w:rFonts w:hint="eastAsia" w:asciiTheme="minorEastAsia" w:hAnsiTheme="minorEastAsia" w:cstheme="minorEastAsia"/>
          <w:b/>
          <w:bCs/>
          <w:kern w:val="0"/>
          <w:sz w:val="32"/>
          <w:szCs w:val="32"/>
        </w:rPr>
        <w:t>围绕中心，构建“大调研”新格局。</w:t>
      </w:r>
      <w:r>
        <w:rPr>
          <w:rFonts w:hint="eastAsia" w:asciiTheme="minorEastAsia" w:hAnsiTheme="minorEastAsia" w:cstheme="minorEastAsia"/>
          <w:sz w:val="32"/>
          <w:szCs w:val="32"/>
        </w:rPr>
        <w:t>要“贴近全县中心工作、贴近基层工作实际、贴近教学培训专题”，切实提高专题调研的针对性和实效性。</w:t>
      </w:r>
      <w:r>
        <w:rPr>
          <w:rFonts w:hint="eastAsia" w:asciiTheme="minorEastAsia" w:hAnsiTheme="minorEastAsia" w:cstheme="minorEastAsia"/>
          <w:b/>
          <w:bCs/>
          <w:sz w:val="32"/>
          <w:szCs w:val="32"/>
        </w:rPr>
        <w:t>1、</w:t>
      </w:r>
      <w:r>
        <w:rPr>
          <w:rFonts w:hint="eastAsia" w:asciiTheme="minorEastAsia" w:hAnsiTheme="minorEastAsia" w:cstheme="minorEastAsia"/>
          <w:b/>
          <w:sz w:val="32"/>
          <w:szCs w:val="32"/>
        </w:rPr>
        <w:t>承担党委和政府下达的调研任务。</w:t>
      </w:r>
      <w:r>
        <w:rPr>
          <w:rFonts w:hint="eastAsia" w:asciiTheme="minorEastAsia" w:hAnsiTheme="minorEastAsia" w:cstheme="minorEastAsia"/>
          <w:sz w:val="32"/>
          <w:szCs w:val="32"/>
        </w:rPr>
        <w:t>党校将围绕出现的新情况新问题开展科学研究，承担党委和政府下达的调研任务，推进理论创新。要围绕全县中心工作，认真组织开展全局性、决策性调研；围绕全县重点工作，认真组织开展超前性、政策性调研；围绕全县领导关心、群众关注的热点难点问题，认真组织开展探索性、对策性调研，形成高质量的调研报告，为</w:t>
      </w:r>
      <w:r>
        <w:rPr>
          <w:rFonts w:hint="eastAsia" w:asciiTheme="minorEastAsia" w:hAnsiTheme="minorEastAsia" w:cstheme="minorEastAsia"/>
          <w:sz w:val="32"/>
          <w:szCs w:val="32"/>
          <w:lang w:eastAsia="zh-CN"/>
        </w:rPr>
        <w:t>县委县政府</w:t>
      </w:r>
      <w:r>
        <w:rPr>
          <w:rFonts w:hint="eastAsia" w:asciiTheme="minorEastAsia" w:hAnsiTheme="minorEastAsia" w:cstheme="minorEastAsia"/>
          <w:sz w:val="32"/>
          <w:szCs w:val="32"/>
        </w:rPr>
        <w:t>决策提供参考。</w:t>
      </w:r>
      <w:r>
        <w:rPr>
          <w:rFonts w:hint="eastAsia" w:asciiTheme="minorEastAsia" w:hAnsiTheme="minorEastAsia" w:cstheme="minorEastAsia"/>
          <w:b/>
          <w:bCs/>
          <w:sz w:val="32"/>
          <w:szCs w:val="32"/>
        </w:rPr>
        <w:t>2、</w:t>
      </w:r>
      <w:r>
        <w:rPr>
          <w:rFonts w:hint="eastAsia" w:asciiTheme="minorEastAsia" w:hAnsiTheme="minorEastAsia" w:cstheme="minorEastAsia"/>
          <w:b/>
          <w:sz w:val="32"/>
          <w:szCs w:val="32"/>
        </w:rPr>
        <w:t>建立开放的科研体制。</w:t>
      </w:r>
      <w:r>
        <w:rPr>
          <w:rFonts w:hint="eastAsia" w:asciiTheme="minorEastAsia" w:hAnsiTheme="minorEastAsia" w:cstheme="minorEastAsia"/>
          <w:sz w:val="32"/>
          <w:szCs w:val="32"/>
        </w:rPr>
        <w:t>党校科研工作将面向社会，参与县人大、政协的各种调查、视察、调研等活动，对全县经济、社会、政治、文化、党建等作全面了解和把握。加强与实际工作部门和政策研究部门、高等学校的合作和交流，建立开放的科研体制。</w:t>
      </w:r>
      <w:r>
        <w:rPr>
          <w:rFonts w:hint="eastAsia" w:asciiTheme="minorEastAsia" w:hAnsiTheme="minorEastAsia" w:cstheme="minorEastAsia"/>
          <w:b/>
          <w:bCs/>
          <w:sz w:val="32"/>
          <w:szCs w:val="32"/>
        </w:rPr>
        <w:t>3、加强科研协作。</w:t>
      </w:r>
      <w:r>
        <w:rPr>
          <w:rFonts w:hint="eastAsia" w:asciiTheme="minorEastAsia" w:hAnsiTheme="minorEastAsia" w:cstheme="minorEastAsia"/>
          <w:sz w:val="32"/>
          <w:szCs w:val="32"/>
        </w:rPr>
        <w:t>加强与其它党校之间的科研协作，充分发挥党校系统的整体优势，发表一批有影响力的科研文章。</w:t>
      </w:r>
      <w:r>
        <w:rPr>
          <w:rFonts w:hint="eastAsia" w:asciiTheme="minorEastAsia" w:hAnsiTheme="minorEastAsia" w:cstheme="minorEastAsia"/>
          <w:b/>
          <w:bCs/>
          <w:sz w:val="32"/>
          <w:szCs w:val="32"/>
        </w:rPr>
        <w:t>4、</w:t>
      </w:r>
      <w:r>
        <w:rPr>
          <w:rFonts w:hint="eastAsia" w:asciiTheme="minorEastAsia" w:hAnsiTheme="minorEastAsia" w:cstheme="minorEastAsia"/>
          <w:b/>
          <w:sz w:val="32"/>
          <w:szCs w:val="32"/>
        </w:rPr>
        <w:t>加强图书馆建设。</w:t>
      </w:r>
      <w:r>
        <w:rPr>
          <w:rFonts w:hint="eastAsia" w:asciiTheme="minorEastAsia" w:hAnsiTheme="minorEastAsia" w:cstheme="minorEastAsia"/>
          <w:sz w:val="32"/>
          <w:szCs w:val="32"/>
        </w:rPr>
        <w:t>加大资金投入力度，今后三年要把图书馆办成多功能、现代化的综合性的文献资料中心。</w:t>
      </w:r>
    </w:p>
    <w:p>
      <w:pPr>
        <w:jc w:val="left"/>
        <w:rPr>
          <w:rFonts w:asciiTheme="minorEastAsia" w:hAnsiTheme="minorEastAsia" w:cstheme="minorEastAsia"/>
          <w:b/>
          <w:sz w:val="28"/>
        </w:rPr>
      </w:pPr>
      <w:r>
        <w:rPr>
          <w:rFonts w:hint="eastAsia" w:asciiTheme="minorEastAsia" w:hAnsiTheme="minorEastAsia" w:cstheme="minorEastAsia"/>
          <w:b/>
          <w:sz w:val="28"/>
        </w:rPr>
        <w:t>职责分类绩效目标：</w:t>
      </w:r>
    </w:p>
    <w:p>
      <w:pPr>
        <w:spacing w:line="500" w:lineRule="exact"/>
        <w:ind w:firstLine="560"/>
        <w:rPr>
          <w:rFonts w:asciiTheme="minorEastAsia" w:hAnsiTheme="minorEastAsia" w:cstheme="minorEastAsia"/>
          <w:sz w:val="32"/>
          <w:szCs w:val="32"/>
        </w:rPr>
      </w:pPr>
      <w:r>
        <w:rPr>
          <w:rFonts w:hint="eastAsia" w:asciiTheme="minorEastAsia" w:hAnsiTheme="minorEastAsia" w:cstheme="minorEastAsia"/>
          <w:sz w:val="32"/>
          <w:szCs w:val="32"/>
        </w:rPr>
        <w:t>　党校部门职责分类绩效目标</w:t>
      </w:r>
    </w:p>
    <w:p>
      <w:pPr>
        <w:spacing w:line="360" w:lineRule="auto"/>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办公室职责: 加强县委对党校的领导，传达中央和上级党委的重要决定，把党校工作纳入县委整体工作布置和党的建设总体安排，定期研究解决党校改革和发展的重要问题，并进行督促检查。制定党员领导干部参加党校培训轮训的政策，把干部的培训和使用结合起来。建立健全党政负责同志到党校讲课、作报告和同学员座谈的制度。发挥党校在党委和政府决策中的思想库作用。协调有关部门支持党校工作，为党校提供必备的办学条件。定期召开党校工作会议，交流经验，布置工作。这既是依法治理坚持党的领导，又是党校目标责任的重要内容。</w:t>
      </w:r>
    </w:p>
    <w:p>
      <w:pPr>
        <w:spacing w:line="360" w:lineRule="auto"/>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 xml:space="preserve">   教研室及学管室职责: 教学增强正对性和实效性，认真做好培训需求调研。按照类别、分层次的原则设置教学班次、教学内容和课程。依据培训和轮训两类班次的不同定位及层次区分，做出既有区别又相衔接的教学安排。培训班的教学按照任职需要，系统安排理论学习、能力培训和内政外交等其他相关知识的学习。轮训班的教学以运用所学理论研究重大现实问题、指导工作实践为主。专题研讨班的教学主要围绕中央的重大战略部署和地方党委的中心工作确定相关专题，进行集中研讨。坚持分类别、分层次的原则与自己的任务分工和功能定位相结合。党性教育是党校的必修课，党校要增强党性教育的针对性，把学习马克思主义基本理论与加强党性锻炼结合起来，改造客观世界与改造主观世界结合起来，致力于坚定党员领导干部的理想信念和宗旨观念，提高党员领导干部的道德品行和精神境界。</w:t>
      </w:r>
    </w:p>
    <w:p>
      <w:pPr>
        <w:spacing w:line="360" w:lineRule="auto"/>
        <w:ind w:firstLine="640" w:firstLineChars="200"/>
        <w:rPr>
          <w:rFonts w:asciiTheme="minorEastAsia" w:hAnsiTheme="minorEastAsia" w:cstheme="minorEastAsia"/>
          <w:sz w:val="32"/>
          <w:szCs w:val="32"/>
        </w:rPr>
      </w:pPr>
    </w:p>
    <w:p>
      <w:pPr>
        <w:rPr>
          <w:rFonts w:asciiTheme="minorEastAsia" w:hAnsiTheme="minorEastAsia" w:cstheme="minorEastAsia"/>
          <w:b/>
          <w:sz w:val="32"/>
          <w:szCs w:val="32"/>
        </w:rPr>
      </w:pPr>
    </w:p>
    <w:p>
      <w:pPr>
        <w:rPr>
          <w:rFonts w:asciiTheme="minorEastAsia" w:hAnsiTheme="minorEastAsia" w:cstheme="minorEastAsia"/>
          <w:b/>
          <w:sz w:val="32"/>
          <w:szCs w:val="32"/>
        </w:rPr>
      </w:pPr>
    </w:p>
    <w:p>
      <w:pPr>
        <w:rPr>
          <w:rFonts w:asciiTheme="minorEastAsia" w:hAnsiTheme="minorEastAsia" w:cstheme="minorEastAsia"/>
          <w:b/>
          <w:sz w:val="32"/>
          <w:szCs w:val="32"/>
        </w:rPr>
      </w:pPr>
    </w:p>
    <w:p>
      <w:pPr>
        <w:rPr>
          <w:rFonts w:asciiTheme="minorEastAsia" w:hAnsiTheme="minorEastAsia" w:cstheme="minorEastAsia"/>
          <w:b/>
          <w:sz w:val="32"/>
          <w:szCs w:val="32"/>
        </w:rPr>
      </w:pPr>
    </w:p>
    <w:p>
      <w:pPr>
        <w:rPr>
          <w:rFonts w:asciiTheme="minorEastAsia" w:hAnsiTheme="minorEastAsia" w:cstheme="minorEastAsia"/>
          <w:b/>
          <w:sz w:val="32"/>
          <w:szCs w:val="32"/>
        </w:rPr>
      </w:pPr>
    </w:p>
    <w:p>
      <w:pPr>
        <w:rPr>
          <w:rFonts w:asciiTheme="minorEastAsia" w:hAnsiTheme="minorEastAsia" w:cstheme="minorEastAsia"/>
          <w:b/>
          <w:sz w:val="32"/>
          <w:szCs w:val="32"/>
        </w:rPr>
      </w:pPr>
    </w:p>
    <w:p>
      <w:pPr>
        <w:rPr>
          <w:rFonts w:asciiTheme="minorEastAsia" w:hAnsiTheme="minorEastAsia" w:cstheme="minorEastAsia"/>
          <w:b/>
          <w:sz w:val="32"/>
          <w:szCs w:val="32"/>
        </w:rPr>
      </w:pPr>
    </w:p>
    <w:p>
      <w:pPr>
        <w:rPr>
          <w:rFonts w:asciiTheme="minorEastAsia" w:hAnsiTheme="minorEastAsia" w:cstheme="minorEastAsia"/>
          <w:b/>
          <w:sz w:val="32"/>
          <w:szCs w:val="32"/>
        </w:rPr>
      </w:pPr>
    </w:p>
    <w:p>
      <w:pPr>
        <w:rPr>
          <w:rFonts w:asciiTheme="minorEastAsia" w:hAnsiTheme="minorEastAsia" w:cstheme="minorEastAsia"/>
          <w:b/>
          <w:sz w:val="32"/>
          <w:szCs w:val="32"/>
        </w:rPr>
      </w:pPr>
    </w:p>
    <w:p>
      <w:pPr>
        <w:rPr>
          <w:rFonts w:asciiTheme="minorEastAsia" w:hAnsiTheme="minorEastAsia" w:cstheme="minorEastAsia"/>
          <w:b/>
          <w:sz w:val="32"/>
          <w:szCs w:val="32"/>
        </w:rPr>
      </w:pPr>
    </w:p>
    <w:p>
      <w:pPr>
        <w:rPr>
          <w:rFonts w:asciiTheme="minorEastAsia" w:hAnsiTheme="minorEastAsia" w:cstheme="minorEastAsia"/>
          <w:b/>
          <w:sz w:val="32"/>
          <w:szCs w:val="32"/>
        </w:rPr>
      </w:pPr>
    </w:p>
    <w:p>
      <w:pPr>
        <w:rPr>
          <w:rFonts w:asciiTheme="minorEastAsia" w:hAnsiTheme="minorEastAsia" w:cstheme="minorEastAsia"/>
          <w:b/>
          <w:sz w:val="32"/>
          <w:szCs w:val="32"/>
        </w:rPr>
      </w:pPr>
    </w:p>
    <w:p>
      <w:pPr>
        <w:rPr>
          <w:rFonts w:asciiTheme="minorEastAsia" w:hAnsiTheme="minorEastAsia" w:cstheme="minorEastAsia"/>
          <w:b/>
          <w:sz w:val="32"/>
          <w:szCs w:val="32"/>
        </w:rPr>
      </w:pPr>
    </w:p>
    <w:p>
      <w:pPr>
        <w:rPr>
          <w:rFonts w:asciiTheme="minorEastAsia" w:hAnsiTheme="minorEastAsia" w:cstheme="minorEastAsia"/>
          <w:b/>
          <w:sz w:val="32"/>
          <w:szCs w:val="32"/>
        </w:rPr>
      </w:pPr>
    </w:p>
    <w:p>
      <w:pPr>
        <w:rPr>
          <w:rFonts w:asciiTheme="minorEastAsia" w:hAnsiTheme="minorEastAsia" w:cstheme="minorEastAsia"/>
          <w:b/>
          <w:sz w:val="32"/>
          <w:szCs w:val="32"/>
        </w:rPr>
      </w:pPr>
      <w:r>
        <w:rPr>
          <w:rFonts w:hint="eastAsia" w:asciiTheme="minorEastAsia" w:hAnsiTheme="minorEastAsia" w:cstheme="minorEastAsia"/>
          <w:b/>
          <w:sz w:val="32"/>
          <w:szCs w:val="32"/>
        </w:rPr>
        <w:t>部门职责及工作活动绩效目标指标：</w:t>
      </w:r>
    </w:p>
    <w:bookmarkEnd w:id="0"/>
    <w:p>
      <w:pPr>
        <w:jc w:val="center"/>
        <w:outlineLvl w:val="0"/>
        <w:rPr>
          <w:rFonts w:asciiTheme="minorEastAsia" w:hAnsiTheme="minorEastAsia" w:cstheme="minorEastAsia"/>
          <w:sz w:val="32"/>
          <w:szCs w:val="32"/>
        </w:rPr>
      </w:pPr>
      <w:bookmarkStart w:id="1" w:name="_Toc504489147"/>
      <w:r>
        <w:rPr>
          <w:rFonts w:hint="eastAsia" w:asciiTheme="minorEastAsia" w:hAnsiTheme="minorEastAsia" w:cstheme="minorEastAsia"/>
          <w:sz w:val="32"/>
          <w:szCs w:val="32"/>
        </w:rPr>
        <w:t>部门职责-工作活动绩效目标</w:t>
      </w:r>
      <w:bookmarkEnd w:id="1"/>
    </w:p>
    <w:tbl>
      <w:tblPr>
        <w:tblStyle w:val="9"/>
        <w:tblW w:w="1393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41"/>
        <w:gridCol w:w="1276"/>
        <w:gridCol w:w="2976"/>
        <w:gridCol w:w="2672"/>
        <w:gridCol w:w="1134"/>
        <w:gridCol w:w="883"/>
        <w:gridCol w:w="884"/>
        <w:gridCol w:w="884"/>
        <w:gridCol w:w="88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0399" w:type="dxa"/>
            <w:gridSpan w:val="5"/>
            <w:tcBorders>
              <w:top w:val="single" w:color="FFFFFF" w:sz="6" w:space="0"/>
              <w:left w:val="single" w:color="FFFFFF" w:sz="6" w:space="0"/>
              <w:right w:val="single" w:color="FFFFFF" w:sz="6" w:space="0"/>
            </w:tcBorders>
            <w:vAlign w:val="center"/>
          </w:tcPr>
          <w:p>
            <w:pPr>
              <w:spacing w:line="300" w:lineRule="exact"/>
              <w:jc w:val="left"/>
              <w:rPr>
                <w:rFonts w:asciiTheme="minorEastAsia" w:hAnsiTheme="minorEastAsia" w:cstheme="minorEastAsia"/>
                <w:sz w:val="32"/>
                <w:szCs w:val="32"/>
              </w:rPr>
            </w:pPr>
            <w:r>
              <w:rPr>
                <w:rFonts w:hint="eastAsia" w:asciiTheme="minorEastAsia" w:hAnsiTheme="minorEastAsia" w:cstheme="minorEastAsia"/>
                <w:sz w:val="32"/>
                <w:szCs w:val="32"/>
              </w:rPr>
              <w:t>281中国共产党威县委员会党校</w:t>
            </w:r>
          </w:p>
        </w:tc>
        <w:tc>
          <w:tcPr>
            <w:tcW w:w="3535" w:type="dxa"/>
            <w:gridSpan w:val="4"/>
            <w:tcBorders>
              <w:top w:val="single" w:color="FFFFFF" w:sz="6" w:space="0"/>
              <w:left w:val="single" w:color="FFFFFF" w:sz="6" w:space="0"/>
              <w:right w:val="single" w:color="FFFFFF" w:sz="6" w:space="0"/>
            </w:tcBorders>
            <w:vAlign w:val="center"/>
          </w:tcPr>
          <w:p>
            <w:pPr>
              <w:spacing w:line="300" w:lineRule="exact"/>
              <w:jc w:val="right"/>
              <w:rPr>
                <w:rFonts w:asciiTheme="minorEastAsia" w:hAnsiTheme="minorEastAsia" w:cstheme="minorEastAsia"/>
                <w:sz w:val="32"/>
                <w:szCs w:val="32"/>
              </w:rPr>
            </w:pPr>
            <w:r>
              <w:rPr>
                <w:rFonts w:hint="eastAsia" w:asciiTheme="minorEastAsia" w:hAnsiTheme="minorEastAsia" w:cstheme="minorEastAsia"/>
                <w:sz w:val="32"/>
                <w:szCs w:val="32"/>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restart"/>
            <w:vAlign w:val="center"/>
          </w:tcPr>
          <w:p>
            <w:pPr>
              <w:spacing w:line="300" w:lineRule="exact"/>
              <w:jc w:val="center"/>
              <w:rPr>
                <w:rFonts w:asciiTheme="minorEastAsia" w:hAnsiTheme="minorEastAsia" w:cstheme="minorEastAsia"/>
                <w:b/>
                <w:sz w:val="32"/>
                <w:szCs w:val="32"/>
              </w:rPr>
            </w:pPr>
            <w:r>
              <w:rPr>
                <w:rFonts w:hint="eastAsia" w:asciiTheme="minorEastAsia" w:hAnsiTheme="minorEastAsia" w:cstheme="minorEastAsia"/>
                <w:b/>
                <w:sz w:val="32"/>
                <w:szCs w:val="32"/>
              </w:rPr>
              <w:t>职责活动</w:t>
            </w:r>
          </w:p>
        </w:tc>
        <w:tc>
          <w:tcPr>
            <w:tcW w:w="1276" w:type="dxa"/>
            <w:vMerge w:val="restart"/>
            <w:vAlign w:val="center"/>
          </w:tcPr>
          <w:p>
            <w:pPr>
              <w:spacing w:line="300" w:lineRule="exact"/>
              <w:jc w:val="center"/>
              <w:rPr>
                <w:rFonts w:asciiTheme="minorEastAsia" w:hAnsiTheme="minorEastAsia" w:cstheme="minorEastAsia"/>
                <w:b/>
                <w:sz w:val="32"/>
                <w:szCs w:val="32"/>
              </w:rPr>
            </w:pPr>
            <w:r>
              <w:rPr>
                <w:rFonts w:hint="eastAsia" w:asciiTheme="minorEastAsia" w:hAnsiTheme="minorEastAsia" w:cstheme="minorEastAsia"/>
                <w:b/>
                <w:sz w:val="32"/>
                <w:szCs w:val="32"/>
              </w:rPr>
              <w:t>年度预算数</w:t>
            </w:r>
          </w:p>
        </w:tc>
        <w:tc>
          <w:tcPr>
            <w:tcW w:w="2976" w:type="dxa"/>
            <w:vMerge w:val="restart"/>
            <w:vAlign w:val="center"/>
          </w:tcPr>
          <w:p>
            <w:pPr>
              <w:spacing w:line="300" w:lineRule="exact"/>
              <w:jc w:val="center"/>
              <w:rPr>
                <w:rFonts w:asciiTheme="minorEastAsia" w:hAnsiTheme="minorEastAsia" w:cstheme="minorEastAsia"/>
                <w:b/>
                <w:sz w:val="32"/>
                <w:szCs w:val="32"/>
              </w:rPr>
            </w:pPr>
            <w:r>
              <w:rPr>
                <w:rFonts w:hint="eastAsia" w:asciiTheme="minorEastAsia" w:hAnsiTheme="minorEastAsia" w:cstheme="minorEastAsia"/>
                <w:b/>
                <w:sz w:val="32"/>
                <w:szCs w:val="32"/>
              </w:rPr>
              <w:t>内容描述</w:t>
            </w:r>
          </w:p>
        </w:tc>
        <w:tc>
          <w:tcPr>
            <w:tcW w:w="2672" w:type="dxa"/>
            <w:vMerge w:val="restart"/>
            <w:vAlign w:val="center"/>
          </w:tcPr>
          <w:p>
            <w:pPr>
              <w:spacing w:line="300" w:lineRule="exact"/>
              <w:jc w:val="center"/>
              <w:rPr>
                <w:rFonts w:asciiTheme="minorEastAsia" w:hAnsiTheme="minorEastAsia" w:cstheme="minorEastAsia"/>
                <w:b/>
                <w:sz w:val="32"/>
                <w:szCs w:val="32"/>
              </w:rPr>
            </w:pPr>
            <w:r>
              <w:rPr>
                <w:rFonts w:hint="eastAsia" w:asciiTheme="minorEastAsia" w:hAnsiTheme="minorEastAsia" w:cstheme="minorEastAsia"/>
                <w:b/>
                <w:sz w:val="32"/>
                <w:szCs w:val="32"/>
              </w:rPr>
              <w:t>绩效目标</w:t>
            </w:r>
          </w:p>
        </w:tc>
        <w:tc>
          <w:tcPr>
            <w:tcW w:w="1134" w:type="dxa"/>
            <w:vMerge w:val="restart"/>
            <w:vAlign w:val="center"/>
          </w:tcPr>
          <w:p>
            <w:pPr>
              <w:spacing w:line="300" w:lineRule="exact"/>
              <w:jc w:val="center"/>
              <w:rPr>
                <w:rFonts w:asciiTheme="minorEastAsia" w:hAnsiTheme="minorEastAsia" w:cstheme="minorEastAsia"/>
                <w:b/>
                <w:sz w:val="32"/>
                <w:szCs w:val="32"/>
              </w:rPr>
            </w:pPr>
            <w:r>
              <w:rPr>
                <w:rFonts w:hint="eastAsia" w:asciiTheme="minorEastAsia" w:hAnsiTheme="minorEastAsia" w:cstheme="minorEastAsia"/>
                <w:b/>
                <w:sz w:val="32"/>
                <w:szCs w:val="32"/>
              </w:rPr>
              <w:t>绩效指标</w:t>
            </w:r>
          </w:p>
        </w:tc>
        <w:tc>
          <w:tcPr>
            <w:tcW w:w="3535" w:type="dxa"/>
            <w:gridSpan w:val="4"/>
            <w:vAlign w:val="center"/>
          </w:tcPr>
          <w:p>
            <w:pPr>
              <w:spacing w:line="300" w:lineRule="exact"/>
              <w:jc w:val="center"/>
              <w:rPr>
                <w:rFonts w:asciiTheme="minorEastAsia" w:hAnsiTheme="minorEastAsia" w:cstheme="minorEastAsia"/>
                <w:b/>
                <w:sz w:val="32"/>
                <w:szCs w:val="32"/>
              </w:rPr>
            </w:pPr>
            <w:r>
              <w:rPr>
                <w:rFonts w:hint="eastAsia" w:asciiTheme="minorEastAsia" w:hAnsiTheme="minorEastAsia" w:cstheme="minorEastAsia"/>
                <w:b/>
                <w:sz w:val="32"/>
                <w:szCs w:val="32"/>
              </w:rPr>
              <w:t>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continue"/>
            <w:vAlign w:val="center"/>
          </w:tcPr>
          <w:p>
            <w:pPr>
              <w:spacing w:line="300" w:lineRule="exact"/>
              <w:jc w:val="left"/>
              <w:outlineLvl w:val="0"/>
              <w:rPr>
                <w:rFonts w:asciiTheme="minorEastAsia" w:hAnsiTheme="minorEastAsia" w:cstheme="minorEastAsia"/>
                <w:sz w:val="32"/>
                <w:szCs w:val="32"/>
              </w:rPr>
            </w:pPr>
          </w:p>
        </w:tc>
        <w:tc>
          <w:tcPr>
            <w:tcW w:w="1276" w:type="dxa"/>
            <w:vMerge w:val="continue"/>
            <w:vAlign w:val="center"/>
          </w:tcPr>
          <w:p>
            <w:pPr>
              <w:spacing w:line="300" w:lineRule="exact"/>
              <w:jc w:val="left"/>
              <w:outlineLvl w:val="0"/>
              <w:rPr>
                <w:rFonts w:asciiTheme="minorEastAsia" w:hAnsiTheme="minorEastAsia" w:cstheme="minorEastAsia"/>
                <w:sz w:val="32"/>
                <w:szCs w:val="32"/>
              </w:rPr>
            </w:pPr>
          </w:p>
        </w:tc>
        <w:tc>
          <w:tcPr>
            <w:tcW w:w="2976" w:type="dxa"/>
            <w:vMerge w:val="continue"/>
            <w:vAlign w:val="center"/>
          </w:tcPr>
          <w:p>
            <w:pPr>
              <w:spacing w:line="300" w:lineRule="exact"/>
              <w:jc w:val="left"/>
              <w:outlineLvl w:val="0"/>
              <w:rPr>
                <w:rFonts w:asciiTheme="minorEastAsia" w:hAnsiTheme="minorEastAsia" w:cstheme="minorEastAsia"/>
                <w:sz w:val="32"/>
                <w:szCs w:val="32"/>
              </w:rPr>
            </w:pPr>
          </w:p>
        </w:tc>
        <w:tc>
          <w:tcPr>
            <w:tcW w:w="2672" w:type="dxa"/>
            <w:vMerge w:val="continue"/>
            <w:vAlign w:val="center"/>
          </w:tcPr>
          <w:p>
            <w:pPr>
              <w:spacing w:line="300" w:lineRule="exact"/>
              <w:jc w:val="left"/>
              <w:outlineLvl w:val="0"/>
              <w:rPr>
                <w:rFonts w:asciiTheme="minorEastAsia" w:hAnsiTheme="minorEastAsia" w:cstheme="minorEastAsia"/>
                <w:sz w:val="32"/>
                <w:szCs w:val="32"/>
              </w:rPr>
            </w:pPr>
          </w:p>
        </w:tc>
        <w:tc>
          <w:tcPr>
            <w:tcW w:w="1134" w:type="dxa"/>
            <w:vMerge w:val="continue"/>
            <w:vAlign w:val="center"/>
          </w:tcPr>
          <w:p>
            <w:pPr>
              <w:spacing w:line="300" w:lineRule="exact"/>
              <w:jc w:val="left"/>
              <w:outlineLvl w:val="0"/>
              <w:rPr>
                <w:rFonts w:asciiTheme="minorEastAsia" w:hAnsiTheme="minorEastAsia" w:cstheme="minorEastAsia"/>
                <w:sz w:val="32"/>
                <w:szCs w:val="32"/>
              </w:rPr>
            </w:pPr>
          </w:p>
        </w:tc>
        <w:tc>
          <w:tcPr>
            <w:tcW w:w="883" w:type="dxa"/>
            <w:vAlign w:val="center"/>
          </w:tcPr>
          <w:p>
            <w:pPr>
              <w:spacing w:line="300" w:lineRule="exact"/>
              <w:jc w:val="center"/>
              <w:rPr>
                <w:rFonts w:asciiTheme="minorEastAsia" w:hAnsiTheme="minorEastAsia" w:cstheme="minorEastAsia"/>
                <w:b/>
                <w:sz w:val="32"/>
                <w:szCs w:val="32"/>
              </w:rPr>
            </w:pPr>
            <w:r>
              <w:rPr>
                <w:rFonts w:hint="eastAsia" w:asciiTheme="minorEastAsia" w:hAnsiTheme="minorEastAsia" w:cstheme="minorEastAsia"/>
                <w:b/>
                <w:sz w:val="32"/>
                <w:szCs w:val="32"/>
              </w:rPr>
              <w:t>优</w:t>
            </w:r>
          </w:p>
        </w:tc>
        <w:tc>
          <w:tcPr>
            <w:tcW w:w="884" w:type="dxa"/>
            <w:vAlign w:val="center"/>
          </w:tcPr>
          <w:p>
            <w:pPr>
              <w:spacing w:line="300" w:lineRule="exact"/>
              <w:jc w:val="center"/>
              <w:rPr>
                <w:rFonts w:asciiTheme="minorEastAsia" w:hAnsiTheme="minorEastAsia" w:cstheme="minorEastAsia"/>
                <w:b/>
                <w:sz w:val="32"/>
                <w:szCs w:val="32"/>
              </w:rPr>
            </w:pPr>
            <w:r>
              <w:rPr>
                <w:rFonts w:hint="eastAsia" w:asciiTheme="minorEastAsia" w:hAnsiTheme="minorEastAsia" w:cstheme="minorEastAsia"/>
                <w:b/>
                <w:sz w:val="32"/>
                <w:szCs w:val="32"/>
              </w:rPr>
              <w:t>良</w:t>
            </w:r>
          </w:p>
        </w:tc>
        <w:tc>
          <w:tcPr>
            <w:tcW w:w="884" w:type="dxa"/>
            <w:vAlign w:val="center"/>
          </w:tcPr>
          <w:p>
            <w:pPr>
              <w:spacing w:line="300" w:lineRule="exact"/>
              <w:jc w:val="center"/>
              <w:rPr>
                <w:rFonts w:asciiTheme="minorEastAsia" w:hAnsiTheme="minorEastAsia" w:cstheme="minorEastAsia"/>
                <w:b/>
                <w:sz w:val="32"/>
                <w:szCs w:val="32"/>
              </w:rPr>
            </w:pPr>
            <w:r>
              <w:rPr>
                <w:rFonts w:hint="eastAsia" w:asciiTheme="minorEastAsia" w:hAnsiTheme="minorEastAsia" w:cstheme="minorEastAsia"/>
                <w:b/>
                <w:sz w:val="32"/>
                <w:szCs w:val="32"/>
              </w:rPr>
              <w:t>中</w:t>
            </w:r>
          </w:p>
        </w:tc>
        <w:tc>
          <w:tcPr>
            <w:tcW w:w="884" w:type="dxa"/>
            <w:vAlign w:val="center"/>
          </w:tcPr>
          <w:p>
            <w:pPr>
              <w:spacing w:line="300" w:lineRule="exact"/>
              <w:jc w:val="center"/>
              <w:rPr>
                <w:rFonts w:asciiTheme="minorEastAsia" w:hAnsiTheme="minorEastAsia" w:cstheme="minorEastAsia"/>
                <w:b/>
                <w:sz w:val="32"/>
                <w:szCs w:val="32"/>
              </w:rPr>
            </w:pPr>
            <w:r>
              <w:rPr>
                <w:rFonts w:hint="eastAsia" w:asciiTheme="minorEastAsia" w:hAnsiTheme="minorEastAsia" w:cstheme="minorEastAsia"/>
                <w:b/>
                <w:sz w:val="32"/>
                <w:szCs w:val="32"/>
              </w:rPr>
              <w:t>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50" w:hRule="atLeast"/>
          <w:jc w:val="center"/>
        </w:trPr>
        <w:tc>
          <w:tcPr>
            <w:tcW w:w="2341" w:type="dxa"/>
            <w:vAlign w:val="center"/>
          </w:tcPr>
          <w:p>
            <w:pPr>
              <w:spacing w:line="300" w:lineRule="exact"/>
              <w:jc w:val="left"/>
              <w:rPr>
                <w:rFonts w:asciiTheme="minorEastAsia" w:hAnsiTheme="minorEastAsia" w:cstheme="minorEastAsia"/>
                <w:b/>
                <w:sz w:val="32"/>
                <w:szCs w:val="32"/>
              </w:rPr>
            </w:pPr>
            <w:r>
              <w:rPr>
                <w:rFonts w:hint="eastAsia" w:asciiTheme="minorEastAsia" w:hAnsiTheme="minorEastAsia" w:cstheme="minorEastAsia"/>
                <w:b/>
                <w:sz w:val="32"/>
                <w:szCs w:val="32"/>
              </w:rPr>
              <w:t>培训教育</w:t>
            </w:r>
          </w:p>
        </w:tc>
        <w:tc>
          <w:tcPr>
            <w:tcW w:w="1276" w:type="dxa"/>
            <w:vAlign w:val="center"/>
          </w:tcPr>
          <w:p>
            <w:pPr>
              <w:spacing w:line="300" w:lineRule="exact"/>
              <w:jc w:val="left"/>
              <w:rPr>
                <w:rFonts w:asciiTheme="minorEastAsia" w:hAnsiTheme="minorEastAsia" w:cstheme="minorEastAsia"/>
                <w:sz w:val="32"/>
                <w:szCs w:val="32"/>
              </w:rPr>
            </w:pPr>
            <w:r>
              <w:rPr>
                <w:rFonts w:hint="eastAsia" w:asciiTheme="minorEastAsia" w:hAnsiTheme="minorEastAsia" w:cstheme="minorEastAsia"/>
                <w:sz w:val="32"/>
                <w:szCs w:val="32"/>
              </w:rPr>
              <w:t>6</w:t>
            </w:r>
          </w:p>
        </w:tc>
        <w:tc>
          <w:tcPr>
            <w:tcW w:w="2976" w:type="dxa"/>
            <w:vAlign w:val="center"/>
          </w:tcPr>
          <w:p>
            <w:pPr>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通过不断提高教学水平、完善教学设施、优化教学布局、丰富教学手段，围绕党和国家工作大局，按照实事求是、与时俱进、艰苦奋斗、执政为民的要求，培养忠诚于中国特色社会主义事业、德才兼备的党员领导干部和理论干部，有效提高干部的政策理论水平、思想觉悟和执政能力。</w:t>
            </w:r>
          </w:p>
        </w:tc>
        <w:tc>
          <w:tcPr>
            <w:tcW w:w="2672" w:type="dxa"/>
            <w:vAlign w:val="center"/>
          </w:tcPr>
          <w:p>
            <w:pPr>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通过外请专家、学者授课，开拓学员思路；通过开展现场教学、情景模拟教学、案例教学、特色教学，有效提高培训质量，提高学员解决实际问题的能力</w:t>
            </w:r>
          </w:p>
        </w:tc>
        <w:tc>
          <w:tcPr>
            <w:tcW w:w="1134" w:type="dxa"/>
            <w:vAlign w:val="center"/>
          </w:tcPr>
          <w:p>
            <w:pPr>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 xml:space="preserve">学员教学满意率  %;培训任务完成率  ; </w:t>
            </w:r>
          </w:p>
        </w:tc>
        <w:tc>
          <w:tcPr>
            <w:tcW w:w="883" w:type="dxa"/>
            <w:vAlign w:val="center"/>
          </w:tcPr>
          <w:p>
            <w:pPr>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100%</w:t>
            </w:r>
          </w:p>
        </w:tc>
        <w:tc>
          <w:tcPr>
            <w:tcW w:w="884" w:type="dxa"/>
            <w:vAlign w:val="center"/>
          </w:tcPr>
          <w:p>
            <w:pPr>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[80%,100%)</w:t>
            </w:r>
          </w:p>
        </w:tc>
        <w:tc>
          <w:tcPr>
            <w:tcW w:w="884" w:type="dxa"/>
            <w:vAlign w:val="center"/>
          </w:tcPr>
          <w:p>
            <w:pPr>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[60%,80%)</w:t>
            </w:r>
          </w:p>
        </w:tc>
        <w:tc>
          <w:tcPr>
            <w:tcW w:w="884" w:type="dxa"/>
            <w:vAlign w:val="center"/>
          </w:tcPr>
          <w:p>
            <w:pPr>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[0,60%)</w:t>
            </w:r>
          </w:p>
        </w:tc>
      </w:tr>
    </w:tbl>
    <w:p>
      <w:pPr>
        <w:spacing w:line="300" w:lineRule="exact"/>
        <w:jc w:val="left"/>
        <w:outlineLvl w:val="0"/>
        <w:rPr>
          <w:rFonts w:asciiTheme="minorEastAsia" w:hAnsiTheme="minorEastAsia" w:cstheme="minorEastAsia"/>
          <w:sz w:val="32"/>
          <w:szCs w:val="32"/>
        </w:rPr>
        <w:sectPr>
          <w:pgSz w:w="16839" w:h="11907" w:orient="landscape"/>
          <w:pgMar w:top="1021" w:right="1361" w:bottom="1021" w:left="1361" w:header="851" w:footer="992" w:gutter="0"/>
          <w:cols w:space="720" w:num="1"/>
          <w:titlePg/>
          <w:docGrid w:type="linesAndChars" w:linePitch="312" w:charSpace="0"/>
        </w:sectPr>
      </w:pPr>
    </w:p>
    <w:p>
      <w:pPr>
        <w:autoSpaceDE w:val="0"/>
        <w:autoSpaceDN w:val="0"/>
        <w:adjustRightInd w:val="0"/>
        <w:jc w:val="left"/>
        <w:rPr>
          <w:rFonts w:asciiTheme="minorEastAsia" w:hAnsiTheme="minorEastAsia" w:cstheme="minorEastAsia"/>
          <w:sz w:val="32"/>
          <w:szCs w:val="32"/>
        </w:rPr>
      </w:pPr>
      <w:r>
        <w:rPr>
          <w:rFonts w:hint="eastAsia" w:asciiTheme="minorEastAsia" w:hAnsiTheme="minorEastAsia" w:cstheme="minorEastAsia"/>
          <w:sz w:val="32"/>
          <w:szCs w:val="32"/>
        </w:rPr>
        <w:t>六、政府采购预算情况</w:t>
      </w:r>
    </w:p>
    <w:p>
      <w:pPr>
        <w:outlineLvl w:val="0"/>
        <w:rPr>
          <w:rFonts w:asciiTheme="minorEastAsia" w:hAnsiTheme="minorEastAsia" w:cstheme="minorEastAsia"/>
          <w:sz w:val="32"/>
          <w:szCs w:val="32"/>
        </w:rPr>
      </w:pPr>
      <w:bookmarkStart w:id="2" w:name="_Toc471398468"/>
      <w:r>
        <w:rPr>
          <w:rFonts w:hint="eastAsia" w:asciiTheme="minorEastAsia" w:hAnsiTheme="minorEastAsia" w:cstheme="minorEastAsia"/>
          <w:sz w:val="32"/>
          <w:szCs w:val="32"/>
        </w:rPr>
        <w:t xml:space="preserve">    2019年，我单位没有安排政府采购预算部门政府采购预算</w:t>
      </w:r>
      <w:bookmarkEnd w:id="2"/>
    </w:p>
    <w:p>
      <w:pPr>
        <w:autoSpaceDE w:val="0"/>
        <w:autoSpaceDN w:val="0"/>
        <w:adjustRightInd w:val="0"/>
        <w:ind w:firstLine="640" w:firstLineChars="200"/>
        <w:jc w:val="left"/>
        <w:rPr>
          <w:rFonts w:asciiTheme="minorEastAsia" w:hAnsiTheme="minorEastAsia" w:cstheme="minorEastAsia"/>
          <w:sz w:val="32"/>
          <w:szCs w:val="32"/>
        </w:rPr>
      </w:pPr>
      <w:r>
        <w:rPr>
          <w:rFonts w:hint="eastAsia" w:asciiTheme="minorEastAsia" w:hAnsiTheme="minorEastAsia" w:cstheme="minorEastAsia"/>
          <w:sz w:val="32"/>
          <w:szCs w:val="32"/>
        </w:rPr>
        <w:t>七、国有资产信息</w:t>
      </w:r>
    </w:p>
    <w:p>
      <w:pPr>
        <w:ind w:firstLine="640"/>
        <w:rPr>
          <w:rFonts w:asciiTheme="minorEastAsia" w:hAnsiTheme="minorEastAsia" w:cstheme="minorEastAsia"/>
          <w:sz w:val="32"/>
          <w:szCs w:val="32"/>
        </w:rPr>
      </w:pPr>
      <w:r>
        <w:rPr>
          <w:rFonts w:hint="eastAsia" w:asciiTheme="minorEastAsia" w:hAnsiTheme="minorEastAsia" w:cstheme="minorEastAsia"/>
          <w:sz w:val="32"/>
          <w:szCs w:val="32"/>
        </w:rPr>
        <w:t>中国共产党威县委员会党校上年末固定资产金额为46.73万元（详见下表），本年度各科室无采购预算，因此本年度固定资产金额不变，仍然为46.73万元。</w:t>
      </w:r>
    </w:p>
    <w:p>
      <w:pPr>
        <w:ind w:firstLine="640"/>
        <w:rPr>
          <w:rFonts w:asciiTheme="minorEastAsia" w:hAnsiTheme="minorEastAsia" w:cstheme="minorEastAsia"/>
          <w:sz w:val="32"/>
          <w:szCs w:val="32"/>
        </w:rPr>
      </w:pPr>
    </w:p>
    <w:tbl>
      <w:tblPr>
        <w:tblStyle w:val="9"/>
        <w:tblW w:w="13482" w:type="dxa"/>
        <w:tblInd w:w="93" w:type="dxa"/>
        <w:tblLayout w:type="fixed"/>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shd w:val="clear" w:color="auto" w:fill="auto"/>
            <w:noWrap/>
            <w:vAlign w:val="center"/>
          </w:tcPr>
          <w:p>
            <w:pPr>
              <w:widowControl/>
              <w:jc w:val="center"/>
              <w:rPr>
                <w:rFonts w:asciiTheme="minorEastAsia" w:hAnsiTheme="minorEastAsia" w:cstheme="minorEastAsia"/>
                <w:b/>
                <w:bCs/>
                <w:kern w:val="0"/>
                <w:sz w:val="32"/>
                <w:szCs w:val="32"/>
              </w:rPr>
            </w:pPr>
          </w:p>
          <w:p>
            <w:pPr>
              <w:widowControl/>
              <w:jc w:val="center"/>
              <w:rPr>
                <w:rFonts w:asciiTheme="minorEastAsia" w:hAnsiTheme="minorEastAsia" w:cstheme="minorEastAsia"/>
                <w:b/>
                <w:bCs/>
                <w:kern w:val="0"/>
                <w:sz w:val="32"/>
                <w:szCs w:val="32"/>
              </w:rPr>
            </w:pPr>
          </w:p>
          <w:p>
            <w:pPr>
              <w:widowControl/>
              <w:jc w:val="center"/>
              <w:rPr>
                <w:rFonts w:asciiTheme="minorEastAsia" w:hAnsiTheme="minorEastAsia" w:cstheme="minorEastAsia"/>
                <w:b/>
                <w:bCs/>
                <w:kern w:val="0"/>
                <w:sz w:val="32"/>
                <w:szCs w:val="32"/>
              </w:rPr>
            </w:pPr>
          </w:p>
          <w:p>
            <w:pPr>
              <w:widowControl/>
              <w:jc w:val="center"/>
              <w:rPr>
                <w:rFonts w:asciiTheme="minorEastAsia" w:hAnsiTheme="minorEastAsia" w:cstheme="minorEastAsia"/>
                <w:b/>
                <w:bCs/>
                <w:kern w:val="0"/>
                <w:sz w:val="32"/>
                <w:szCs w:val="32"/>
              </w:rPr>
            </w:pPr>
          </w:p>
          <w:p>
            <w:pPr>
              <w:widowControl/>
              <w:jc w:val="center"/>
              <w:rPr>
                <w:rFonts w:asciiTheme="minorEastAsia" w:hAnsiTheme="minorEastAsia" w:cstheme="minorEastAsia"/>
                <w:b/>
                <w:bCs/>
                <w:kern w:val="0"/>
                <w:sz w:val="32"/>
                <w:szCs w:val="32"/>
              </w:rPr>
            </w:pPr>
          </w:p>
          <w:p>
            <w:pPr>
              <w:widowControl/>
              <w:jc w:val="center"/>
              <w:rPr>
                <w:rFonts w:asciiTheme="minorEastAsia" w:hAnsiTheme="minorEastAsia" w:cstheme="minorEastAsia"/>
                <w:b/>
                <w:bCs/>
                <w:kern w:val="0"/>
                <w:sz w:val="32"/>
                <w:szCs w:val="32"/>
              </w:rPr>
            </w:pPr>
          </w:p>
          <w:p>
            <w:pPr>
              <w:widowControl/>
              <w:jc w:val="center"/>
              <w:rPr>
                <w:rFonts w:asciiTheme="minorEastAsia" w:hAnsiTheme="minorEastAsia" w:cstheme="minorEastAsia"/>
                <w:b/>
                <w:bCs/>
                <w:kern w:val="0"/>
                <w:sz w:val="32"/>
                <w:szCs w:val="32"/>
              </w:rPr>
            </w:pPr>
          </w:p>
          <w:p>
            <w:pPr>
              <w:widowControl/>
              <w:jc w:val="center"/>
              <w:rPr>
                <w:rFonts w:asciiTheme="minorEastAsia" w:hAnsiTheme="minorEastAsia" w:cstheme="minorEastAsia"/>
                <w:b/>
                <w:bCs/>
                <w:kern w:val="0"/>
                <w:sz w:val="32"/>
                <w:szCs w:val="32"/>
                <w:highlight w:val="yellow"/>
              </w:rPr>
            </w:pPr>
            <w:r>
              <w:rPr>
                <w:rFonts w:hint="eastAsia" w:asciiTheme="minorEastAsia" w:hAnsiTheme="minorEastAsia" w:cstheme="minorEastAsia"/>
                <w:b/>
                <w:bCs/>
                <w:kern w:val="0"/>
                <w:sz w:val="32"/>
                <w:szCs w:val="32"/>
              </w:rPr>
              <w:t>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shd w:val="clear" w:color="auto" w:fill="auto"/>
            <w:noWrap/>
            <w:vAlign w:val="center"/>
          </w:tcPr>
          <w:p>
            <w:pPr>
              <w:widowControl/>
              <w:jc w:val="left"/>
              <w:rPr>
                <w:rFonts w:asciiTheme="minorEastAsia" w:hAnsiTheme="minorEastAsia" w:cstheme="minorEastAsia"/>
                <w:kern w:val="0"/>
                <w:sz w:val="32"/>
                <w:szCs w:val="32"/>
                <w:highlight w:val="yellow"/>
              </w:rPr>
            </w:pPr>
            <w:r>
              <w:rPr>
                <w:rFonts w:hint="eastAsia" w:asciiTheme="minorEastAsia" w:hAnsiTheme="minorEastAsia" w:cstheme="minorEastAsia"/>
                <w:sz w:val="32"/>
                <w:szCs w:val="32"/>
              </w:rPr>
              <w:t>281中国共产党威县委员会党校</w:t>
            </w:r>
          </w:p>
        </w:tc>
        <w:tc>
          <w:tcPr>
            <w:tcW w:w="5103" w:type="dxa"/>
            <w:tcBorders>
              <w:top w:val="nil"/>
              <w:left w:val="nil"/>
              <w:bottom w:val="nil"/>
              <w:right w:val="nil"/>
            </w:tcBorders>
            <w:shd w:val="clear" w:color="auto" w:fill="auto"/>
            <w:noWrap/>
            <w:vAlign w:val="center"/>
          </w:tcPr>
          <w:p>
            <w:pPr>
              <w:widowControl/>
              <w:jc w:val="left"/>
              <w:rPr>
                <w:rFonts w:asciiTheme="minorEastAsia" w:hAnsiTheme="minorEastAsia" w:cstheme="minorEastAsia"/>
                <w:kern w:val="0"/>
                <w:sz w:val="32"/>
                <w:szCs w:val="32"/>
                <w:highlight w:val="yellow"/>
              </w:rPr>
            </w:pPr>
            <w:r>
              <w:rPr>
                <w:rFonts w:hint="eastAsia" w:asciiTheme="minorEastAsia" w:hAnsiTheme="minorEastAsia" w:cstheme="minorEastAsia"/>
                <w:kern w:val="0"/>
                <w:sz w:val="32"/>
                <w:szCs w:val="32"/>
              </w:rPr>
              <w:t xml:space="preserve">截止时间：2018年12月31日  </w:t>
            </w:r>
          </w:p>
        </w:tc>
      </w:tr>
      <w:tr>
        <w:tblPrEx>
          <w:tblCellMar>
            <w:top w:w="0" w:type="dxa"/>
            <w:left w:w="108" w:type="dxa"/>
            <w:bottom w:w="0" w:type="dxa"/>
            <w:right w:w="108" w:type="dxa"/>
          </w:tblCellMar>
        </w:tblPrEx>
        <w:trPr>
          <w:trHeight w:val="645" w:hRule="atLeast"/>
        </w:trPr>
        <w:tc>
          <w:tcPr>
            <w:tcW w:w="52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heme="minorEastAsia" w:hAnsiTheme="minorEastAsia" w:cstheme="minorEastAsia"/>
                <w:b/>
                <w:bCs/>
                <w:kern w:val="0"/>
                <w:sz w:val="32"/>
                <w:szCs w:val="32"/>
              </w:rPr>
            </w:pPr>
            <w:r>
              <w:rPr>
                <w:rFonts w:hint="eastAsia" w:asciiTheme="minorEastAsia" w:hAnsiTheme="minorEastAsia" w:cstheme="minorEastAsia"/>
                <w:b/>
                <w:bCs/>
                <w:kern w:val="0"/>
                <w:sz w:val="32"/>
                <w:szCs w:val="32"/>
              </w:rPr>
              <w:t>项   目</w:t>
            </w:r>
          </w:p>
        </w:tc>
        <w:tc>
          <w:tcPr>
            <w:tcW w:w="315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heme="minorEastAsia" w:hAnsiTheme="minorEastAsia" w:cstheme="minorEastAsia"/>
                <w:b/>
                <w:bCs/>
                <w:kern w:val="0"/>
                <w:sz w:val="32"/>
                <w:szCs w:val="32"/>
              </w:rPr>
            </w:pPr>
            <w:r>
              <w:rPr>
                <w:rFonts w:hint="eastAsia" w:asciiTheme="minorEastAsia" w:hAnsiTheme="minorEastAsia" w:cstheme="minorEastAsia"/>
                <w:b/>
                <w:bCs/>
                <w:kern w:val="0"/>
                <w:sz w:val="32"/>
                <w:szCs w:val="32"/>
              </w:rPr>
              <w:t>数量</w:t>
            </w:r>
          </w:p>
        </w:tc>
        <w:tc>
          <w:tcPr>
            <w:tcW w:w="510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heme="minorEastAsia" w:hAnsiTheme="minorEastAsia" w:cstheme="minorEastAsia"/>
                <w:b/>
                <w:bCs/>
                <w:kern w:val="0"/>
                <w:sz w:val="32"/>
                <w:szCs w:val="32"/>
              </w:rPr>
            </w:pPr>
            <w:r>
              <w:rPr>
                <w:rFonts w:hint="eastAsia" w:asciiTheme="minorEastAsia" w:hAnsiTheme="minorEastAsia" w:cstheme="minorEastAsia"/>
                <w:b/>
                <w:bCs/>
                <w:kern w:val="0"/>
                <w:sz w:val="32"/>
                <w:szCs w:val="32"/>
              </w:rPr>
              <w:t>价值（金额单位：万元）</w:t>
            </w: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heme="minorEastAsia" w:hAnsiTheme="minorEastAsia" w:cstheme="minorEastAsia"/>
                <w:kern w:val="0"/>
                <w:sz w:val="32"/>
                <w:szCs w:val="32"/>
              </w:rPr>
            </w:pPr>
            <w:r>
              <w:rPr>
                <w:rFonts w:hint="eastAsia" w:asciiTheme="minorEastAsia" w:hAnsiTheme="minorEastAsia" w:cstheme="minorEastAsia"/>
                <w:kern w:val="0"/>
                <w:sz w:val="32"/>
                <w:szCs w:val="32"/>
              </w:rPr>
              <w:t>资产总额</w:t>
            </w:r>
          </w:p>
        </w:tc>
        <w:tc>
          <w:tcPr>
            <w:tcW w:w="3155" w:type="dxa"/>
            <w:tcBorders>
              <w:top w:val="nil"/>
              <w:left w:val="nil"/>
              <w:bottom w:val="single" w:color="auto" w:sz="4" w:space="0"/>
              <w:right w:val="single" w:color="auto" w:sz="4" w:space="0"/>
            </w:tcBorders>
            <w:shd w:val="clear" w:color="auto" w:fill="auto"/>
            <w:noWrap/>
            <w:vAlign w:val="center"/>
          </w:tcPr>
          <w:p>
            <w:pPr>
              <w:widowControl/>
              <w:jc w:val="center"/>
              <w:rPr>
                <w:rFonts w:asciiTheme="minorEastAsia" w:hAnsiTheme="minorEastAsia" w:cstheme="minorEastAsia"/>
                <w:kern w:val="0"/>
                <w:sz w:val="32"/>
                <w:szCs w:val="32"/>
                <w:highlight w:val="yellow"/>
              </w:rPr>
            </w:pPr>
            <w:r>
              <w:rPr>
                <w:rFonts w:hint="eastAsia" w:asciiTheme="minorEastAsia" w:hAnsiTheme="minorEastAsia" w:cstheme="minorEastAsia"/>
                <w:kern w:val="0"/>
                <w:sz w:val="32"/>
                <w:szCs w:val="32"/>
              </w:rPr>
              <w:t>——</w:t>
            </w:r>
          </w:p>
        </w:tc>
        <w:tc>
          <w:tcPr>
            <w:tcW w:w="5103" w:type="dxa"/>
            <w:tcBorders>
              <w:top w:val="single" w:color="auto" w:sz="4" w:space="0"/>
              <w:left w:val="nil"/>
              <w:bottom w:val="single" w:color="auto" w:sz="4" w:space="0"/>
              <w:right w:val="single" w:color="auto" w:sz="4" w:space="0"/>
            </w:tcBorders>
            <w:shd w:val="clear" w:color="auto" w:fill="FFFFFF" w:themeFill="background1"/>
            <w:noWrap/>
            <w:vAlign w:val="center"/>
          </w:tcPr>
          <w:p>
            <w:pPr>
              <w:widowControl/>
              <w:rPr>
                <w:rFonts w:asciiTheme="minorEastAsia" w:hAnsiTheme="minorEastAsia" w:cstheme="minorEastAsia"/>
                <w:color w:val="FFFFFF" w:themeColor="background1"/>
                <w:kern w:val="0"/>
                <w:sz w:val="32"/>
                <w:szCs w:val="32"/>
                <w:highlight w:val="yellow"/>
              </w:rPr>
            </w:pPr>
            <w:r>
              <w:rPr>
                <w:rFonts w:hint="eastAsia" w:asciiTheme="minorEastAsia" w:hAnsiTheme="minorEastAsia" w:cstheme="minorEastAsia"/>
                <w:color w:val="FFFFFF" w:themeColor="background1"/>
                <w:kern w:val="0"/>
                <w:sz w:val="32"/>
                <w:szCs w:val="32"/>
              </w:rPr>
              <w:t>46.7346.746.73346.73</w:t>
            </w:r>
            <w:r>
              <w:rPr>
                <w:rFonts w:hint="eastAsia" w:asciiTheme="minorEastAsia" w:hAnsiTheme="minorEastAsia" w:cstheme="minorEastAsia"/>
                <w:sz w:val="32"/>
                <w:szCs w:val="32"/>
              </w:rPr>
              <w:t>46.73</w:t>
            </w: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heme="minorEastAsia" w:hAnsiTheme="minorEastAsia" w:cstheme="minorEastAsia"/>
                <w:kern w:val="0"/>
                <w:sz w:val="32"/>
                <w:szCs w:val="32"/>
              </w:rPr>
            </w:pPr>
            <w:r>
              <w:rPr>
                <w:rFonts w:hint="eastAsia" w:asciiTheme="minorEastAsia" w:hAnsiTheme="minorEastAsia" w:cstheme="minorEastAsia"/>
                <w:kern w:val="0"/>
                <w:sz w:val="32"/>
                <w:szCs w:val="32"/>
              </w:rPr>
              <w:t>1、房屋（平方米）</w:t>
            </w:r>
          </w:p>
        </w:tc>
        <w:tc>
          <w:tcPr>
            <w:tcW w:w="3155" w:type="dxa"/>
            <w:tcBorders>
              <w:top w:val="nil"/>
              <w:left w:val="nil"/>
              <w:bottom w:val="single" w:color="auto" w:sz="4" w:space="0"/>
              <w:right w:val="single" w:color="auto" w:sz="4" w:space="0"/>
            </w:tcBorders>
            <w:shd w:val="clear" w:color="auto" w:fill="auto"/>
            <w:noWrap/>
            <w:vAlign w:val="center"/>
          </w:tcPr>
          <w:p>
            <w:pPr>
              <w:rPr>
                <w:rFonts w:asciiTheme="minorEastAsia" w:hAnsiTheme="minorEastAsia" w:cstheme="minorEastAsia"/>
                <w:sz w:val="32"/>
                <w:szCs w:val="32"/>
                <w:highlight w:val="yellow"/>
              </w:rPr>
            </w:pPr>
          </w:p>
        </w:tc>
        <w:tc>
          <w:tcPr>
            <w:tcW w:w="5103" w:type="dxa"/>
            <w:tcBorders>
              <w:top w:val="nil"/>
              <w:left w:val="nil"/>
              <w:bottom w:val="single" w:color="auto" w:sz="4" w:space="0"/>
              <w:right w:val="single" w:color="auto" w:sz="4" w:space="0"/>
            </w:tcBorders>
            <w:shd w:val="clear" w:color="auto" w:fill="auto"/>
            <w:noWrap/>
            <w:vAlign w:val="center"/>
          </w:tcPr>
          <w:p>
            <w:pPr>
              <w:rPr>
                <w:rFonts w:asciiTheme="minorEastAsia" w:hAnsiTheme="minorEastAsia" w:cstheme="minorEastAsia"/>
                <w:sz w:val="32"/>
                <w:szCs w:val="32"/>
                <w:highlight w:val="yellow"/>
              </w:rPr>
            </w:pP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heme="minorEastAsia" w:hAnsiTheme="minorEastAsia" w:cstheme="minorEastAsia"/>
                <w:kern w:val="0"/>
                <w:sz w:val="32"/>
                <w:szCs w:val="32"/>
              </w:rPr>
            </w:pPr>
            <w:r>
              <w:rPr>
                <w:rFonts w:hint="eastAsia" w:asciiTheme="minorEastAsia" w:hAnsiTheme="minorEastAsia" w:cstheme="minorEastAsia"/>
                <w:kern w:val="0"/>
                <w:sz w:val="32"/>
                <w:szCs w:val="32"/>
              </w:rPr>
              <w:t xml:space="preserve">   其中：办公用房（平方米）</w:t>
            </w:r>
          </w:p>
        </w:tc>
        <w:tc>
          <w:tcPr>
            <w:tcW w:w="3155"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cstheme="minorEastAsia"/>
                <w:sz w:val="32"/>
                <w:szCs w:val="32"/>
                <w:highlight w:val="yellow"/>
              </w:rPr>
            </w:pPr>
          </w:p>
        </w:tc>
        <w:tc>
          <w:tcPr>
            <w:tcW w:w="5103" w:type="dxa"/>
            <w:tcBorders>
              <w:top w:val="nil"/>
              <w:left w:val="nil"/>
              <w:bottom w:val="single" w:color="auto" w:sz="4" w:space="0"/>
              <w:right w:val="single" w:color="auto" w:sz="4" w:space="0"/>
            </w:tcBorders>
            <w:shd w:val="clear" w:color="auto" w:fill="auto"/>
            <w:noWrap/>
            <w:vAlign w:val="center"/>
          </w:tcPr>
          <w:p>
            <w:pPr>
              <w:rPr>
                <w:rFonts w:asciiTheme="minorEastAsia" w:hAnsiTheme="minorEastAsia" w:cstheme="minorEastAsia"/>
                <w:sz w:val="32"/>
                <w:szCs w:val="32"/>
                <w:highlight w:val="yellow"/>
              </w:rPr>
            </w:pP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heme="minorEastAsia" w:hAnsiTheme="minorEastAsia" w:cstheme="minorEastAsia"/>
                <w:kern w:val="0"/>
                <w:sz w:val="32"/>
                <w:szCs w:val="32"/>
              </w:rPr>
            </w:pPr>
            <w:r>
              <w:rPr>
                <w:rFonts w:hint="eastAsia" w:asciiTheme="minorEastAsia" w:hAnsiTheme="minorEastAsia" w:cstheme="minorEastAsia"/>
                <w:kern w:val="0"/>
                <w:sz w:val="32"/>
                <w:szCs w:val="32"/>
              </w:rPr>
              <w:t>2、车辆（台、辆）</w:t>
            </w:r>
          </w:p>
        </w:tc>
        <w:tc>
          <w:tcPr>
            <w:tcW w:w="3155" w:type="dxa"/>
            <w:tcBorders>
              <w:top w:val="nil"/>
              <w:left w:val="nil"/>
              <w:bottom w:val="single" w:color="auto" w:sz="4" w:space="0"/>
              <w:right w:val="single" w:color="auto" w:sz="4" w:space="0"/>
            </w:tcBorders>
            <w:shd w:val="clear" w:color="auto" w:fill="auto"/>
            <w:noWrap/>
            <w:vAlign w:val="center"/>
          </w:tcPr>
          <w:p>
            <w:pPr>
              <w:rPr>
                <w:rFonts w:asciiTheme="minorEastAsia" w:hAnsiTheme="minorEastAsia" w:cstheme="minorEastAsia"/>
                <w:sz w:val="32"/>
                <w:szCs w:val="32"/>
                <w:highlight w:val="yellow"/>
              </w:rPr>
            </w:pPr>
          </w:p>
        </w:tc>
        <w:tc>
          <w:tcPr>
            <w:tcW w:w="5103" w:type="dxa"/>
            <w:tcBorders>
              <w:top w:val="nil"/>
              <w:left w:val="nil"/>
              <w:bottom w:val="single" w:color="auto" w:sz="4" w:space="0"/>
              <w:right w:val="single" w:color="auto" w:sz="4" w:space="0"/>
            </w:tcBorders>
            <w:shd w:val="clear" w:color="auto" w:fill="auto"/>
            <w:noWrap/>
            <w:vAlign w:val="center"/>
          </w:tcPr>
          <w:p>
            <w:pPr>
              <w:rPr>
                <w:rFonts w:asciiTheme="minorEastAsia" w:hAnsiTheme="minorEastAsia" w:cstheme="minorEastAsia"/>
                <w:sz w:val="32"/>
                <w:szCs w:val="32"/>
                <w:highlight w:val="yellow"/>
              </w:rPr>
            </w:pP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heme="minorEastAsia" w:hAnsiTheme="minorEastAsia" w:cstheme="minorEastAsia"/>
                <w:kern w:val="0"/>
                <w:sz w:val="32"/>
                <w:szCs w:val="32"/>
              </w:rPr>
            </w:pPr>
            <w:r>
              <w:rPr>
                <w:rFonts w:hint="eastAsia" w:asciiTheme="minorEastAsia" w:hAnsiTheme="minorEastAsia" w:cstheme="minorEastAsia"/>
                <w:kern w:val="0"/>
                <w:sz w:val="32"/>
                <w:szCs w:val="32"/>
              </w:rPr>
              <w:t>3、单价在20万元以上的设备</w:t>
            </w:r>
          </w:p>
        </w:tc>
        <w:tc>
          <w:tcPr>
            <w:tcW w:w="3155"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cstheme="minorEastAsia"/>
                <w:sz w:val="32"/>
                <w:szCs w:val="32"/>
                <w:highlight w:val="yellow"/>
              </w:rPr>
            </w:pPr>
          </w:p>
        </w:tc>
        <w:tc>
          <w:tcPr>
            <w:tcW w:w="5103"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cstheme="minorEastAsia"/>
                <w:sz w:val="32"/>
                <w:szCs w:val="32"/>
                <w:highlight w:val="yellow"/>
              </w:rPr>
            </w:pP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heme="minorEastAsia" w:hAnsiTheme="minorEastAsia" w:cstheme="minorEastAsia"/>
                <w:kern w:val="0"/>
                <w:sz w:val="32"/>
                <w:szCs w:val="32"/>
              </w:rPr>
            </w:pPr>
            <w:r>
              <w:rPr>
                <w:rFonts w:hint="eastAsia" w:asciiTheme="minorEastAsia" w:hAnsiTheme="minorEastAsia" w:cstheme="minorEastAsia"/>
                <w:kern w:val="0"/>
                <w:sz w:val="32"/>
                <w:szCs w:val="32"/>
              </w:rPr>
              <w:t>4、其他固定资产</w:t>
            </w:r>
          </w:p>
        </w:tc>
        <w:tc>
          <w:tcPr>
            <w:tcW w:w="3155"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cstheme="minorEastAsia"/>
                <w:sz w:val="32"/>
                <w:szCs w:val="32"/>
                <w:highlight w:val="yellow"/>
              </w:rPr>
            </w:pPr>
          </w:p>
        </w:tc>
        <w:tc>
          <w:tcPr>
            <w:tcW w:w="5103" w:type="dxa"/>
            <w:tcBorders>
              <w:top w:val="nil"/>
              <w:left w:val="nil"/>
              <w:bottom w:val="single" w:color="auto" w:sz="4" w:space="0"/>
              <w:right w:val="single" w:color="auto" w:sz="4" w:space="0"/>
            </w:tcBorders>
            <w:shd w:val="clear" w:color="auto" w:fill="auto"/>
            <w:noWrap/>
            <w:vAlign w:val="center"/>
          </w:tcPr>
          <w:p>
            <w:pPr>
              <w:rPr>
                <w:rFonts w:asciiTheme="minorEastAsia" w:hAnsiTheme="minorEastAsia" w:cstheme="minorEastAsia"/>
                <w:sz w:val="32"/>
                <w:szCs w:val="32"/>
              </w:rPr>
            </w:pPr>
            <w:r>
              <w:rPr>
                <w:rFonts w:hint="eastAsia" w:asciiTheme="minorEastAsia" w:hAnsiTheme="minorEastAsia" w:cstheme="minorEastAsia"/>
                <w:sz w:val="32"/>
                <w:szCs w:val="32"/>
              </w:rPr>
              <w:t xml:space="preserve">                 46.73</w:t>
            </w:r>
          </w:p>
        </w:tc>
      </w:tr>
    </w:tbl>
    <w:p>
      <w:pPr>
        <w:autoSpaceDE w:val="0"/>
        <w:autoSpaceDN w:val="0"/>
        <w:adjustRightInd w:val="0"/>
        <w:ind w:left="198" w:firstLine="640" w:firstLineChars="200"/>
        <w:jc w:val="left"/>
        <w:rPr>
          <w:rFonts w:asciiTheme="minorEastAsia" w:hAnsiTheme="minorEastAsia" w:cstheme="minorEastAsia"/>
          <w:sz w:val="32"/>
          <w:szCs w:val="32"/>
        </w:rPr>
      </w:pPr>
    </w:p>
    <w:p>
      <w:pPr>
        <w:autoSpaceDE w:val="0"/>
        <w:autoSpaceDN w:val="0"/>
        <w:adjustRightInd w:val="0"/>
        <w:ind w:left="198" w:firstLine="640" w:firstLineChars="200"/>
        <w:jc w:val="left"/>
        <w:rPr>
          <w:rFonts w:asciiTheme="minorEastAsia" w:hAnsiTheme="minorEastAsia" w:cstheme="minorEastAsia"/>
          <w:sz w:val="32"/>
          <w:szCs w:val="32"/>
        </w:rPr>
      </w:pPr>
    </w:p>
    <w:p>
      <w:pPr>
        <w:autoSpaceDE w:val="0"/>
        <w:autoSpaceDN w:val="0"/>
        <w:adjustRightInd w:val="0"/>
        <w:ind w:left="198" w:firstLine="640" w:firstLineChars="200"/>
        <w:jc w:val="left"/>
        <w:rPr>
          <w:rFonts w:asciiTheme="minorEastAsia" w:hAnsiTheme="minorEastAsia" w:cstheme="minorEastAsia"/>
          <w:sz w:val="32"/>
          <w:szCs w:val="32"/>
        </w:rPr>
      </w:pPr>
      <w:r>
        <w:rPr>
          <w:rFonts w:hint="eastAsia" w:asciiTheme="minorEastAsia" w:hAnsiTheme="minorEastAsia" w:cstheme="minorEastAsia"/>
          <w:sz w:val="32"/>
          <w:szCs w:val="32"/>
        </w:rPr>
        <w:t>八、名词解释</w:t>
      </w:r>
    </w:p>
    <w:p>
      <w:pPr>
        <w:tabs>
          <w:tab w:val="left" w:pos="11490"/>
        </w:tabs>
        <w:ind w:firstLine="643" w:firstLineChars="200"/>
        <w:rPr>
          <w:rFonts w:asciiTheme="minorEastAsia" w:hAnsiTheme="minorEastAsia" w:cstheme="minorEastAsia"/>
          <w:sz w:val="32"/>
          <w:szCs w:val="32"/>
        </w:rPr>
      </w:pPr>
      <w:r>
        <w:rPr>
          <w:rFonts w:hint="eastAsia" w:asciiTheme="minorEastAsia" w:hAnsiTheme="minorEastAsia" w:cstheme="minorEastAsia"/>
          <w:b/>
          <w:sz w:val="32"/>
          <w:szCs w:val="32"/>
        </w:rPr>
        <w:t>1、一般公共预算拨款收入：</w:t>
      </w:r>
      <w:r>
        <w:rPr>
          <w:rFonts w:hint="eastAsia" w:asciiTheme="minorEastAsia" w:hAnsiTheme="minorEastAsia" w:cstheme="minorEastAsia"/>
          <w:sz w:val="32"/>
          <w:szCs w:val="32"/>
        </w:rPr>
        <w:t>指县级财政当年拨付的资金。</w:t>
      </w:r>
    </w:p>
    <w:p>
      <w:pPr>
        <w:tabs>
          <w:tab w:val="left" w:pos="11490"/>
        </w:tabs>
        <w:ind w:firstLine="643" w:firstLineChars="200"/>
        <w:rPr>
          <w:rFonts w:asciiTheme="minorEastAsia" w:hAnsiTheme="minorEastAsia" w:cstheme="minorEastAsia"/>
          <w:sz w:val="32"/>
          <w:szCs w:val="32"/>
        </w:rPr>
      </w:pPr>
      <w:r>
        <w:rPr>
          <w:rFonts w:hint="eastAsia" w:asciiTheme="minorEastAsia" w:hAnsiTheme="minorEastAsia" w:cstheme="minorEastAsia"/>
          <w:b/>
          <w:sz w:val="32"/>
          <w:szCs w:val="32"/>
        </w:rPr>
        <w:t>2、事业收入：</w:t>
      </w:r>
      <w:r>
        <w:rPr>
          <w:rFonts w:hint="eastAsia" w:asciiTheme="minorEastAsia" w:hAnsiTheme="minorEastAsia" w:cstheme="minorEastAsia"/>
          <w:sz w:val="32"/>
          <w:szCs w:val="32"/>
        </w:rPr>
        <w:t>指事业单位开展专业业务活动及辅助活动所取得的收入。</w:t>
      </w:r>
    </w:p>
    <w:p>
      <w:pPr>
        <w:tabs>
          <w:tab w:val="left" w:pos="11490"/>
        </w:tabs>
        <w:ind w:firstLine="643" w:firstLineChars="200"/>
        <w:rPr>
          <w:rFonts w:asciiTheme="minorEastAsia" w:hAnsiTheme="minorEastAsia" w:cstheme="minorEastAsia"/>
          <w:b/>
          <w:sz w:val="32"/>
          <w:szCs w:val="32"/>
        </w:rPr>
      </w:pPr>
      <w:r>
        <w:rPr>
          <w:rFonts w:hint="eastAsia" w:asciiTheme="minorEastAsia" w:hAnsiTheme="minorEastAsia" w:cstheme="minorEastAsia"/>
          <w:b/>
          <w:sz w:val="32"/>
          <w:szCs w:val="32"/>
        </w:rPr>
        <w:t>3、其他收入：</w:t>
      </w:r>
      <w:r>
        <w:rPr>
          <w:rFonts w:hint="eastAsia" w:asciiTheme="minorEastAsia" w:hAnsiTheme="minorEastAsia" w:cstheme="minorEastAsia"/>
          <w:sz w:val="32"/>
          <w:szCs w:val="32"/>
        </w:rPr>
        <w:t>指除“一般公共预算拨款收入”、“事业收入”等以外的收入。主要是按规定动用的租房收入、存款利息收入等。</w:t>
      </w:r>
    </w:p>
    <w:p>
      <w:pPr>
        <w:tabs>
          <w:tab w:val="left" w:pos="11490"/>
        </w:tabs>
        <w:ind w:firstLine="643" w:firstLineChars="200"/>
        <w:rPr>
          <w:rFonts w:asciiTheme="minorEastAsia" w:hAnsiTheme="minorEastAsia" w:cstheme="minorEastAsia"/>
          <w:sz w:val="32"/>
          <w:szCs w:val="32"/>
        </w:rPr>
      </w:pPr>
      <w:r>
        <w:rPr>
          <w:rFonts w:hint="eastAsia" w:asciiTheme="minorEastAsia" w:hAnsiTheme="minorEastAsia" w:cstheme="minorEastAsia"/>
          <w:b/>
          <w:sz w:val="32"/>
          <w:szCs w:val="32"/>
        </w:rPr>
        <w:t>4、基本支出：</w:t>
      </w:r>
      <w:r>
        <w:rPr>
          <w:rFonts w:hint="eastAsia" w:asciiTheme="minorEastAsia" w:hAnsiTheme="minorEastAsia" w:cstheme="minorEastAsia"/>
          <w:sz w:val="32"/>
          <w:szCs w:val="32"/>
        </w:rPr>
        <w:t>指为保障机构正常运转、完成日常工作任务而发生的人员支出和公用支出。</w:t>
      </w:r>
    </w:p>
    <w:p>
      <w:pPr>
        <w:tabs>
          <w:tab w:val="left" w:pos="11490"/>
        </w:tabs>
        <w:ind w:firstLine="643" w:firstLineChars="200"/>
        <w:rPr>
          <w:rFonts w:asciiTheme="minorEastAsia" w:hAnsiTheme="minorEastAsia" w:cstheme="minorEastAsia"/>
          <w:sz w:val="32"/>
          <w:szCs w:val="32"/>
        </w:rPr>
      </w:pPr>
      <w:r>
        <w:rPr>
          <w:rFonts w:hint="eastAsia" w:asciiTheme="minorEastAsia" w:hAnsiTheme="minorEastAsia" w:cstheme="minorEastAsia"/>
          <w:b/>
          <w:sz w:val="32"/>
          <w:szCs w:val="32"/>
        </w:rPr>
        <w:t>5、项目支出：</w:t>
      </w:r>
      <w:r>
        <w:rPr>
          <w:rFonts w:hint="eastAsia" w:asciiTheme="minorEastAsia" w:hAnsiTheme="minorEastAsia" w:cstheme="minorEastAsia"/>
          <w:sz w:val="32"/>
          <w:szCs w:val="32"/>
        </w:rPr>
        <w:t>指在基本支出之外为完成特定行政任务和事业发展目标所发生的支出。</w:t>
      </w:r>
    </w:p>
    <w:p>
      <w:pPr>
        <w:tabs>
          <w:tab w:val="left" w:pos="11490"/>
        </w:tabs>
        <w:ind w:firstLine="643" w:firstLineChars="200"/>
        <w:rPr>
          <w:rFonts w:asciiTheme="minorEastAsia" w:hAnsiTheme="minorEastAsia" w:cstheme="minorEastAsia"/>
          <w:sz w:val="32"/>
          <w:szCs w:val="32"/>
        </w:rPr>
      </w:pPr>
      <w:r>
        <w:rPr>
          <w:rFonts w:hint="eastAsia" w:asciiTheme="minorEastAsia" w:hAnsiTheme="minorEastAsia" w:cstheme="minorEastAsia"/>
          <w:b/>
          <w:sz w:val="32"/>
          <w:szCs w:val="32"/>
        </w:rPr>
        <w:t>6、“三公”经费：</w:t>
      </w:r>
      <w:r>
        <w:rPr>
          <w:rFonts w:hint="eastAsia" w:asciiTheme="minorEastAsia" w:hAnsiTheme="minorEastAsia" w:cstheme="minorEastAsia"/>
          <w:sz w:val="32"/>
          <w:szCs w:val="32"/>
        </w:rPr>
        <w:t>纳入省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tabs>
          <w:tab w:val="left" w:pos="11490"/>
        </w:tabs>
        <w:ind w:firstLine="643" w:firstLineChars="200"/>
        <w:rPr>
          <w:rFonts w:asciiTheme="minorEastAsia" w:hAnsiTheme="minorEastAsia" w:cstheme="minorEastAsia"/>
          <w:sz w:val="32"/>
          <w:szCs w:val="32"/>
        </w:rPr>
      </w:pPr>
      <w:r>
        <w:rPr>
          <w:rFonts w:hint="eastAsia" w:asciiTheme="minorEastAsia" w:hAnsiTheme="minorEastAsia" w:cstheme="minorEastAsia"/>
          <w:b/>
          <w:sz w:val="32"/>
          <w:szCs w:val="32"/>
        </w:rPr>
        <w:t>7、机关运行费：</w:t>
      </w:r>
      <w:r>
        <w:rPr>
          <w:rFonts w:hint="eastAsia" w:asciiTheme="minorEastAsia" w:hAnsiTheme="minorEastAsia" w:cstheme="minorEastAsia"/>
          <w:sz w:val="32"/>
          <w:szCs w:val="32"/>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tabs>
          <w:tab w:val="left" w:pos="11490"/>
        </w:tabs>
        <w:ind w:firstLine="643" w:firstLineChars="200"/>
        <w:rPr>
          <w:rFonts w:asciiTheme="minorEastAsia" w:hAnsiTheme="minorEastAsia" w:cstheme="minorEastAsia"/>
          <w:sz w:val="32"/>
          <w:szCs w:val="32"/>
        </w:rPr>
      </w:pPr>
      <w:r>
        <w:rPr>
          <w:rFonts w:hint="eastAsia" w:asciiTheme="minorEastAsia" w:hAnsiTheme="minorEastAsia" w:cstheme="minorEastAsia"/>
          <w:b/>
          <w:sz w:val="32"/>
          <w:szCs w:val="32"/>
        </w:rPr>
        <w:t>8、上年结转：</w:t>
      </w:r>
      <w:r>
        <w:rPr>
          <w:rFonts w:hint="eastAsia" w:asciiTheme="minorEastAsia" w:hAnsiTheme="minorEastAsia" w:cstheme="minorEastAsia"/>
          <w:sz w:val="32"/>
          <w:szCs w:val="32"/>
        </w:rPr>
        <w:t>指以前年度尚未完成、结转到本年仍按原规定用途继续使用的资金。</w:t>
      </w:r>
    </w:p>
    <w:p>
      <w:pPr>
        <w:autoSpaceDE w:val="0"/>
        <w:autoSpaceDN w:val="0"/>
        <w:adjustRightInd w:val="0"/>
        <w:ind w:left="198" w:firstLine="640" w:firstLineChars="200"/>
        <w:jc w:val="left"/>
        <w:rPr>
          <w:rFonts w:asciiTheme="minorEastAsia" w:hAnsiTheme="minorEastAsia" w:cstheme="minorEastAsia"/>
          <w:sz w:val="32"/>
          <w:szCs w:val="32"/>
        </w:rPr>
      </w:pPr>
      <w:r>
        <w:rPr>
          <w:rFonts w:hint="eastAsia" w:asciiTheme="minorEastAsia" w:hAnsiTheme="minorEastAsia" w:cstheme="minorEastAsia"/>
          <w:sz w:val="32"/>
          <w:szCs w:val="32"/>
        </w:rPr>
        <w:t>九、其他需要说明的事项</w:t>
      </w:r>
    </w:p>
    <w:p>
      <w:pPr>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我部门无其他需要说明的事项。</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68C7C5F"/>
    <w:multiLevelType w:val="singleLevel"/>
    <w:tmpl w:val="568C7C5F"/>
    <w:lvl w:ilvl="0" w:tentative="0">
      <w:start w:val="2"/>
      <w:numFmt w:val="decimal"/>
      <w:suff w:val="nothing"/>
      <w:lvlText w:val="%1．"/>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66032"/>
    <w:rsid w:val="00034786"/>
    <w:rsid w:val="00037AF6"/>
    <w:rsid w:val="00042F57"/>
    <w:rsid w:val="0006483E"/>
    <w:rsid w:val="00075D5F"/>
    <w:rsid w:val="0008102F"/>
    <w:rsid w:val="000B020B"/>
    <w:rsid w:val="000B529B"/>
    <w:rsid w:val="000C3A19"/>
    <w:rsid w:val="000F057F"/>
    <w:rsid w:val="001245BB"/>
    <w:rsid w:val="001251A3"/>
    <w:rsid w:val="001427EB"/>
    <w:rsid w:val="0019275C"/>
    <w:rsid w:val="00193383"/>
    <w:rsid w:val="001B4EF3"/>
    <w:rsid w:val="001F7873"/>
    <w:rsid w:val="00241FD4"/>
    <w:rsid w:val="00251B12"/>
    <w:rsid w:val="00296113"/>
    <w:rsid w:val="002A673A"/>
    <w:rsid w:val="002C07BE"/>
    <w:rsid w:val="002C3600"/>
    <w:rsid w:val="002C5E13"/>
    <w:rsid w:val="002C62BC"/>
    <w:rsid w:val="002E0EB8"/>
    <w:rsid w:val="002F3E58"/>
    <w:rsid w:val="0030542C"/>
    <w:rsid w:val="00311B7A"/>
    <w:rsid w:val="0031427C"/>
    <w:rsid w:val="00372FA3"/>
    <w:rsid w:val="0039575F"/>
    <w:rsid w:val="003D417F"/>
    <w:rsid w:val="003F60E9"/>
    <w:rsid w:val="004248B8"/>
    <w:rsid w:val="00424943"/>
    <w:rsid w:val="00425FAC"/>
    <w:rsid w:val="0043175C"/>
    <w:rsid w:val="00437296"/>
    <w:rsid w:val="00451590"/>
    <w:rsid w:val="00451871"/>
    <w:rsid w:val="004631FC"/>
    <w:rsid w:val="004706DE"/>
    <w:rsid w:val="00472923"/>
    <w:rsid w:val="00496109"/>
    <w:rsid w:val="004B0C3A"/>
    <w:rsid w:val="004D5788"/>
    <w:rsid w:val="004D7CCA"/>
    <w:rsid w:val="004E3066"/>
    <w:rsid w:val="004E74CD"/>
    <w:rsid w:val="00516E04"/>
    <w:rsid w:val="005375C1"/>
    <w:rsid w:val="00565588"/>
    <w:rsid w:val="00572067"/>
    <w:rsid w:val="00573562"/>
    <w:rsid w:val="00590ECE"/>
    <w:rsid w:val="00592ADD"/>
    <w:rsid w:val="005A6363"/>
    <w:rsid w:val="00614A29"/>
    <w:rsid w:val="00643AA7"/>
    <w:rsid w:val="00647EB9"/>
    <w:rsid w:val="00671CBC"/>
    <w:rsid w:val="00673D76"/>
    <w:rsid w:val="00674CD7"/>
    <w:rsid w:val="006854F0"/>
    <w:rsid w:val="006B1C4A"/>
    <w:rsid w:val="006B610D"/>
    <w:rsid w:val="006E49F5"/>
    <w:rsid w:val="007013C8"/>
    <w:rsid w:val="00717B1E"/>
    <w:rsid w:val="00753836"/>
    <w:rsid w:val="0075393C"/>
    <w:rsid w:val="00754592"/>
    <w:rsid w:val="00776C08"/>
    <w:rsid w:val="007C219A"/>
    <w:rsid w:val="007E1DA8"/>
    <w:rsid w:val="007E329E"/>
    <w:rsid w:val="007F6C26"/>
    <w:rsid w:val="00813208"/>
    <w:rsid w:val="008334AE"/>
    <w:rsid w:val="00836FED"/>
    <w:rsid w:val="0083724E"/>
    <w:rsid w:val="00845CD2"/>
    <w:rsid w:val="00852B0D"/>
    <w:rsid w:val="00871D69"/>
    <w:rsid w:val="00881692"/>
    <w:rsid w:val="00883D1A"/>
    <w:rsid w:val="008A25C2"/>
    <w:rsid w:val="008A6576"/>
    <w:rsid w:val="008B3CC5"/>
    <w:rsid w:val="008B52CD"/>
    <w:rsid w:val="008E4261"/>
    <w:rsid w:val="008F4662"/>
    <w:rsid w:val="008F5B4D"/>
    <w:rsid w:val="00905D08"/>
    <w:rsid w:val="00925753"/>
    <w:rsid w:val="009425F4"/>
    <w:rsid w:val="00966C5C"/>
    <w:rsid w:val="00970E71"/>
    <w:rsid w:val="00973104"/>
    <w:rsid w:val="00994032"/>
    <w:rsid w:val="00995BF0"/>
    <w:rsid w:val="009A16D5"/>
    <w:rsid w:val="009A353D"/>
    <w:rsid w:val="009A447F"/>
    <w:rsid w:val="009B0B77"/>
    <w:rsid w:val="009B511E"/>
    <w:rsid w:val="00A3595B"/>
    <w:rsid w:val="00A44E3D"/>
    <w:rsid w:val="00A72D2E"/>
    <w:rsid w:val="00A74447"/>
    <w:rsid w:val="00A74CE5"/>
    <w:rsid w:val="00A910FE"/>
    <w:rsid w:val="00A911E7"/>
    <w:rsid w:val="00A939D9"/>
    <w:rsid w:val="00B07D9E"/>
    <w:rsid w:val="00B20712"/>
    <w:rsid w:val="00B43238"/>
    <w:rsid w:val="00B45DD3"/>
    <w:rsid w:val="00B52632"/>
    <w:rsid w:val="00B727A9"/>
    <w:rsid w:val="00B75216"/>
    <w:rsid w:val="00B91D52"/>
    <w:rsid w:val="00B9490F"/>
    <w:rsid w:val="00BA1ACD"/>
    <w:rsid w:val="00BA5958"/>
    <w:rsid w:val="00BD09F8"/>
    <w:rsid w:val="00C44B90"/>
    <w:rsid w:val="00C53F24"/>
    <w:rsid w:val="00C71AAF"/>
    <w:rsid w:val="00CA7176"/>
    <w:rsid w:val="00CB3D48"/>
    <w:rsid w:val="00CB4665"/>
    <w:rsid w:val="00CC75B0"/>
    <w:rsid w:val="00CD2773"/>
    <w:rsid w:val="00CE143B"/>
    <w:rsid w:val="00CF3463"/>
    <w:rsid w:val="00CF5F0A"/>
    <w:rsid w:val="00D0024A"/>
    <w:rsid w:val="00D1425A"/>
    <w:rsid w:val="00D27003"/>
    <w:rsid w:val="00D423CB"/>
    <w:rsid w:val="00D760EA"/>
    <w:rsid w:val="00DB4A9B"/>
    <w:rsid w:val="00E167C7"/>
    <w:rsid w:val="00E2482E"/>
    <w:rsid w:val="00E3206C"/>
    <w:rsid w:val="00E57B93"/>
    <w:rsid w:val="00E73D47"/>
    <w:rsid w:val="00EC47F6"/>
    <w:rsid w:val="00EE65B8"/>
    <w:rsid w:val="00F149E2"/>
    <w:rsid w:val="00F66032"/>
    <w:rsid w:val="00F87C1E"/>
    <w:rsid w:val="00F958C2"/>
    <w:rsid w:val="04C236AD"/>
    <w:rsid w:val="0B8D1671"/>
    <w:rsid w:val="151D5E36"/>
    <w:rsid w:val="1C395647"/>
    <w:rsid w:val="23C75F22"/>
    <w:rsid w:val="4C1B6BE1"/>
    <w:rsid w:val="59CF07BF"/>
    <w:rsid w:val="5F0865E3"/>
    <w:rsid w:val="69CD4E95"/>
    <w:rsid w:val="6B7C6991"/>
    <w:rsid w:val="70D7784D"/>
    <w:rsid w:val="753B3494"/>
    <w:rsid w:val="7AF5392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6"/>
    <w:semiHidden/>
    <w:unhideWhenUsed/>
    <w:qFormat/>
    <w:uiPriority w:val="99"/>
    <w:rPr>
      <w:sz w:val="18"/>
      <w:szCs w:val="18"/>
    </w:rPr>
  </w:style>
  <w:style w:type="paragraph" w:styleId="3">
    <w:name w:val="footer"/>
    <w:basedOn w:val="1"/>
    <w:link w:val="15"/>
    <w:qFormat/>
    <w:uiPriority w:val="99"/>
    <w:pPr>
      <w:tabs>
        <w:tab w:val="center" w:pos="4153"/>
        <w:tab w:val="right" w:pos="8306"/>
      </w:tabs>
      <w:snapToGrid w:val="0"/>
      <w:jc w:val="left"/>
    </w:pPr>
    <w:rPr>
      <w:rFonts w:ascii="Times New Roman" w:hAnsi="Times New Roman" w:eastAsia="宋体" w:cs="Times New Roman"/>
      <w:sz w:val="18"/>
      <w:szCs w:val="18"/>
    </w:rPr>
  </w:style>
  <w:style w:type="paragraph" w:styleId="4">
    <w:name w:val="header"/>
    <w:basedOn w:val="1"/>
    <w:link w:val="14"/>
    <w:qFormat/>
    <w:uiPriority w:val="99"/>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5">
    <w:name w:val="toc 1"/>
    <w:basedOn w:val="1"/>
    <w:next w:val="1"/>
    <w:qFormat/>
    <w:uiPriority w:val="39"/>
    <w:rPr>
      <w:rFonts w:ascii="Times New Roman" w:hAnsi="Times New Roman" w:eastAsia="宋体" w:cs="Times New Roman"/>
      <w:szCs w:val="24"/>
    </w:rPr>
  </w:style>
  <w:style w:type="paragraph" w:styleId="6">
    <w:name w:val="footnote text"/>
    <w:basedOn w:val="1"/>
    <w:link w:val="18"/>
    <w:semiHidden/>
    <w:unhideWhenUsed/>
    <w:qFormat/>
    <w:uiPriority w:val="99"/>
    <w:pPr>
      <w:snapToGrid w:val="0"/>
      <w:jc w:val="left"/>
    </w:pPr>
    <w:rPr>
      <w:rFonts w:ascii="Calibri" w:hAnsi="Calibri" w:eastAsia="宋体" w:cs="Times New Roman"/>
      <w:sz w:val="18"/>
      <w:szCs w:val="18"/>
    </w:rPr>
  </w:style>
  <w:style w:type="paragraph" w:styleId="7">
    <w:name w:val="toc 2"/>
    <w:basedOn w:val="1"/>
    <w:next w:val="1"/>
    <w:qFormat/>
    <w:uiPriority w:val="39"/>
    <w:pPr>
      <w:ind w:left="420" w:leftChars="200"/>
    </w:pPr>
    <w:rPr>
      <w:rFonts w:ascii="Times New Roman" w:hAnsi="Times New Roman" w:eastAsia="宋体" w:cs="Times New Roman"/>
      <w:szCs w:val="24"/>
    </w:rPr>
  </w:style>
  <w:style w:type="paragraph" w:styleId="8">
    <w:name w:val="Normal (Web)"/>
    <w:basedOn w:val="1"/>
    <w:qFormat/>
    <w:uiPriority w:val="99"/>
    <w:pPr>
      <w:spacing w:before="100" w:beforeAutospacing="1" w:after="100" w:afterAutospacing="1"/>
      <w:jc w:val="left"/>
    </w:pPr>
    <w:rPr>
      <w:kern w:val="0"/>
      <w:sz w:val="24"/>
      <w:szCs w:val="24"/>
    </w:rPr>
  </w:style>
  <w:style w:type="character" w:styleId="11">
    <w:name w:val="page number"/>
    <w:semiHidden/>
    <w:unhideWhenUsed/>
    <w:qFormat/>
    <w:uiPriority w:val="99"/>
  </w:style>
  <w:style w:type="character" w:styleId="12">
    <w:name w:val="Hyperlink"/>
    <w:unhideWhenUsed/>
    <w:qFormat/>
    <w:uiPriority w:val="99"/>
    <w:rPr>
      <w:color w:val="0000FF"/>
      <w:u w:val="single"/>
    </w:rPr>
  </w:style>
  <w:style w:type="character" w:styleId="13">
    <w:name w:val="footnote reference"/>
    <w:semiHidden/>
    <w:unhideWhenUsed/>
    <w:qFormat/>
    <w:uiPriority w:val="99"/>
    <w:rPr>
      <w:vertAlign w:val="superscript"/>
    </w:rPr>
  </w:style>
  <w:style w:type="character" w:customStyle="1" w:styleId="14">
    <w:name w:val="页眉 Char"/>
    <w:basedOn w:val="10"/>
    <w:link w:val="4"/>
    <w:qFormat/>
    <w:uiPriority w:val="99"/>
    <w:rPr>
      <w:rFonts w:ascii="Times New Roman" w:hAnsi="Times New Roman" w:eastAsia="宋体" w:cs="Times New Roman"/>
      <w:sz w:val="18"/>
      <w:szCs w:val="18"/>
    </w:rPr>
  </w:style>
  <w:style w:type="character" w:customStyle="1" w:styleId="15">
    <w:name w:val="页脚 Char"/>
    <w:basedOn w:val="10"/>
    <w:link w:val="3"/>
    <w:qFormat/>
    <w:uiPriority w:val="99"/>
    <w:rPr>
      <w:rFonts w:ascii="Times New Roman" w:hAnsi="Times New Roman" w:eastAsia="宋体" w:cs="Times New Roman"/>
      <w:sz w:val="18"/>
      <w:szCs w:val="18"/>
    </w:rPr>
  </w:style>
  <w:style w:type="character" w:customStyle="1" w:styleId="16">
    <w:name w:val="批注框文本 Char"/>
    <w:basedOn w:val="10"/>
    <w:link w:val="2"/>
    <w:semiHidden/>
    <w:qFormat/>
    <w:uiPriority w:val="99"/>
    <w:rPr>
      <w:sz w:val="18"/>
      <w:szCs w:val="18"/>
    </w:rPr>
  </w:style>
  <w:style w:type="paragraph" w:customStyle="1" w:styleId="17">
    <w:name w:val="Default"/>
    <w:qFormat/>
    <w:uiPriority w:val="0"/>
    <w:pPr>
      <w:widowControl w:val="0"/>
      <w:autoSpaceDE w:val="0"/>
      <w:autoSpaceDN w:val="0"/>
      <w:adjustRightInd w:val="0"/>
    </w:pPr>
    <w:rPr>
      <w:rFonts w:ascii="Times New Roman" w:hAnsi="Times New Roman" w:cs="Times New Roman" w:eastAsiaTheme="minorEastAsia"/>
      <w:color w:val="000000"/>
      <w:sz w:val="24"/>
      <w:szCs w:val="24"/>
      <w:lang w:val="en-US" w:eastAsia="zh-CN" w:bidi="ar-SA"/>
    </w:rPr>
  </w:style>
  <w:style w:type="character" w:customStyle="1" w:styleId="18">
    <w:name w:val="脚注文本 Char"/>
    <w:basedOn w:val="10"/>
    <w:link w:val="6"/>
    <w:semiHidden/>
    <w:qFormat/>
    <w:uiPriority w:val="99"/>
    <w:rPr>
      <w:rFonts w:ascii="Calibri" w:hAnsi="Calibri" w:eastAsia="宋体" w:cs="Times New Roman"/>
      <w:sz w:val="18"/>
      <w:szCs w:val="18"/>
    </w:rPr>
  </w:style>
  <w:style w:type="character" w:customStyle="1" w:styleId="19">
    <w:name w:val="16"/>
    <w:basedOn w:val="10"/>
    <w:qFormat/>
    <w:uiPriority w:val="0"/>
    <w:rPr>
      <w:rFonts w:hint="default" w:ascii="Times New Roman" w:hAnsi="Times New Roman" w:cs="Times New Roman"/>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BC2365-FB77-444E-88F2-5A35A16CF887}">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15</Pages>
  <Words>856</Words>
  <Characters>4882</Characters>
  <Lines>40</Lines>
  <Paragraphs>11</Paragraphs>
  <TotalTime>98</TotalTime>
  <ScaleCrop>false</ScaleCrop>
  <LinksUpToDate>false</LinksUpToDate>
  <CharactersWithSpaces>5727</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2019-01-15T00:52:00Z</dcterms:created>
  <dc:creator>guest</dc:creator>
  <cp:lastModifiedBy>冯长刚</cp:lastModifiedBy>
  <cp:lastPrinted>2019-02-22T08:15:00Z</cp:lastPrinted>
  <dcterms:modified xsi:type="dcterms:W3CDTF">2023-09-01T14:10:18Z</dcterms:modified>
  <cp:revision>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F9FEB422AA224D5FA304646B0E264847</vt:lpwstr>
  </property>
</Properties>
</file>