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p>
    <w:p>
      <w:pPr>
        <w:widowControl/>
        <w:spacing w:line="48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附件</w:t>
      </w:r>
      <w:r>
        <w:rPr>
          <w:rFonts w:ascii="仿宋" w:hAnsi="仿宋" w:eastAsia="仿宋" w:cs="仿宋"/>
          <w:kern w:val="0"/>
          <w:sz w:val="32"/>
          <w:szCs w:val="32"/>
          <w:shd w:val="clear" w:color="auto" w:fill="FFFFFF"/>
        </w:rPr>
        <w:t>2</w:t>
      </w:r>
      <w:r>
        <w:rPr>
          <w:rFonts w:hint="eastAsia" w:ascii="仿宋" w:hAnsi="仿宋" w:eastAsia="仿宋" w:cs="仿宋"/>
          <w:kern w:val="0"/>
          <w:sz w:val="32"/>
          <w:szCs w:val="32"/>
          <w:shd w:val="clear" w:color="auto" w:fill="FFFFFF"/>
        </w:rPr>
        <w:t>：</w:t>
      </w:r>
    </w:p>
    <w:p>
      <w:pPr>
        <w:widowControl/>
        <w:spacing w:line="480" w:lineRule="exact"/>
        <w:jc w:val="left"/>
        <w:rPr>
          <w:rFonts w:ascii="仿宋" w:hAnsi="仿宋" w:eastAsia="仿宋" w:cs="仿宋"/>
          <w:kern w:val="0"/>
          <w:sz w:val="32"/>
          <w:szCs w:val="32"/>
          <w:shd w:val="clear" w:color="auto" w:fill="FFFFFF"/>
        </w:rPr>
      </w:pPr>
    </w:p>
    <w:p>
      <w:pPr>
        <w:spacing w:line="480" w:lineRule="exact"/>
        <w:rPr>
          <w:rFonts w:ascii="宋体"/>
          <w:b/>
          <w:sz w:val="44"/>
          <w:szCs w:val="44"/>
        </w:rPr>
      </w:pPr>
      <w:r>
        <w:rPr>
          <w:rFonts w:hint="eastAsia" w:ascii="宋体" w:hAnsi="宋体"/>
          <w:b/>
          <w:sz w:val="44"/>
          <w:szCs w:val="44"/>
        </w:rPr>
        <w:t>一、</w:t>
      </w:r>
    </w:p>
    <w:p>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cs="宋体"/>
          <w:b/>
          <w:color w:val="000000"/>
          <w:kern w:val="0"/>
          <w:sz w:val="44"/>
          <w:szCs w:val="44"/>
          <w:shd w:val="clear" w:color="auto" w:fill="FFFFFF"/>
        </w:rPr>
        <w:t>指标体系评分表</w:t>
      </w:r>
    </w:p>
    <w:tbl>
      <w:tblPr>
        <w:tblStyle w:val="10"/>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779" w:type="dxa"/>
            <w:vMerge w:val="restart"/>
            <w:vAlign w:val="center"/>
          </w:tcPr>
          <w:p>
            <w:pPr>
              <w:widowControl/>
              <w:spacing w:line="240" w:lineRule="exact"/>
              <w:jc w:val="center"/>
              <w:rPr>
                <w:b/>
              </w:rPr>
            </w:pPr>
            <w:r>
              <w:rPr>
                <w:rFonts w:hint="eastAsia" w:ascii="仿宋_GB2312" w:hAnsi="新宋体" w:eastAsia="仿宋_GB2312" w:cs="仿宋_GB2312"/>
                <w:b/>
                <w:kern w:val="0"/>
                <w:sz w:val="24"/>
                <w:szCs w:val="24"/>
              </w:rPr>
              <w:t>一级指标</w:t>
            </w:r>
          </w:p>
        </w:tc>
        <w:tc>
          <w:tcPr>
            <w:tcW w:w="743" w:type="dxa"/>
            <w:vMerge w:val="restart"/>
            <w:vAlign w:val="center"/>
          </w:tcPr>
          <w:p>
            <w:pPr>
              <w:widowControl/>
              <w:spacing w:line="240" w:lineRule="exact"/>
              <w:jc w:val="center"/>
              <w:rPr>
                <w:b/>
              </w:rPr>
            </w:pPr>
            <w:r>
              <w:rPr>
                <w:rFonts w:hint="eastAsia" w:ascii="仿宋_GB2312" w:hAnsi="新宋体" w:eastAsia="仿宋_GB2312" w:cs="仿宋_GB2312"/>
                <w:b/>
                <w:kern w:val="0"/>
                <w:sz w:val="24"/>
                <w:szCs w:val="24"/>
              </w:rPr>
              <w:t>二级指标</w:t>
            </w:r>
          </w:p>
        </w:tc>
        <w:tc>
          <w:tcPr>
            <w:tcW w:w="4711" w:type="dxa"/>
            <w:gridSpan w:val="2"/>
            <w:tcBorders>
              <w:right w:val="single" w:color="auto" w:sz="4" w:space="0"/>
            </w:tcBorders>
            <w:vAlign w:val="center"/>
          </w:tcPr>
          <w:p>
            <w:pPr>
              <w:widowControl/>
              <w:spacing w:line="240" w:lineRule="exact"/>
              <w:jc w:val="center"/>
              <w:rPr>
                <w:b/>
              </w:rPr>
            </w:pPr>
            <w:r>
              <w:rPr>
                <w:rFonts w:hint="eastAsia" w:ascii="仿宋_GB2312" w:hAnsi="新宋体" w:eastAsia="仿宋_GB2312" w:cs="仿宋_GB2312"/>
                <w:b/>
                <w:kern w:val="0"/>
                <w:sz w:val="24"/>
                <w:szCs w:val="24"/>
              </w:rPr>
              <w:t>三级指标</w:t>
            </w:r>
          </w:p>
        </w:tc>
        <w:tc>
          <w:tcPr>
            <w:tcW w:w="2373" w:type="dxa"/>
            <w:vMerge w:val="restart"/>
            <w:tcBorders>
              <w:left w:val="single" w:color="auto" w:sz="4" w:space="0"/>
              <w:right w:val="single" w:color="auto" w:sz="4" w:space="0"/>
            </w:tcBorders>
            <w:vAlign w:val="center"/>
          </w:tcPr>
          <w:p>
            <w:pPr>
              <w:widowControl/>
              <w:spacing w:line="240" w:lineRule="exact"/>
              <w:jc w:val="center"/>
              <w:rPr>
                <w:b/>
              </w:rPr>
            </w:pPr>
            <w:r>
              <w:rPr>
                <w:rFonts w:hint="eastAsia" w:ascii="仿宋_GB2312" w:hAnsi="新宋体" w:eastAsia="仿宋_GB2312" w:cs="仿宋_GB2312"/>
                <w:b/>
                <w:kern w:val="0"/>
                <w:sz w:val="24"/>
                <w:szCs w:val="24"/>
              </w:rPr>
              <w:t>评分标准</w:t>
            </w:r>
          </w:p>
        </w:tc>
        <w:tc>
          <w:tcPr>
            <w:tcW w:w="764" w:type="dxa"/>
            <w:vMerge w:val="restart"/>
            <w:tcBorders>
              <w:left w:val="single" w:color="auto" w:sz="4" w:space="0"/>
              <w:right w:val="single" w:color="auto" w:sz="4" w:space="0"/>
            </w:tcBorders>
            <w:vAlign w:val="center"/>
          </w:tcPr>
          <w:p>
            <w:pPr>
              <w:widowControl/>
              <w:spacing w:line="240" w:lineRule="exact"/>
              <w:jc w:val="left"/>
              <w:rPr>
                <w:b/>
              </w:rPr>
            </w:pPr>
            <w:r>
              <w:rPr>
                <w:rFonts w:hint="eastAsia"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79" w:type="dxa"/>
            <w:vMerge w:val="continue"/>
            <w:vAlign w:val="center"/>
          </w:tcPr>
          <w:p>
            <w:pPr>
              <w:rPr>
                <w:rFonts w:ascii="宋体"/>
                <w:szCs w:val="21"/>
              </w:rPr>
            </w:pPr>
          </w:p>
        </w:tc>
        <w:tc>
          <w:tcPr>
            <w:tcW w:w="743" w:type="dxa"/>
            <w:vMerge w:val="continue"/>
            <w:vAlign w:val="center"/>
          </w:tcPr>
          <w:p>
            <w:pPr>
              <w:rPr>
                <w:rFonts w:ascii="宋体"/>
                <w:szCs w:val="21"/>
              </w:rPr>
            </w:pPr>
          </w:p>
        </w:tc>
        <w:tc>
          <w:tcPr>
            <w:tcW w:w="1275" w:type="dxa"/>
            <w:tcBorders>
              <w:right w:val="single" w:color="auto" w:sz="4" w:space="0"/>
            </w:tcBorders>
            <w:vAlign w:val="center"/>
          </w:tcPr>
          <w:p>
            <w:pPr>
              <w:widowControl/>
              <w:spacing w:line="240" w:lineRule="exact"/>
              <w:jc w:val="center"/>
              <w:rPr>
                <w:b/>
              </w:rPr>
            </w:pPr>
            <w:r>
              <w:rPr>
                <w:rFonts w:hint="eastAsia" w:ascii="仿宋_GB2312" w:hAnsi="新宋体" w:eastAsia="仿宋_GB2312" w:cs="仿宋_GB2312"/>
                <w:b/>
                <w:kern w:val="0"/>
                <w:sz w:val="24"/>
                <w:szCs w:val="24"/>
              </w:rPr>
              <w:t>指标名称</w:t>
            </w:r>
          </w:p>
        </w:tc>
        <w:tc>
          <w:tcPr>
            <w:tcW w:w="3436" w:type="dxa"/>
            <w:tcBorders>
              <w:left w:val="single" w:color="auto" w:sz="4" w:space="0"/>
              <w:right w:val="single" w:color="auto" w:sz="4" w:space="0"/>
            </w:tcBorders>
            <w:vAlign w:val="center"/>
          </w:tcPr>
          <w:p>
            <w:pPr>
              <w:widowControl/>
              <w:spacing w:line="240" w:lineRule="exact"/>
              <w:jc w:val="center"/>
              <w:rPr>
                <w:b/>
              </w:rPr>
            </w:pPr>
            <w:r>
              <w:rPr>
                <w:rFonts w:hint="eastAsia" w:ascii="仿宋_GB2312" w:hAnsi="新宋体" w:eastAsia="仿宋_GB2312" w:cs="仿宋_GB2312"/>
                <w:b/>
                <w:kern w:val="0"/>
                <w:sz w:val="24"/>
                <w:szCs w:val="24"/>
              </w:rPr>
              <w:t>指标解释说明</w:t>
            </w:r>
          </w:p>
        </w:tc>
        <w:tc>
          <w:tcPr>
            <w:tcW w:w="2373" w:type="dxa"/>
            <w:vMerge w:val="continue"/>
            <w:tcBorders>
              <w:left w:val="single" w:color="auto" w:sz="4" w:space="0"/>
              <w:right w:val="single" w:color="auto" w:sz="4" w:space="0"/>
            </w:tcBorders>
            <w:vAlign w:val="center"/>
          </w:tcPr>
          <w:p>
            <w:pPr>
              <w:rPr>
                <w:rFonts w:ascii="宋体"/>
                <w:szCs w:val="21"/>
              </w:rPr>
            </w:pPr>
          </w:p>
        </w:tc>
        <w:tc>
          <w:tcPr>
            <w:tcW w:w="764" w:type="dxa"/>
            <w:vMerge w:val="continue"/>
            <w:tcBorders>
              <w:left w:val="single" w:color="auto"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79"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投入（</w:t>
            </w:r>
            <w:r>
              <w:rPr>
                <w:rFonts w:ascii="仿宋_GB2312" w:hAnsi="新宋体" w:eastAsia="仿宋_GB2312" w:cs="仿宋_GB2312"/>
                <w:kern w:val="0"/>
                <w:szCs w:val="21"/>
              </w:rPr>
              <w:t>10</w:t>
            </w:r>
            <w:r>
              <w:rPr>
                <w:rFonts w:hint="eastAsia" w:ascii="仿宋_GB2312" w:hAnsi="新宋体" w:eastAsia="仿宋_GB2312" w:cs="仿宋_GB2312"/>
                <w:kern w:val="0"/>
                <w:szCs w:val="21"/>
              </w:rPr>
              <w:t>）</w:t>
            </w: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绩效目标设定情况</w:t>
            </w:r>
          </w:p>
          <w:p>
            <w:pPr>
              <w:widowControl/>
              <w:spacing w:line="240" w:lineRule="exact"/>
              <w:jc w:val="left"/>
              <w:rPr>
                <w:color w:val="FF0000"/>
                <w:szCs w:val="21"/>
              </w:rPr>
            </w:pPr>
            <w:r>
              <w:rPr>
                <w:rFonts w:hint="eastAsia" w:ascii="仿宋_GB2312" w:hAnsi="新宋体" w:eastAsia="仿宋_GB2312" w:cs="仿宋_GB2312"/>
                <w:kern w:val="0"/>
                <w:szCs w:val="21"/>
              </w:rPr>
              <w:t>（</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p>
        </w:tc>
        <w:tc>
          <w:tcPr>
            <w:tcW w:w="1275" w:type="dxa"/>
            <w:tcBorders>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职责明确（</w:t>
            </w:r>
            <w:r>
              <w:rPr>
                <w:rFonts w:ascii="仿宋_GB2312" w:hAnsi="新宋体" w:eastAsia="仿宋_GB2312" w:cs="仿宋_GB2312"/>
                <w:kern w:val="0"/>
                <w:szCs w:val="21"/>
              </w:rPr>
              <w:t>1</w:t>
            </w:r>
            <w:r>
              <w:rPr>
                <w:rFonts w:hint="eastAsia" w:ascii="仿宋_GB2312" w:hAnsi="新宋体" w:eastAsia="仿宋_GB2312" w:cs="仿宋_GB2312"/>
                <w:kern w:val="0"/>
                <w:szCs w:val="21"/>
              </w:rPr>
              <w:t>分）</w:t>
            </w:r>
          </w:p>
        </w:tc>
        <w:tc>
          <w:tcPr>
            <w:tcW w:w="3436"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部门的职责设定是否符合“三定”方案中所赋予的职责，用以反映和评价部门工作的目的性与计划性。</w:t>
            </w:r>
          </w:p>
        </w:tc>
        <w:tc>
          <w:tcPr>
            <w:tcW w:w="2373"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符合（</w:t>
            </w:r>
            <w:r>
              <w:rPr>
                <w:rFonts w:ascii="仿宋_GB2312" w:hAnsi="新宋体" w:eastAsia="仿宋_GB2312" w:cs="仿宋_GB2312"/>
                <w:kern w:val="0"/>
                <w:szCs w:val="21"/>
              </w:rPr>
              <w:t>1</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不符合（</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bottom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4"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活动合规性（</w:t>
            </w: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p>
        </w:tc>
        <w:tc>
          <w:tcPr>
            <w:tcW w:w="3436"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部门活动符合市委、市政府的发展规划及本部门的年度工作安排与发展规划。</w:t>
            </w:r>
          </w:p>
        </w:tc>
        <w:tc>
          <w:tcPr>
            <w:tcW w:w="2373"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全部符合（</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其中一项不符合（</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bottom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活动合理性（</w:t>
            </w: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p>
        </w:tc>
        <w:tc>
          <w:tcPr>
            <w:tcW w:w="3436"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在活动目标设定时，将关键指标明细分解为具体的达成目标与工作任务。</w:t>
            </w:r>
          </w:p>
        </w:tc>
        <w:tc>
          <w:tcPr>
            <w:tcW w:w="2373" w:type="dxa"/>
            <w:tcBorders>
              <w:left w:val="single" w:color="auto"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全部符合（</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其中一项不符合（</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bottom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vAlign w:val="center"/>
          </w:tcPr>
          <w:p>
            <w:pPr>
              <w:spacing w:line="240" w:lineRule="exact"/>
              <w:rPr>
                <w:rFonts w:ascii="宋体"/>
                <w:szCs w:val="21"/>
              </w:rPr>
            </w:pP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预算配置情况</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top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在职人员控制率（</w:t>
            </w:r>
            <w:r>
              <w:rPr>
                <w:rFonts w:ascii="仿宋_GB2312" w:hAnsi="新宋体" w:eastAsia="仿宋_GB2312" w:cs="仿宋_GB2312"/>
                <w:kern w:val="0"/>
                <w:szCs w:val="21"/>
              </w:rPr>
              <w:t>1</w:t>
            </w:r>
            <w:r>
              <w:rPr>
                <w:rFonts w:hint="eastAsia" w:ascii="仿宋_GB2312" w:hAnsi="新宋体" w:eastAsia="仿宋_GB2312" w:cs="仿宋_GB2312"/>
                <w:kern w:val="0"/>
                <w:szCs w:val="21"/>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部门本年度实际在职人员数与编制数的比率，用以反映和评价部门对人员成本的控制程度。</w:t>
            </w:r>
          </w:p>
          <w:p>
            <w:pPr>
              <w:widowControl/>
              <w:spacing w:line="240" w:lineRule="exact"/>
              <w:jc w:val="left"/>
              <w:rPr>
                <w:szCs w:val="21"/>
              </w:rPr>
            </w:pPr>
            <w:r>
              <w:rPr>
                <w:rFonts w:hint="eastAsia" w:ascii="仿宋_GB2312" w:hAnsi="新宋体" w:eastAsia="仿宋_GB2312" w:cs="仿宋_GB2312"/>
                <w:kern w:val="0"/>
                <w:szCs w:val="21"/>
              </w:rPr>
              <w:t>在职人员控制率</w:t>
            </w:r>
            <w:r>
              <w:rPr>
                <w:rFonts w:ascii="仿宋_GB2312" w:hAnsi="新宋体" w:eastAsia="仿宋_GB2312" w:cs="仿宋_GB2312"/>
                <w:kern w:val="0"/>
                <w:szCs w:val="21"/>
              </w:rPr>
              <w:t>=</w:t>
            </w:r>
            <w:r>
              <w:rPr>
                <w:rFonts w:hint="eastAsia" w:ascii="仿宋_GB2312" w:hAnsi="新宋体" w:eastAsia="仿宋_GB2312" w:cs="仿宋_GB2312"/>
                <w:kern w:val="0"/>
                <w:szCs w:val="21"/>
              </w:rPr>
              <w:t>（在职人员数</w:t>
            </w:r>
            <w:r>
              <w:rPr>
                <w:rFonts w:ascii="仿宋_GB2312" w:hAnsi="新宋体" w:eastAsia="仿宋_GB2312" w:cs="仿宋_GB2312"/>
                <w:kern w:val="0"/>
                <w:szCs w:val="21"/>
              </w:rPr>
              <w:t>/</w:t>
            </w:r>
            <w:r>
              <w:rPr>
                <w:rFonts w:hint="eastAsia" w:ascii="仿宋_GB2312" w:hAnsi="新宋体" w:eastAsia="仿宋_GB2312" w:cs="仿宋_GB2312"/>
                <w:kern w:val="0"/>
                <w:szCs w:val="21"/>
              </w:rPr>
              <w:t>编制数）×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widowControl/>
              <w:spacing w:line="240" w:lineRule="exact"/>
              <w:jc w:val="left"/>
              <w:rPr>
                <w:szCs w:val="21"/>
              </w:rPr>
            </w:pPr>
            <w:r>
              <w:rPr>
                <w:rFonts w:hint="eastAsia" w:ascii="仿宋_GB2312" w:hAnsi="新宋体" w:eastAsia="仿宋_GB2312" w:cs="仿宋_GB2312"/>
                <w:kern w:val="0"/>
                <w:szCs w:val="21"/>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在职人员控制率小于或等于</w:t>
            </w:r>
            <w:r>
              <w:rPr>
                <w:rFonts w:ascii="仿宋_GB2312" w:hAnsi="新宋体" w:eastAsia="仿宋_GB2312" w:cs="仿宋_GB2312"/>
                <w:kern w:val="0"/>
                <w:szCs w:val="21"/>
              </w:rPr>
              <w:t>100%</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在职人员控制率大于或等于</w:t>
            </w:r>
            <w:r>
              <w:rPr>
                <w:rFonts w:ascii="仿宋_GB2312" w:hAnsi="新宋体" w:eastAsia="仿宋_GB2312" w:cs="仿宋_GB2312"/>
                <w:kern w:val="0"/>
                <w:szCs w:val="21"/>
              </w:rPr>
              <w:t>115%</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在职人员控制率在</w:t>
            </w:r>
            <w:r>
              <w:rPr>
                <w:rFonts w:ascii="仿宋_GB2312" w:hAnsi="新宋体" w:eastAsia="仿宋_GB2312" w:cs="仿宋_GB2312"/>
                <w:kern w:val="0"/>
                <w:szCs w:val="21"/>
              </w:rPr>
              <w:t>100%-115%</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分和满分之间计算确定：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=[max</w:t>
            </w:r>
            <w:r>
              <w:rPr>
                <w:rFonts w:hint="eastAsia" w:ascii="仿宋_GB2312" w:hAnsi="新宋体" w:eastAsia="仿宋_GB2312" w:cs="仿宋_GB2312"/>
                <w:kern w:val="0"/>
                <w:szCs w:val="21"/>
              </w:rPr>
              <w:t>（在职人员控制率）－某部门在职人员控制率</w:t>
            </w:r>
            <w:r>
              <w:rPr>
                <w:rFonts w:ascii="仿宋_GB2312" w:hAnsi="新宋体" w:eastAsia="仿宋_GB2312" w:cs="仿宋_GB2312"/>
                <w:kern w:val="0"/>
                <w:szCs w:val="21"/>
              </w:rPr>
              <w:t>]/[max</w:t>
            </w:r>
            <w:r>
              <w:rPr>
                <w:rFonts w:hint="eastAsia" w:ascii="仿宋_GB2312" w:hAnsi="新宋体" w:eastAsia="仿宋_GB2312" w:cs="仿宋_GB2312"/>
                <w:kern w:val="0"/>
                <w:szCs w:val="21"/>
              </w:rPr>
              <w:t>（在职人员控制率）－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（在职人员控制率）</w:t>
            </w:r>
            <w:r>
              <w:rPr>
                <w:rFonts w:ascii="仿宋_GB2312" w:hAnsi="新宋体" w:eastAsia="仿宋_GB2312" w:cs="仿宋_GB2312"/>
                <w:kern w:val="0"/>
                <w:szCs w:val="21"/>
              </w:rPr>
              <w:t>]</w:t>
            </w:r>
            <w:r>
              <w:rPr>
                <w:rFonts w:hint="eastAsia" w:ascii="仿宋_GB2312" w:hAnsi="新宋体" w:eastAsia="仿宋_GB2312" w:cs="仿宋_GB2312"/>
                <w:kern w:val="0"/>
                <w:szCs w:val="21"/>
              </w:rPr>
              <w:t>×该指标分值。</w:t>
            </w:r>
          </w:p>
        </w:tc>
        <w:tc>
          <w:tcPr>
            <w:tcW w:w="764" w:type="dxa"/>
            <w:tcBorders>
              <w:top w:val="single" w:color="auto" w:sz="4" w:space="0"/>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restart"/>
            <w:vAlign w:val="center"/>
          </w:tcPr>
          <w:p>
            <w:pPr>
              <w:spacing w:line="240" w:lineRule="exact"/>
              <w:rPr>
                <w:rFonts w:ascii="宋体"/>
                <w:szCs w:val="21"/>
              </w:rPr>
            </w:pPr>
          </w:p>
        </w:tc>
        <w:tc>
          <w:tcPr>
            <w:tcW w:w="743" w:type="dxa"/>
            <w:vMerge w:val="continue"/>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“三公经费”变动率（</w:t>
            </w:r>
            <w:r>
              <w:rPr>
                <w:rFonts w:ascii="仿宋" w:hAnsi="仿宋" w:eastAsia="仿宋" w:cs="仿宋"/>
                <w:color w:val="000000"/>
                <w:kern w:val="0"/>
                <w:szCs w:val="21"/>
              </w:rPr>
              <w:t>2</w:t>
            </w:r>
            <w:r>
              <w:rPr>
                <w:rFonts w:hint="eastAsia" w:ascii="仿宋" w:hAnsi="仿宋" w:eastAsia="仿宋" w:cs="仿宋"/>
                <w:color w:val="000000"/>
                <w:kern w:val="0"/>
                <w:szCs w:val="21"/>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部门本年度“三公经费”预算数与上年度“三公经费”预算数的变动比率，用以反映和考核部门对控制重点行政成本的努力程度。“三公经费”变动率</w:t>
            </w:r>
            <w:r>
              <w:rPr>
                <w:rFonts w:ascii="仿宋" w:hAnsi="仿宋" w:eastAsia="仿宋" w:cs="仿宋"/>
                <w:color w:val="000000"/>
                <w:kern w:val="0"/>
                <w:szCs w:val="21"/>
              </w:rPr>
              <w:t>=[</w:t>
            </w:r>
            <w:r>
              <w:rPr>
                <w:rFonts w:hint="eastAsia" w:ascii="仿宋" w:hAnsi="仿宋" w:eastAsia="仿宋" w:cs="仿宋"/>
                <w:color w:val="000000"/>
                <w:kern w:val="0"/>
                <w:szCs w:val="21"/>
              </w:rPr>
              <w:t>（本年度“三公经费”总额</w:t>
            </w:r>
            <w:r>
              <w:rPr>
                <w:rFonts w:ascii="仿宋" w:hAnsi="仿宋" w:eastAsia="仿宋" w:cs="仿宋"/>
                <w:color w:val="000000"/>
                <w:kern w:val="0"/>
                <w:szCs w:val="21"/>
              </w:rPr>
              <w:t>-</w:t>
            </w:r>
            <w:r>
              <w:rPr>
                <w:rFonts w:hint="eastAsia" w:ascii="仿宋" w:hAnsi="仿宋" w:eastAsia="仿宋" w:cs="仿宋"/>
                <w:color w:val="000000"/>
                <w:kern w:val="0"/>
                <w:szCs w:val="21"/>
              </w:rPr>
              <w:t>上年度“三公经费”总额）</w:t>
            </w:r>
            <w:r>
              <w:rPr>
                <w:rFonts w:ascii="仿宋" w:hAnsi="仿宋" w:eastAsia="仿宋" w:cs="仿宋"/>
                <w:color w:val="000000"/>
                <w:kern w:val="0"/>
                <w:szCs w:val="21"/>
              </w:rPr>
              <w:t>/</w:t>
            </w:r>
            <w:r>
              <w:rPr>
                <w:rFonts w:hint="eastAsia" w:ascii="仿宋" w:hAnsi="仿宋" w:eastAsia="仿宋" w:cs="仿宋"/>
                <w:color w:val="000000"/>
                <w:kern w:val="0"/>
                <w:szCs w:val="21"/>
              </w:rPr>
              <w:t>上年度“三公经费”总额</w:t>
            </w:r>
            <w:r>
              <w:rPr>
                <w:rFonts w:ascii="仿宋" w:hAnsi="仿宋" w:eastAsia="仿宋" w:cs="仿宋"/>
                <w:color w:val="000000"/>
                <w:kern w:val="0"/>
                <w:szCs w:val="21"/>
              </w:rPr>
              <w:t>]</w:t>
            </w:r>
            <w:r>
              <w:rPr>
                <w:rFonts w:hint="eastAsia" w:ascii="仿宋" w:hAnsi="仿宋" w:eastAsia="仿宋" w:cs="仿宋"/>
                <w:color w:val="000000"/>
                <w:kern w:val="0"/>
                <w:szCs w:val="21"/>
              </w:rPr>
              <w:t>×</w:t>
            </w:r>
            <w:r>
              <w:rPr>
                <w:rFonts w:ascii="仿宋" w:hAnsi="仿宋" w:eastAsia="仿宋" w:cs="仿宋"/>
                <w:color w:val="000000"/>
                <w:kern w:val="0"/>
                <w:szCs w:val="21"/>
              </w:rPr>
              <w:t>100%</w:t>
            </w:r>
            <w:r>
              <w:rPr>
                <w:rFonts w:hint="eastAsia" w:ascii="仿宋" w:hAnsi="仿宋" w:eastAsia="仿宋" w:cs="仿宋"/>
                <w:color w:val="000000"/>
                <w:kern w:val="0"/>
                <w:szCs w:val="21"/>
              </w:rPr>
              <w:t>。</w:t>
            </w:r>
            <w:r>
              <w:rPr>
                <w:rFonts w:ascii="仿宋" w:hAnsi="仿宋" w:eastAsia="仿宋" w:cs="仿宋"/>
                <w:color w:val="000000"/>
                <w:kern w:val="0"/>
                <w:szCs w:val="21"/>
              </w:rPr>
              <w:br w:type="textWrapping"/>
            </w:r>
            <w:r>
              <w:rPr>
                <w:rFonts w:hint="eastAsia" w:ascii="仿宋" w:hAnsi="仿宋" w:eastAsia="仿宋" w:cs="仿宋"/>
                <w:color w:val="000000"/>
                <w:kern w:val="0"/>
                <w:szCs w:val="21"/>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“三公经费”变动率</w:t>
            </w:r>
            <w:r>
              <w:rPr>
                <w:rFonts w:hint="eastAsia" w:ascii="仿宋_GB2312" w:hAnsi="新宋体" w:eastAsia="仿宋_GB2312" w:cs="仿宋_GB2312"/>
                <w:kern w:val="0"/>
                <w:szCs w:val="21"/>
              </w:rPr>
              <w:t>小于或等于</w:t>
            </w:r>
            <w:r>
              <w:rPr>
                <w:rFonts w:ascii="仿宋_GB2312" w:hAnsi="新宋体" w:eastAsia="仿宋_GB2312" w:cs="仿宋_GB2312"/>
                <w:kern w:val="0"/>
                <w:szCs w:val="21"/>
              </w:rPr>
              <w:t>-5%</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“三公经费”变动率</w:t>
            </w:r>
            <w:r>
              <w:rPr>
                <w:rFonts w:hint="eastAsia" w:ascii="仿宋_GB2312" w:hAnsi="新宋体" w:eastAsia="仿宋_GB2312" w:cs="仿宋_GB2312"/>
                <w:kern w:val="0"/>
                <w:szCs w:val="21"/>
              </w:rPr>
              <w:t>大于或等于</w:t>
            </w:r>
            <w:r>
              <w:rPr>
                <w:rFonts w:ascii="仿宋_GB2312" w:hAnsi="新宋体" w:eastAsia="仿宋_GB2312" w:cs="仿宋_GB2312"/>
                <w:kern w:val="0"/>
                <w:szCs w:val="21"/>
              </w:rPr>
              <w:t>10%</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在职人员控制率在</w:t>
            </w:r>
            <w:r>
              <w:rPr>
                <w:rFonts w:ascii="仿宋_GB2312" w:hAnsi="新宋体" w:eastAsia="仿宋_GB2312" w:cs="仿宋_GB2312"/>
                <w:kern w:val="0"/>
                <w:szCs w:val="21"/>
              </w:rPr>
              <w:t>-5%-10%</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hint="eastAsia" w:ascii="仿宋_GB2312" w:hAnsi="新宋体" w:eastAsia="仿宋_GB2312" w:cs="仿宋_GB2312"/>
                <w:kern w:val="0"/>
                <w:szCs w:val="21"/>
                <w:lang w:val="en-US" w:eastAsia="zh-CN"/>
              </w:rPr>
              <w:t>2</w:t>
            </w:r>
            <w:r>
              <w:rPr>
                <w:rFonts w:hint="eastAsia" w:ascii="仿宋_GB2312" w:hAnsi="新宋体" w:eastAsia="仿宋_GB2312" w:cs="仿宋_GB2312"/>
                <w:kern w:val="0"/>
                <w:szCs w:val="21"/>
              </w:rPr>
              <w:t>和满分之间计算确定：</w:t>
            </w:r>
          </w:p>
          <w:p>
            <w:pPr>
              <w:widowControl/>
              <w:spacing w:line="240" w:lineRule="exact"/>
              <w:jc w:val="left"/>
              <w:textAlignment w:val="center"/>
              <w:rPr>
                <w:rFonts w:ascii="仿宋" w:hAnsi="仿宋" w:eastAsia="仿宋" w:cs="仿宋"/>
                <w:kern w:val="0"/>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=[max</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]/[max</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hint="eastAsia" w:ascii="仿宋_GB2312" w:hAnsi="新宋体" w:eastAsia="仿宋_GB2312" w:cs="仿宋_GB2312"/>
                <w:kern w:val="0"/>
                <w:szCs w:val="21"/>
              </w:rPr>
              <w:t>）－</w:t>
            </w:r>
            <w:r>
              <w:rPr>
                <w:rFonts w:ascii="仿宋_GB2312" w:hAnsi="新宋体" w:eastAsia="仿宋_GB2312" w:cs="仿宋_GB2312"/>
                <w:kern w:val="0"/>
                <w:szCs w:val="21"/>
              </w:rPr>
              <w:t>min</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hint="eastAsia" w:ascii="仿宋_GB2312" w:hAnsi="新宋体" w:eastAsia="仿宋_GB2312" w:cs="仿宋_GB2312"/>
                <w:kern w:val="0"/>
                <w:szCs w:val="21"/>
              </w:rPr>
              <w:t>）</w:t>
            </w:r>
            <w:r>
              <w:rPr>
                <w:rFonts w:ascii="仿宋_GB2312" w:hAnsi="新宋体" w:eastAsia="仿宋_GB2312" w:cs="仿宋_GB2312"/>
                <w:kern w:val="0"/>
                <w:szCs w:val="21"/>
              </w:rPr>
              <w:t>]</w:t>
            </w:r>
            <w:r>
              <w:rPr>
                <w:rFonts w:hint="eastAsia" w:ascii="仿宋_GB2312" w:hAnsi="新宋体" w:eastAsia="仿宋_GB2312" w:cs="仿宋_GB2312"/>
                <w:kern w:val="0"/>
                <w:szCs w:val="21"/>
              </w:rPr>
              <w:t>×该指标分值。</w:t>
            </w:r>
          </w:p>
        </w:tc>
        <w:tc>
          <w:tcPr>
            <w:tcW w:w="764" w:type="dxa"/>
            <w:tcBorders>
              <w:top w:val="single" w:color="auto" w:sz="4" w:space="0"/>
              <w:left w:val="single" w:color="auto" w:sz="4" w:space="0"/>
            </w:tcBorders>
            <w:vAlign w:val="center"/>
          </w:tcPr>
          <w:p>
            <w:pPr>
              <w:widowControl/>
              <w:spacing w:line="240" w:lineRule="exact"/>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vAlign w:val="center"/>
          </w:tcPr>
          <w:p>
            <w:pPr>
              <w:spacing w:line="240" w:lineRule="exact"/>
              <w:rPr>
                <w:rFonts w:ascii="宋体"/>
                <w:szCs w:val="21"/>
              </w:rPr>
            </w:pPr>
          </w:p>
        </w:tc>
        <w:tc>
          <w:tcPr>
            <w:tcW w:w="743" w:type="dxa"/>
            <w:vMerge w:val="continue"/>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重点支出安排率（</w:t>
            </w:r>
            <w:r>
              <w:rPr>
                <w:rFonts w:ascii="仿宋" w:hAnsi="仿宋" w:eastAsia="仿宋" w:cs="仿宋"/>
                <w:color w:val="000000"/>
                <w:kern w:val="0"/>
                <w:szCs w:val="21"/>
              </w:rPr>
              <w:t>2</w:t>
            </w:r>
            <w:r>
              <w:rPr>
                <w:rFonts w:hint="eastAsia" w:ascii="仿宋" w:hAnsi="仿宋" w:eastAsia="仿宋" w:cs="仿宋"/>
                <w:color w:val="000000"/>
                <w:kern w:val="0"/>
                <w:szCs w:val="21"/>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w:t>
            </w:r>
            <w:r>
              <w:rPr>
                <w:rFonts w:ascii="仿宋" w:hAnsi="仿宋" w:eastAsia="仿宋" w:cs="仿宋"/>
                <w:color w:val="000000"/>
                <w:kern w:val="0"/>
                <w:szCs w:val="21"/>
              </w:rPr>
              <w:t>=</w:t>
            </w:r>
            <w:r>
              <w:rPr>
                <w:rFonts w:hint="eastAsia" w:ascii="仿宋" w:hAnsi="仿宋" w:eastAsia="仿宋" w:cs="仿宋"/>
                <w:color w:val="000000"/>
                <w:kern w:val="0"/>
                <w:szCs w:val="21"/>
              </w:rPr>
              <w:t>（重点项目支出</w:t>
            </w:r>
            <w:r>
              <w:rPr>
                <w:rFonts w:ascii="仿宋" w:hAnsi="仿宋" w:eastAsia="仿宋" w:cs="仿宋"/>
                <w:color w:val="000000"/>
                <w:kern w:val="0"/>
                <w:szCs w:val="21"/>
              </w:rPr>
              <w:t>/</w:t>
            </w:r>
            <w:r>
              <w:rPr>
                <w:rFonts w:hint="eastAsia" w:ascii="仿宋" w:hAnsi="仿宋" w:eastAsia="仿宋" w:cs="仿宋"/>
                <w:color w:val="000000"/>
                <w:kern w:val="0"/>
                <w:szCs w:val="21"/>
              </w:rPr>
              <w:t>项目总支出）×</w:t>
            </w:r>
            <w:r>
              <w:rPr>
                <w:rFonts w:ascii="仿宋" w:hAnsi="仿宋" w:eastAsia="仿宋" w:cs="仿宋"/>
                <w:color w:val="000000"/>
                <w:kern w:val="0"/>
                <w:szCs w:val="21"/>
              </w:rPr>
              <w:t>100%</w:t>
            </w:r>
            <w:r>
              <w:rPr>
                <w:rFonts w:hint="eastAsia" w:ascii="仿宋" w:hAnsi="仿宋" w:eastAsia="仿宋" w:cs="仿宋"/>
                <w:color w:val="000000"/>
                <w:kern w:val="0"/>
                <w:szCs w:val="21"/>
              </w:rPr>
              <w:t>。</w:t>
            </w:r>
            <w:r>
              <w:rPr>
                <w:rFonts w:ascii="仿宋" w:hAnsi="仿宋" w:eastAsia="仿宋" w:cs="仿宋"/>
                <w:color w:val="000000"/>
                <w:kern w:val="0"/>
                <w:szCs w:val="21"/>
              </w:rPr>
              <w:br w:type="textWrapping"/>
            </w: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r>
              <w:rPr>
                <w:rFonts w:ascii="仿宋" w:hAnsi="仿宋" w:eastAsia="仿宋" w:cs="仿宋"/>
                <w:color w:val="000000"/>
                <w:kern w:val="0"/>
                <w:szCs w:val="21"/>
              </w:rPr>
              <w:br w:type="textWrapping"/>
            </w:r>
            <w:r>
              <w:rPr>
                <w:rFonts w:hint="eastAsia" w:ascii="仿宋" w:hAnsi="仿宋" w:eastAsia="仿宋" w:cs="仿宋"/>
                <w:color w:val="000000"/>
                <w:kern w:val="0"/>
                <w:szCs w:val="21"/>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大于或等于</w:t>
            </w:r>
            <w:r>
              <w:rPr>
                <w:rFonts w:ascii="仿宋_GB2312" w:hAnsi="新宋体" w:eastAsia="仿宋_GB2312" w:cs="仿宋_GB2312"/>
                <w:kern w:val="0"/>
                <w:szCs w:val="21"/>
              </w:rPr>
              <w:t>95%</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小于或等于</w:t>
            </w:r>
            <w:r>
              <w:rPr>
                <w:rFonts w:ascii="仿宋_GB2312" w:hAnsi="新宋体" w:eastAsia="仿宋_GB2312" w:cs="仿宋_GB2312"/>
                <w:kern w:val="0"/>
                <w:szCs w:val="21"/>
              </w:rPr>
              <w:t>85%</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在</w:t>
            </w:r>
            <w:r>
              <w:rPr>
                <w:rFonts w:ascii="仿宋_GB2312" w:hAnsi="新宋体" w:eastAsia="仿宋_GB2312" w:cs="仿宋_GB2312"/>
                <w:kern w:val="0"/>
                <w:szCs w:val="21"/>
              </w:rPr>
              <w:t>85%-95%</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分和满分之间计算确定：</w:t>
            </w:r>
          </w:p>
          <w:p>
            <w:pPr>
              <w:widowControl/>
              <w:spacing w:line="240" w:lineRule="exact"/>
              <w:jc w:val="left"/>
              <w:textAlignment w:val="center"/>
              <w:rPr>
                <w:rFonts w:ascii="仿宋" w:hAnsi="仿宋" w:eastAsia="仿宋" w:cs="仿宋"/>
                <w:kern w:val="0"/>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w:t>
            </w:r>
            <w:r>
              <w:rPr>
                <w:rFonts w:ascii="仿宋_GB2312" w:hAnsi="新宋体" w:eastAsia="仿宋_GB2312" w:cs="仿宋_GB2312"/>
                <w:kern w:val="0"/>
                <w:szCs w:val="21"/>
              </w:rPr>
              <w:t>min</w:t>
            </w:r>
            <w:r>
              <w:rPr>
                <w:rFonts w:hint="eastAsia" w:ascii="仿宋_GB2312" w:hAnsi="新宋体" w:eastAsia="仿宋_GB2312" w:cs="仿宋_GB2312"/>
                <w:kern w:val="0"/>
                <w:szCs w:val="21"/>
              </w:rPr>
              <w:t>（</w:t>
            </w:r>
            <w:r>
              <w:rPr>
                <w:rFonts w:hint="eastAsia" w:ascii="仿宋" w:hAnsi="仿宋" w:eastAsia="仿宋" w:cs="仿宋"/>
                <w:color w:val="000000"/>
                <w:kern w:val="0"/>
                <w:szCs w:val="21"/>
              </w:rPr>
              <w:t>重点支出安排率</w:t>
            </w:r>
            <w:r>
              <w:rPr>
                <w:rFonts w:hint="eastAsia" w:ascii="仿宋_GB2312" w:hAnsi="新宋体" w:eastAsia="仿宋_GB2312" w:cs="仿宋_GB2312"/>
                <w:kern w:val="0"/>
                <w:szCs w:val="21"/>
              </w:rPr>
              <w:t>）</w:t>
            </w:r>
            <w:r>
              <w:rPr>
                <w:rFonts w:ascii="仿宋_GB2312" w:hAnsi="新宋体" w:eastAsia="仿宋_GB2312" w:cs="仿宋_GB2312"/>
                <w:kern w:val="0"/>
                <w:szCs w:val="21"/>
              </w:rPr>
              <w:t>]</w:t>
            </w:r>
            <w:r>
              <w:rPr>
                <w:rFonts w:hint="eastAsia" w:ascii="仿宋_GB2312" w:hAnsi="新宋体" w:eastAsia="仿宋_GB2312" w:cs="仿宋_GB2312"/>
                <w:kern w:val="0"/>
                <w:szCs w:val="21"/>
              </w:rPr>
              <w:t>×该指标分值。</w:t>
            </w:r>
          </w:p>
        </w:tc>
        <w:tc>
          <w:tcPr>
            <w:tcW w:w="764" w:type="dxa"/>
            <w:tcBorders>
              <w:top w:val="single" w:color="auto" w:sz="4" w:space="0"/>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过程</w:t>
            </w:r>
            <w:r>
              <w:rPr>
                <w:rFonts w:ascii="仿宋_GB2312" w:hAnsi="新宋体" w:eastAsia="仿宋_GB2312" w:cs="仿宋_GB2312"/>
                <w:kern w:val="0"/>
                <w:szCs w:val="21"/>
              </w:rPr>
              <w:t>(45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预算执行情况</w:t>
            </w:r>
            <w:r>
              <w:rPr>
                <w:rFonts w:ascii="仿宋_GB2312" w:hAnsi="新宋体" w:eastAsia="仿宋_GB2312" w:cs="仿宋_GB2312"/>
                <w:kern w:val="0"/>
                <w:szCs w:val="21"/>
              </w:rPr>
              <w:t>(25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预算完成率（</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通过对部门本年度预算完成数与预算数的比较，反映和评价部门预算的完成程度。</w:t>
            </w:r>
          </w:p>
          <w:p>
            <w:pPr>
              <w:widowControl/>
              <w:spacing w:line="240" w:lineRule="exact"/>
              <w:jc w:val="left"/>
              <w:rPr>
                <w:szCs w:val="21"/>
              </w:rPr>
            </w:pPr>
            <w:r>
              <w:rPr>
                <w:rFonts w:hint="eastAsia" w:ascii="仿宋_GB2312" w:hAnsi="新宋体" w:eastAsia="仿宋_GB2312" w:cs="仿宋_GB2312"/>
                <w:kern w:val="0"/>
                <w:szCs w:val="21"/>
              </w:rPr>
              <w:t>预算完成率</w:t>
            </w:r>
            <w:r>
              <w:rPr>
                <w:rFonts w:ascii="仿宋_GB2312" w:hAnsi="新宋体" w:eastAsia="仿宋_GB2312" w:cs="仿宋_GB2312"/>
                <w:kern w:val="0"/>
                <w:szCs w:val="21"/>
              </w:rPr>
              <w:t>=</w:t>
            </w:r>
            <w:r>
              <w:rPr>
                <w:rFonts w:hint="eastAsia" w:ascii="仿宋_GB2312" w:hAnsi="新宋体" w:eastAsia="仿宋_GB2312" w:cs="仿宋_GB2312"/>
                <w:kern w:val="0"/>
                <w:szCs w:val="21"/>
              </w:rPr>
              <w:t>（预算完成数</w:t>
            </w:r>
            <w:r>
              <w:rPr>
                <w:rFonts w:ascii="仿宋_GB2312" w:hAnsi="新宋体" w:eastAsia="仿宋_GB2312" w:cs="仿宋_GB2312"/>
                <w:kern w:val="0"/>
                <w:szCs w:val="21"/>
              </w:rPr>
              <w:t>/</w:t>
            </w:r>
            <w:r>
              <w:rPr>
                <w:rFonts w:hint="eastAsia" w:ascii="仿宋_GB2312" w:hAnsi="新宋体" w:eastAsia="仿宋_GB2312" w:cs="仿宋_GB2312"/>
                <w:kern w:val="0"/>
                <w:szCs w:val="21"/>
              </w:rPr>
              <w:t>预算数）×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预算完成率大于或等于</w:t>
            </w:r>
            <w:r>
              <w:rPr>
                <w:rFonts w:ascii="仿宋_GB2312" w:hAnsi="新宋体" w:eastAsia="仿宋_GB2312" w:cs="仿宋_GB2312"/>
                <w:kern w:val="0"/>
                <w:szCs w:val="21"/>
              </w:rPr>
              <w:t>95%</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预算完成率小于或等于</w:t>
            </w:r>
            <w:r>
              <w:rPr>
                <w:rFonts w:ascii="仿宋_GB2312" w:hAnsi="新宋体" w:eastAsia="仿宋_GB2312" w:cs="仿宋_GB2312"/>
                <w:kern w:val="0"/>
                <w:szCs w:val="21"/>
              </w:rPr>
              <w:t>85%</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预算完成率在</w:t>
            </w:r>
            <w:r>
              <w:rPr>
                <w:rFonts w:ascii="仿宋_GB2312" w:hAnsi="新宋体" w:eastAsia="仿宋_GB2312" w:cs="仿宋_GB2312"/>
                <w:kern w:val="0"/>
                <w:szCs w:val="21"/>
              </w:rPr>
              <w:t>85%-95%</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分和满分之间计算确定：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某部门预算完成率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（预算完成率）</w:t>
            </w:r>
            <w:r>
              <w:rPr>
                <w:rFonts w:ascii="仿宋_GB2312" w:hAnsi="新宋体" w:eastAsia="仿宋_GB2312" w:cs="仿宋_GB2312"/>
                <w:kern w:val="0"/>
                <w:szCs w:val="21"/>
              </w:rPr>
              <w:t>]/[max</w:t>
            </w:r>
            <w:r>
              <w:rPr>
                <w:rFonts w:hint="eastAsia" w:ascii="仿宋_GB2312" w:hAnsi="新宋体" w:eastAsia="仿宋_GB2312" w:cs="仿宋_GB2312"/>
                <w:kern w:val="0"/>
                <w:szCs w:val="21"/>
              </w:rPr>
              <w:t>（预算完成率）－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（预算完成率）</w:t>
            </w:r>
            <w:r>
              <w:rPr>
                <w:rFonts w:ascii="仿宋_GB2312" w:hAnsi="新宋体" w:eastAsia="仿宋_GB2312" w:cs="仿宋_GB2312"/>
                <w:kern w:val="0"/>
                <w:szCs w:val="21"/>
              </w:rPr>
              <w:t>]</w:t>
            </w:r>
            <w:r>
              <w:rPr>
                <w:rFonts w:hint="eastAsia" w:ascii="仿宋_GB2312" w:hAnsi="新宋体" w:eastAsia="仿宋_GB2312" w:cs="仿宋_GB2312"/>
                <w:kern w:val="0"/>
                <w:szCs w:val="21"/>
              </w:rPr>
              <w:t>×该指标分值。</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预算调整率（</w:t>
            </w:r>
            <w:r>
              <w:rPr>
                <w:rFonts w:ascii="仿宋_GB2312" w:hAnsi="新宋体" w:eastAsia="仿宋_GB2312" w:cs="仿宋_GB2312"/>
                <w:kern w:val="0"/>
                <w:szCs w:val="21"/>
              </w:rPr>
              <w:t>3</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部门本年度预算调整数与预算数的比率，用以反映和评价部门预算的调整程度。</w:t>
            </w:r>
          </w:p>
          <w:p>
            <w:pPr>
              <w:widowControl/>
              <w:spacing w:line="240" w:lineRule="exact"/>
              <w:jc w:val="left"/>
              <w:rPr>
                <w:szCs w:val="21"/>
              </w:rPr>
            </w:pPr>
            <w:r>
              <w:rPr>
                <w:rFonts w:hint="eastAsia" w:ascii="仿宋_GB2312" w:hAnsi="新宋体" w:eastAsia="仿宋_GB2312" w:cs="仿宋_GB2312"/>
                <w:kern w:val="0"/>
                <w:szCs w:val="21"/>
              </w:rPr>
              <w:t>预算调整率</w:t>
            </w:r>
            <w:r>
              <w:rPr>
                <w:rFonts w:ascii="仿宋_GB2312" w:hAnsi="新宋体" w:eastAsia="仿宋_GB2312" w:cs="仿宋_GB2312"/>
                <w:kern w:val="0"/>
                <w:szCs w:val="21"/>
              </w:rPr>
              <w:t>=</w:t>
            </w:r>
            <w:r>
              <w:rPr>
                <w:rFonts w:hint="eastAsia" w:ascii="仿宋_GB2312" w:hAnsi="新宋体" w:eastAsia="仿宋_GB2312" w:cs="仿宋_GB2312"/>
                <w:kern w:val="0"/>
                <w:szCs w:val="21"/>
              </w:rPr>
              <w:t>（预算调整数</w:t>
            </w:r>
            <w:r>
              <w:rPr>
                <w:rFonts w:ascii="仿宋_GB2312" w:hAnsi="新宋体" w:eastAsia="仿宋_GB2312" w:cs="仿宋_GB2312"/>
                <w:kern w:val="0"/>
                <w:szCs w:val="21"/>
              </w:rPr>
              <w:t>/</w:t>
            </w:r>
            <w:r>
              <w:rPr>
                <w:rFonts w:hint="eastAsia" w:ascii="仿宋_GB2312" w:hAnsi="新宋体" w:eastAsia="仿宋_GB2312" w:cs="仿宋_GB2312"/>
                <w:kern w:val="0"/>
                <w:szCs w:val="21"/>
              </w:rPr>
              <w:t>预算数）×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预算调整率等于</w:t>
            </w:r>
            <w:r>
              <w:rPr>
                <w:rFonts w:ascii="仿宋_GB2312" w:hAnsi="新宋体" w:eastAsia="仿宋_GB2312" w:cs="仿宋_GB2312"/>
                <w:kern w:val="0"/>
                <w:szCs w:val="21"/>
              </w:rPr>
              <w:t>0</w:t>
            </w:r>
            <w:r>
              <w:rPr>
                <w:rFonts w:hint="eastAsia" w:ascii="仿宋_GB2312" w:hAnsi="新宋体" w:eastAsia="仿宋_GB2312" w:cs="仿宋_GB2312"/>
                <w:kern w:val="0"/>
                <w:szCs w:val="21"/>
              </w:rPr>
              <w:t>的，得满分；</w:t>
            </w:r>
            <w:r>
              <w:rPr>
                <w:rFonts w:ascii="仿宋_GB2312" w:hAnsi="新宋体" w:eastAsia="仿宋_GB2312" w:cs="仿宋_GB2312"/>
                <w:kern w:val="0"/>
                <w:szCs w:val="21"/>
              </w:rPr>
              <w:t xml:space="preserve"> </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预算调整率大于或等于</w:t>
            </w:r>
            <w:r>
              <w:rPr>
                <w:rFonts w:ascii="仿宋_GB2312" w:hAnsi="新宋体" w:eastAsia="仿宋_GB2312" w:cs="仿宋_GB2312"/>
                <w:kern w:val="0"/>
                <w:szCs w:val="21"/>
              </w:rPr>
              <w:t>10%</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预算调整率在</w:t>
            </w:r>
            <w:r>
              <w:rPr>
                <w:rFonts w:ascii="仿宋_GB2312" w:hAnsi="新宋体" w:eastAsia="仿宋_GB2312" w:cs="仿宋_GB2312"/>
                <w:kern w:val="0"/>
                <w:szCs w:val="21"/>
              </w:rPr>
              <w:t>0-10%</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分和满分之间确定：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（预算调整率）</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某部门预算调整率］</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（预算调整率）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（预算调整率）］×该指标分值。</w:t>
            </w:r>
          </w:p>
        </w:tc>
        <w:tc>
          <w:tcPr>
            <w:tcW w:w="764" w:type="dxa"/>
            <w:tcBorders>
              <w:left w:val="single" w:color="auto" w:sz="4" w:space="0"/>
            </w:tcBorders>
            <w:vAlign w:val="center"/>
          </w:tcPr>
          <w:p>
            <w:pPr>
              <w:widowControl/>
              <w:spacing w:line="240" w:lineRule="exact"/>
              <w:jc w:val="left"/>
              <w:rPr>
                <w:rFonts w:hint="default" w:eastAsia="宋体"/>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rPr>
              <w:t>支付进度率</w:t>
            </w:r>
            <w:r>
              <w:rPr>
                <w:rFonts w:hint="eastAsia" w:ascii="仿宋_GB2312" w:hAnsi="新宋体" w:eastAsia="仿宋_GB2312" w:cs="仿宋_GB2312"/>
                <w:kern w:val="0"/>
                <w:szCs w:val="21"/>
              </w:rPr>
              <w:t>（</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部门年度支付数与年度任务数的比率，用以反映和评价部门预算执行的及时和均衡程度。</w:t>
            </w:r>
          </w:p>
          <w:p>
            <w:pPr>
              <w:widowControl/>
              <w:spacing w:line="240" w:lineRule="exact"/>
              <w:jc w:val="left"/>
              <w:rPr>
                <w:szCs w:val="21"/>
              </w:rPr>
            </w:pPr>
            <w:r>
              <w:rPr>
                <w:rFonts w:hint="eastAsia" w:ascii="仿宋_GB2312" w:hAnsi="新宋体" w:eastAsia="仿宋_GB2312" w:cs="仿宋_GB2312"/>
                <w:kern w:val="0"/>
                <w:szCs w:val="21"/>
              </w:rPr>
              <w:t>支付进度率</w:t>
            </w:r>
            <w:r>
              <w:rPr>
                <w:rFonts w:ascii="仿宋_GB2312" w:hAnsi="新宋体" w:eastAsia="仿宋_GB2312" w:cs="仿宋_GB2312"/>
                <w:kern w:val="0"/>
                <w:szCs w:val="21"/>
              </w:rPr>
              <w:t>=</w:t>
            </w:r>
            <w:r>
              <w:rPr>
                <w:rFonts w:hint="eastAsia" w:ascii="仿宋_GB2312" w:hAnsi="新宋体" w:eastAsia="仿宋_GB2312" w:cs="仿宋_GB2312"/>
                <w:kern w:val="0"/>
                <w:szCs w:val="21"/>
              </w:rPr>
              <w:t>（年度支付数</w:t>
            </w:r>
            <w:r>
              <w:rPr>
                <w:rFonts w:ascii="仿宋_GB2312" w:hAnsi="新宋体" w:eastAsia="仿宋_GB2312" w:cs="仿宋_GB2312"/>
                <w:kern w:val="0"/>
                <w:szCs w:val="21"/>
              </w:rPr>
              <w:t>/</w:t>
            </w:r>
            <w:r>
              <w:rPr>
                <w:rFonts w:hint="eastAsia" w:ascii="仿宋_GB2312" w:hAnsi="新宋体" w:eastAsia="仿宋_GB2312" w:cs="仿宋_GB2312"/>
                <w:kern w:val="0"/>
                <w:szCs w:val="21"/>
              </w:rPr>
              <w:t>年度任务数）×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按年度的执行情况进行打分。得分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年度支付数</w:t>
            </w:r>
            <w:r>
              <w:rPr>
                <w:rFonts w:ascii="仿宋_GB2312" w:hAnsi="新宋体" w:eastAsia="仿宋_GB2312" w:cs="仿宋_GB2312"/>
                <w:kern w:val="0"/>
                <w:szCs w:val="21"/>
              </w:rPr>
              <w:t>/</w:t>
            </w:r>
            <w:r>
              <w:rPr>
                <w:rFonts w:hint="eastAsia" w:ascii="仿宋_GB2312" w:hAnsi="新宋体" w:eastAsia="仿宋_GB2312" w:cs="仿宋_GB2312"/>
                <w:kern w:val="0"/>
                <w:szCs w:val="21"/>
              </w:rPr>
              <w:t>年度任务数×该指标分值。</w:t>
            </w:r>
          </w:p>
          <w:p>
            <w:pPr>
              <w:widowControl/>
              <w:spacing w:line="240" w:lineRule="exact"/>
              <w:jc w:val="left"/>
              <w:rPr>
                <w:szCs w:val="21"/>
              </w:rPr>
            </w:pP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结转结余率（</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szCs w:val="21"/>
              </w:rPr>
            </w:pPr>
            <w:r>
              <w:rPr>
                <w:rFonts w:hint="eastAsia" w:ascii="仿宋_GB2312" w:hAnsi="新宋体" w:eastAsia="仿宋_GB2312" w:cs="仿宋_GB2312"/>
                <w:kern w:val="0"/>
                <w:szCs w:val="21"/>
              </w:rPr>
              <w:t>结转结余率</w:t>
            </w:r>
            <w:r>
              <w:rPr>
                <w:rFonts w:ascii="仿宋_GB2312" w:hAnsi="新宋体" w:eastAsia="仿宋_GB2312" w:cs="仿宋_GB2312"/>
                <w:kern w:val="0"/>
                <w:szCs w:val="21"/>
              </w:rPr>
              <w:t>=</w:t>
            </w:r>
            <w:r>
              <w:rPr>
                <w:rFonts w:hint="eastAsia" w:ascii="仿宋_GB2312" w:hAnsi="新宋体" w:eastAsia="仿宋_GB2312" w:cs="仿宋_GB2312"/>
                <w:kern w:val="0"/>
                <w:szCs w:val="21"/>
              </w:rPr>
              <w:t>（结转结余总额</w:t>
            </w:r>
            <w:r>
              <w:rPr>
                <w:rFonts w:ascii="仿宋_GB2312" w:hAnsi="新宋体" w:eastAsia="仿宋_GB2312" w:cs="仿宋_GB2312"/>
                <w:kern w:val="0"/>
                <w:szCs w:val="21"/>
              </w:rPr>
              <w:t>/</w:t>
            </w:r>
            <w:r>
              <w:rPr>
                <w:rFonts w:hint="eastAsia" w:ascii="仿宋_GB2312" w:hAnsi="新宋体" w:eastAsia="仿宋_GB2312" w:cs="仿宋_GB2312"/>
                <w:kern w:val="0"/>
                <w:szCs w:val="21"/>
              </w:rPr>
              <w:t>支出预算数）×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结转结余率等于</w:t>
            </w:r>
            <w:r>
              <w:rPr>
                <w:rFonts w:ascii="仿宋_GB2312" w:hAnsi="新宋体" w:eastAsia="仿宋_GB2312" w:cs="仿宋_GB2312"/>
                <w:kern w:val="0"/>
                <w:szCs w:val="21"/>
              </w:rPr>
              <w:t>0</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结转结余率大于或等于</w:t>
            </w:r>
            <w:r>
              <w:rPr>
                <w:rFonts w:ascii="仿宋_GB2312" w:hAnsi="新宋体" w:eastAsia="仿宋_GB2312" w:cs="仿宋_GB2312"/>
                <w:kern w:val="0"/>
                <w:szCs w:val="21"/>
              </w:rPr>
              <w:t>50%</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结转结余率在</w:t>
            </w:r>
            <w:r>
              <w:rPr>
                <w:rFonts w:ascii="仿宋_GB2312" w:hAnsi="新宋体" w:eastAsia="仿宋_GB2312" w:cs="仿宋_GB2312"/>
                <w:kern w:val="0"/>
                <w:szCs w:val="21"/>
              </w:rPr>
              <w:t>0-50%</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=[max</w:t>
            </w:r>
            <w:r>
              <w:rPr>
                <w:rFonts w:hint="eastAsia" w:ascii="仿宋_GB2312" w:hAnsi="新宋体" w:eastAsia="仿宋_GB2312" w:cs="仿宋_GB2312"/>
                <w:kern w:val="0"/>
                <w:szCs w:val="21"/>
              </w:rPr>
              <w:t>（结转结余率）－某部门结转结余率</w:t>
            </w:r>
            <w:r>
              <w:rPr>
                <w:rFonts w:ascii="仿宋_GB2312" w:hAnsi="新宋体" w:eastAsia="仿宋_GB2312" w:cs="仿宋_GB2312"/>
                <w:kern w:val="0"/>
                <w:szCs w:val="21"/>
              </w:rPr>
              <w:t>]/[max</w:t>
            </w:r>
            <w:r>
              <w:rPr>
                <w:rFonts w:hint="eastAsia" w:ascii="仿宋_GB2312" w:hAnsi="新宋体" w:eastAsia="仿宋_GB2312" w:cs="仿宋_GB2312"/>
                <w:kern w:val="0"/>
                <w:szCs w:val="21"/>
              </w:rPr>
              <w:t>（结转结余率）－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（结转结余率）</w:t>
            </w:r>
            <w:r>
              <w:rPr>
                <w:rFonts w:ascii="仿宋_GB2312" w:hAnsi="新宋体" w:eastAsia="仿宋_GB2312" w:cs="仿宋_GB2312"/>
                <w:kern w:val="0"/>
                <w:szCs w:val="21"/>
              </w:rPr>
              <w:t>]</w:t>
            </w:r>
            <w:r>
              <w:rPr>
                <w:rFonts w:hint="eastAsia" w:ascii="仿宋_GB2312" w:hAnsi="新宋体" w:eastAsia="仿宋_GB2312" w:cs="仿宋_GB2312"/>
                <w:kern w:val="0"/>
                <w:szCs w:val="21"/>
              </w:rPr>
              <w:t>×该指标分值。</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公用经费控制率（</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widowControl/>
              <w:spacing w:line="240" w:lineRule="exact"/>
              <w:jc w:val="left"/>
              <w:rPr>
                <w:szCs w:val="21"/>
              </w:rPr>
            </w:pPr>
            <w:r>
              <w:rPr>
                <w:rFonts w:hint="eastAsia" w:ascii="仿宋_GB2312" w:hAnsi="新宋体" w:eastAsia="仿宋_GB2312" w:cs="仿宋_GB2312"/>
                <w:kern w:val="0"/>
                <w:szCs w:val="21"/>
              </w:rPr>
              <w:t>公用经费控制率</w:t>
            </w:r>
            <w:r>
              <w:rPr>
                <w:rFonts w:ascii="仿宋_GB2312" w:hAnsi="新宋体" w:eastAsia="仿宋_GB2312" w:cs="仿宋_GB2312"/>
                <w:kern w:val="0"/>
                <w:szCs w:val="21"/>
              </w:rPr>
              <w:t>=</w:t>
            </w:r>
            <w:r>
              <w:rPr>
                <w:rFonts w:hint="eastAsia" w:ascii="仿宋_GB2312" w:hAnsi="新宋体" w:eastAsia="仿宋_GB2312" w:cs="仿宋_GB2312"/>
                <w:kern w:val="0"/>
                <w:szCs w:val="21"/>
              </w:rPr>
              <w:t>（实际支出公用经费总额</w:t>
            </w:r>
            <w:r>
              <w:rPr>
                <w:rFonts w:ascii="仿宋_GB2312" w:hAnsi="新宋体" w:eastAsia="仿宋_GB2312" w:cs="仿宋_GB2312"/>
                <w:kern w:val="0"/>
                <w:szCs w:val="21"/>
              </w:rPr>
              <w:t>/</w:t>
            </w:r>
            <w:r>
              <w:rPr>
                <w:rFonts w:hint="eastAsia" w:ascii="仿宋_GB2312" w:hAnsi="新宋体" w:eastAsia="仿宋_GB2312" w:cs="仿宋_GB2312"/>
                <w:kern w:val="0"/>
                <w:szCs w:val="21"/>
              </w:rPr>
              <w:t>预算安排公用经费总额）×</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公用经费控制率小于或等于</w:t>
            </w:r>
            <w:r>
              <w:rPr>
                <w:rFonts w:ascii="仿宋_GB2312" w:hAnsi="新宋体" w:eastAsia="仿宋_GB2312" w:cs="仿宋_GB2312"/>
                <w:kern w:val="0"/>
                <w:szCs w:val="21"/>
              </w:rPr>
              <w:t>100%</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公用经费控制率大于或等于</w:t>
            </w:r>
            <w:r>
              <w:rPr>
                <w:rFonts w:ascii="仿宋_GB2312" w:hAnsi="新宋体" w:eastAsia="仿宋_GB2312" w:cs="仿宋_GB2312"/>
                <w:kern w:val="0"/>
                <w:szCs w:val="21"/>
              </w:rPr>
              <w:t>105%</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公用经费控制率在</w:t>
            </w:r>
            <w:r>
              <w:rPr>
                <w:rFonts w:ascii="仿宋_GB2312" w:hAnsi="新宋体" w:eastAsia="仿宋_GB2312" w:cs="仿宋_GB2312"/>
                <w:kern w:val="0"/>
                <w:szCs w:val="21"/>
              </w:rPr>
              <w:t>100%-105%</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（公用经费控制率）</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某部门公用经费控制率］</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（公用经费控制率）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（公用经费控制率）］×该指标分值。</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政府采购执行率（</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widowControl/>
              <w:spacing w:line="240" w:lineRule="exact"/>
              <w:jc w:val="left"/>
              <w:rPr>
                <w:szCs w:val="21"/>
              </w:rPr>
            </w:pPr>
            <w:r>
              <w:rPr>
                <w:rFonts w:hint="eastAsia" w:ascii="仿宋_GB2312" w:hAnsi="新宋体" w:eastAsia="仿宋_GB2312" w:cs="仿宋_GB2312"/>
                <w:kern w:val="0"/>
                <w:szCs w:val="21"/>
              </w:rPr>
              <w:t>政府采购执行率</w:t>
            </w:r>
            <w:r>
              <w:rPr>
                <w:rFonts w:ascii="仿宋_GB2312" w:hAnsi="新宋体" w:eastAsia="仿宋_GB2312" w:cs="仿宋_GB2312"/>
                <w:kern w:val="0"/>
                <w:szCs w:val="21"/>
              </w:rPr>
              <w:t>=</w:t>
            </w:r>
            <w:r>
              <w:rPr>
                <w:rFonts w:hint="eastAsia" w:ascii="仿宋_GB2312" w:hAnsi="新宋体" w:eastAsia="仿宋_GB2312" w:cs="仿宋_GB2312"/>
                <w:kern w:val="0"/>
                <w:szCs w:val="21"/>
              </w:rPr>
              <w:t>（实际政府采购预算项目个数</w:t>
            </w:r>
            <w:r>
              <w:rPr>
                <w:rFonts w:ascii="仿宋_GB2312" w:hAnsi="新宋体" w:eastAsia="仿宋_GB2312" w:cs="仿宋_GB2312"/>
                <w:kern w:val="0"/>
                <w:szCs w:val="21"/>
              </w:rPr>
              <w:t>/</w:t>
            </w:r>
            <w:r>
              <w:rPr>
                <w:rFonts w:hint="eastAsia" w:ascii="仿宋_GB2312" w:hAnsi="新宋体" w:eastAsia="仿宋_GB2312" w:cs="仿宋_GB2312"/>
                <w:kern w:val="0"/>
                <w:szCs w:val="21"/>
              </w:rPr>
              <w:t>政府采购预算项目个数）×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政府采购项目中非预算内安排的项目除外。</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政府采购执行率等于</w:t>
            </w:r>
            <w:r>
              <w:rPr>
                <w:rFonts w:ascii="仿宋_GB2312" w:hAnsi="新宋体" w:eastAsia="仿宋_GB2312" w:cs="仿宋_GB2312"/>
                <w:kern w:val="0"/>
                <w:szCs w:val="21"/>
              </w:rPr>
              <w:t>100%</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政府采购执行率小于或等于</w:t>
            </w:r>
            <w:r>
              <w:rPr>
                <w:rFonts w:ascii="仿宋_GB2312" w:hAnsi="新宋体" w:eastAsia="仿宋_GB2312" w:cs="仿宋_GB2312"/>
                <w:kern w:val="0"/>
                <w:szCs w:val="21"/>
              </w:rPr>
              <w:t>90%</w:t>
            </w:r>
            <w:r>
              <w:rPr>
                <w:rFonts w:hint="eastAsia" w:ascii="仿宋_GB2312" w:hAnsi="新宋体" w:eastAsia="仿宋_GB2312" w:cs="仿宋_GB2312"/>
                <w:kern w:val="0"/>
                <w:szCs w:val="21"/>
              </w:rPr>
              <w:t>的，</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政府采购执行率在</w:t>
            </w:r>
            <w:r>
              <w:rPr>
                <w:rFonts w:ascii="仿宋_GB2312" w:hAnsi="新宋体" w:eastAsia="仿宋_GB2312" w:cs="仿宋_GB2312"/>
                <w:kern w:val="0"/>
                <w:szCs w:val="21"/>
              </w:rPr>
              <w:t>90%-100%</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［某部门政府采购执行率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（政府采购执行率）］</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（政府采购执行率）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（政府采购执行率）］×该指标分值。</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预算管理情况</w:t>
            </w:r>
          </w:p>
          <w:p>
            <w:pPr>
              <w:widowControl/>
              <w:spacing w:line="240" w:lineRule="exact"/>
              <w:jc w:val="left"/>
              <w:rPr>
                <w:szCs w:val="21"/>
              </w:rPr>
            </w:pPr>
            <w:r>
              <w:rPr>
                <w:rFonts w:hint="eastAsia" w:ascii="仿宋_GB2312" w:hAnsi="新宋体" w:eastAsia="仿宋_GB2312" w:cs="仿宋_GB2312"/>
                <w:kern w:val="0"/>
                <w:szCs w:val="21"/>
              </w:rPr>
              <w:t>（</w:t>
            </w:r>
            <w:r>
              <w:rPr>
                <w:rFonts w:ascii="仿宋_GB2312" w:hAnsi="新宋体" w:eastAsia="仿宋_GB2312" w:cs="仿宋_GB2312"/>
                <w:kern w:val="0"/>
                <w:szCs w:val="21"/>
              </w:rPr>
              <w:t>15</w:t>
            </w:r>
            <w:r>
              <w:rPr>
                <w:rFonts w:hint="eastAsia" w:ascii="仿宋_GB2312" w:hAnsi="新宋体" w:eastAsia="仿宋_GB2312" w:cs="仿宋_GB2312"/>
                <w:kern w:val="0"/>
                <w:szCs w:val="21"/>
              </w:rPr>
              <w:t>）</w:t>
            </w: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资金使用合规性（</w:t>
            </w:r>
            <w:r>
              <w:rPr>
                <w:rFonts w:ascii="仿宋_GB2312" w:hAnsi="新宋体" w:eastAsia="仿宋_GB2312" w:cs="仿宋_GB2312"/>
                <w:kern w:val="0"/>
                <w:szCs w:val="21"/>
              </w:rPr>
              <w:t>8</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资金的拨付有完整的审批过程和手续；</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项目的重大开支经过评估论证；</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符合部门预算批复的用途；</w:t>
            </w:r>
          </w:p>
          <w:p>
            <w:pPr>
              <w:widowControl/>
              <w:spacing w:line="240" w:lineRule="exact"/>
              <w:jc w:val="left"/>
              <w:rPr>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不存在截留情况；</w:t>
            </w:r>
          </w:p>
          <w:p>
            <w:pPr>
              <w:widowControl/>
              <w:spacing w:line="240" w:lineRule="exact"/>
              <w:jc w:val="left"/>
              <w:rPr>
                <w:szCs w:val="21"/>
              </w:rPr>
            </w:pPr>
            <w:r>
              <w:rPr>
                <w:rFonts w:ascii="仿宋_GB2312" w:hAnsi="新宋体" w:eastAsia="仿宋_GB2312" w:cs="仿宋_GB2312"/>
                <w:kern w:val="0"/>
                <w:szCs w:val="21"/>
              </w:rPr>
              <w:t>6.</w:t>
            </w:r>
            <w:r>
              <w:rPr>
                <w:rFonts w:hint="eastAsia" w:ascii="仿宋_GB2312" w:hAnsi="新宋体" w:eastAsia="仿宋_GB2312" w:cs="仿宋_GB2312"/>
                <w:kern w:val="0"/>
                <w:szCs w:val="21"/>
              </w:rPr>
              <w:t>不存在挤占情况；</w:t>
            </w:r>
          </w:p>
          <w:p>
            <w:pPr>
              <w:widowControl/>
              <w:spacing w:line="240" w:lineRule="exact"/>
              <w:jc w:val="left"/>
              <w:rPr>
                <w:szCs w:val="21"/>
              </w:rPr>
            </w:pPr>
            <w:r>
              <w:rPr>
                <w:rFonts w:ascii="仿宋_GB2312" w:hAnsi="新宋体" w:eastAsia="仿宋_GB2312" w:cs="仿宋_GB2312"/>
                <w:kern w:val="0"/>
                <w:szCs w:val="21"/>
              </w:rPr>
              <w:t>7.</w:t>
            </w:r>
            <w:r>
              <w:rPr>
                <w:rFonts w:hint="eastAsia" w:ascii="仿宋_GB2312" w:hAnsi="新宋体" w:eastAsia="仿宋_GB2312" w:cs="仿宋_GB2312"/>
                <w:kern w:val="0"/>
                <w:szCs w:val="21"/>
              </w:rPr>
              <w:t>不存在挪用情况；</w:t>
            </w:r>
          </w:p>
          <w:p>
            <w:pPr>
              <w:widowControl/>
              <w:spacing w:line="240" w:lineRule="exact"/>
              <w:jc w:val="left"/>
              <w:rPr>
                <w:szCs w:val="21"/>
              </w:rPr>
            </w:pPr>
            <w:r>
              <w:rPr>
                <w:rFonts w:ascii="仿宋_GB2312" w:hAnsi="新宋体" w:eastAsia="仿宋_GB2312" w:cs="仿宋_GB2312"/>
                <w:kern w:val="0"/>
                <w:szCs w:val="21"/>
              </w:rPr>
              <w:t>8.</w:t>
            </w:r>
            <w:r>
              <w:rPr>
                <w:rFonts w:hint="eastAsia" w:ascii="仿宋_GB2312" w:hAnsi="新宋体" w:eastAsia="仿宋_GB2312" w:cs="仿宋_GB2312"/>
                <w:kern w:val="0"/>
                <w:szCs w:val="21"/>
              </w:rPr>
              <w:t>不存在虚列支出情况。</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全部符合（</w:t>
            </w:r>
            <w:r>
              <w:rPr>
                <w:rFonts w:ascii="仿宋_GB2312" w:hAnsi="新宋体" w:eastAsia="仿宋_GB2312" w:cs="仿宋_GB2312"/>
                <w:kern w:val="0"/>
                <w:szCs w:val="21"/>
              </w:rPr>
              <w:t>8</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符合其中七项（</w:t>
            </w:r>
            <w:r>
              <w:rPr>
                <w:rFonts w:ascii="仿宋_GB2312" w:hAnsi="新宋体" w:eastAsia="仿宋_GB2312" w:cs="仿宋_GB2312"/>
                <w:kern w:val="0"/>
                <w:szCs w:val="21"/>
              </w:rPr>
              <w:t>6</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符合其中六项（</w:t>
            </w:r>
            <w:r>
              <w:rPr>
                <w:rFonts w:ascii="仿宋_GB2312" w:hAnsi="新宋体" w:eastAsia="仿宋_GB2312" w:cs="仿宋_GB2312"/>
                <w:kern w:val="0"/>
                <w:szCs w:val="21"/>
              </w:rPr>
              <w:t>4</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符合其中五项（</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符合其中四项及以下（</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预决算信息公开性（</w:t>
            </w:r>
            <w:r>
              <w:rPr>
                <w:rFonts w:ascii="仿宋_GB2312" w:hAnsi="新宋体" w:eastAsia="仿宋_GB2312" w:cs="仿宋_GB2312"/>
                <w:kern w:val="0"/>
                <w:szCs w:val="21"/>
              </w:rPr>
              <w:t>3</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szCs w:val="21"/>
              </w:rPr>
            </w:pPr>
            <w:r>
              <w:rPr>
                <w:rFonts w:hint="eastAsia" w:ascii="仿宋_GB2312" w:hAnsi="新宋体" w:eastAsia="仿宋_GB2312" w:cs="仿宋_GB2312"/>
                <w:kern w:val="0"/>
                <w:szCs w:val="21"/>
              </w:rPr>
              <w:t>预决算信息是指与部门预算、执行、决算、监督、绩效等管理相关的信息。</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公开预决算信息；</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按规定内容公开预决算信息；</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按规定时限公开预决算信息。</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全部符合（</w:t>
            </w:r>
            <w:r>
              <w:rPr>
                <w:rFonts w:ascii="仿宋_GB2312" w:hAnsi="新宋体" w:eastAsia="仿宋_GB2312" w:cs="仿宋_GB2312"/>
                <w:kern w:val="0"/>
                <w:szCs w:val="21"/>
              </w:rPr>
              <w:t>3</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符合其中两项（</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符合其中一项及以下（</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rPr>
              <w:t>基础信息完善性</w:t>
            </w:r>
            <w:r>
              <w:rPr>
                <w:rFonts w:hint="eastAsia" w:ascii="仿宋_GB2312" w:hAnsi="新宋体" w:eastAsia="仿宋_GB2312" w:cs="仿宋_GB2312"/>
                <w:kern w:val="0"/>
                <w:szCs w:val="21"/>
              </w:rPr>
              <w:t>（</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部门基础信息是否完善，用以反映和评价基础信息对预算管理工作的支撑情况。</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基本财务管理制度健全；</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基础数据信息和会计信息资料真实；</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基础数据信息和会计信息资料完整；</w:t>
            </w:r>
          </w:p>
          <w:p>
            <w:pPr>
              <w:widowControl/>
              <w:spacing w:line="240" w:lineRule="exact"/>
              <w:jc w:val="left"/>
              <w:rPr>
                <w:szCs w:val="21"/>
              </w:rPr>
            </w:pPr>
            <w:r>
              <w:rPr>
                <w:rFonts w:ascii="仿宋_GB2312" w:hAnsi="新宋体" w:eastAsia="仿宋_GB2312" w:cs="仿宋_GB2312"/>
                <w:kern w:val="0"/>
                <w:szCs w:val="21"/>
              </w:rPr>
              <w:t>4.</w:t>
            </w:r>
            <w:r>
              <w:rPr>
                <w:rFonts w:hint="eastAsia" w:ascii="仿宋_GB2312" w:hAnsi="新宋体" w:eastAsia="仿宋_GB2312" w:cs="仿宋_GB2312"/>
                <w:kern w:val="0"/>
                <w:szCs w:val="21"/>
              </w:rPr>
              <w:t>基础数据信息和会计信息资料准确。</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符合全部四项（</w:t>
            </w:r>
            <w:r>
              <w:rPr>
                <w:rFonts w:ascii="仿宋_GB2312" w:hAnsi="新宋体" w:eastAsia="仿宋_GB2312" w:cs="仿宋_GB2312"/>
                <w:kern w:val="0"/>
                <w:szCs w:val="21"/>
              </w:rPr>
              <w:t>4</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符合其中三项（</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符合其中两项（</w:t>
            </w:r>
            <w:r>
              <w:rPr>
                <w:rFonts w:ascii="仿宋_GB2312" w:hAnsi="新宋体" w:eastAsia="仿宋_GB2312" w:cs="仿宋_GB2312"/>
                <w:kern w:val="0"/>
                <w:szCs w:val="21"/>
              </w:rPr>
              <w:t>1</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符合其中一项及以下（</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资产管理情况（</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p>
        </w:tc>
        <w:tc>
          <w:tcPr>
            <w:tcW w:w="1275" w:type="dxa"/>
            <w:tcBorders>
              <w:top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资产管理完整性（</w:t>
            </w:r>
            <w:r>
              <w:rPr>
                <w:rFonts w:ascii="仿宋_GB2312" w:hAnsi="新宋体" w:eastAsia="仿宋_GB2312" w:cs="仿宋_GB2312"/>
                <w:kern w:val="0"/>
                <w:szCs w:val="21"/>
              </w:rPr>
              <w:t>2</w:t>
            </w:r>
            <w:r>
              <w:rPr>
                <w:rFonts w:hint="eastAsia" w:ascii="仿宋_GB2312" w:hAnsi="新宋体" w:eastAsia="仿宋_GB2312" w:cs="仿宋_GB2312"/>
                <w:kern w:val="0"/>
                <w:szCs w:val="21"/>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部门的资产是否保存完整、使用合规、收入及时足额上缴，用以反映和评价部门资产运行情况。</w:t>
            </w:r>
          </w:p>
          <w:p>
            <w:pPr>
              <w:widowControl/>
              <w:spacing w:line="240" w:lineRule="exact"/>
              <w:jc w:val="left"/>
              <w:rPr>
                <w:szCs w:val="21"/>
              </w:rPr>
            </w:pPr>
            <w:r>
              <w:rPr>
                <w:rFonts w:hint="eastAsia"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资产保存完整；</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资产账务管理是否合规，帐实相符；</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资产有偿使用及处置收入及时足额上缴。</w:t>
            </w:r>
          </w:p>
        </w:tc>
        <w:tc>
          <w:tcPr>
            <w:tcW w:w="2373"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符合全部三项（</w:t>
            </w:r>
            <w:r>
              <w:rPr>
                <w:rFonts w:ascii="仿宋_GB2312" w:hAnsi="新宋体" w:eastAsia="仿宋_GB2312" w:cs="仿宋_GB2312"/>
                <w:kern w:val="0"/>
                <w:szCs w:val="21"/>
              </w:rPr>
              <w:t>3</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符合其中两项（</w:t>
            </w:r>
            <w:r>
              <w:rPr>
                <w:rFonts w:ascii="仿宋_GB2312" w:hAnsi="新宋体" w:eastAsia="仿宋_GB2312" w:cs="仿宋_GB2312"/>
                <w:kern w:val="0"/>
                <w:szCs w:val="21"/>
              </w:rPr>
              <w:t>2</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符合其中一项（</w:t>
            </w:r>
            <w:r>
              <w:rPr>
                <w:rFonts w:ascii="仿宋_GB2312" w:hAnsi="新宋体" w:eastAsia="仿宋_GB2312" w:cs="仿宋_GB2312"/>
                <w:kern w:val="0"/>
                <w:szCs w:val="21"/>
              </w:rPr>
              <w:t>1</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符合零项（</w:t>
            </w:r>
            <w:r>
              <w:rPr>
                <w:rFonts w:ascii="仿宋_GB2312" w:hAnsi="新宋体" w:eastAsia="仿宋_GB2312" w:cs="仿宋_GB2312"/>
                <w:kern w:val="0"/>
                <w:szCs w:val="21"/>
              </w:rPr>
              <w:t>0</w:t>
            </w:r>
            <w:r>
              <w:rPr>
                <w:rFonts w:hint="eastAsia" w:ascii="仿宋_GB2312" w:hAnsi="新宋体" w:eastAsia="仿宋_GB2312" w:cs="仿宋_GB2312"/>
                <w:kern w:val="0"/>
                <w:szCs w:val="21"/>
              </w:rPr>
              <w:t>）。</w:t>
            </w:r>
          </w:p>
        </w:tc>
        <w:tc>
          <w:tcPr>
            <w:tcW w:w="764" w:type="dxa"/>
            <w:tcBorders>
              <w:top w:val="single" w:color="auto" w:sz="4" w:space="0"/>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top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固定资产利用率（</w:t>
            </w:r>
            <w:r>
              <w:rPr>
                <w:rFonts w:ascii="仿宋_GB2312" w:hAnsi="新宋体" w:eastAsia="仿宋_GB2312" w:cs="仿宋_GB2312"/>
                <w:kern w:val="0"/>
                <w:szCs w:val="21"/>
              </w:rPr>
              <w:t>3</w:t>
            </w:r>
            <w:r>
              <w:rPr>
                <w:rFonts w:hint="eastAsia" w:ascii="仿宋_GB2312" w:hAnsi="新宋体" w:eastAsia="仿宋_GB2312" w:cs="仿宋_GB2312"/>
                <w:kern w:val="0"/>
                <w:szCs w:val="21"/>
              </w:rPr>
              <w:t>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部门实际在用固定资产总额与所有固定资产总额的比率，用以反映和评价部门固定资产使用效率。</w:t>
            </w:r>
          </w:p>
          <w:p>
            <w:pPr>
              <w:widowControl/>
              <w:spacing w:line="240" w:lineRule="exact"/>
              <w:jc w:val="left"/>
              <w:rPr>
                <w:szCs w:val="21"/>
              </w:rPr>
            </w:pPr>
            <w:r>
              <w:rPr>
                <w:rFonts w:hint="eastAsia" w:ascii="仿宋_GB2312" w:hAnsi="新宋体" w:eastAsia="仿宋_GB2312" w:cs="仿宋_GB2312"/>
                <w:kern w:val="0"/>
                <w:szCs w:val="21"/>
              </w:rPr>
              <w:t>固定资产利用率</w:t>
            </w:r>
            <w:r>
              <w:rPr>
                <w:rFonts w:ascii="仿宋_GB2312" w:hAnsi="新宋体" w:eastAsia="仿宋_GB2312" w:cs="仿宋_GB2312"/>
                <w:kern w:val="0"/>
                <w:szCs w:val="21"/>
              </w:rPr>
              <w:t>=</w:t>
            </w:r>
            <w:r>
              <w:rPr>
                <w:rFonts w:hint="eastAsia" w:ascii="仿宋_GB2312" w:hAnsi="新宋体" w:eastAsia="仿宋_GB2312" w:cs="仿宋_GB2312"/>
                <w:kern w:val="0"/>
                <w:szCs w:val="21"/>
              </w:rPr>
              <w:t>（实际在用固定资产总额</w:t>
            </w:r>
            <w:r>
              <w:rPr>
                <w:rFonts w:ascii="仿宋_GB2312" w:hAnsi="新宋体" w:eastAsia="仿宋_GB2312" w:cs="仿宋_GB2312"/>
                <w:kern w:val="0"/>
                <w:szCs w:val="21"/>
              </w:rPr>
              <w:t>/</w:t>
            </w:r>
            <w:r>
              <w:rPr>
                <w:rFonts w:hint="eastAsia" w:ascii="仿宋_GB2312" w:hAnsi="新宋体" w:eastAsia="仿宋_GB2312" w:cs="仿宋_GB2312"/>
                <w:kern w:val="0"/>
                <w:szCs w:val="21"/>
              </w:rPr>
              <w:t>所有固定资产总额）×</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tc>
        <w:tc>
          <w:tcPr>
            <w:tcW w:w="2373" w:type="dxa"/>
            <w:tcBorders>
              <w:top w:val="single" w:color="auto" w:sz="4" w:space="0"/>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固定资产利用率大于或等于</w:t>
            </w:r>
            <w:r>
              <w:rPr>
                <w:rFonts w:ascii="仿宋_GB2312" w:hAnsi="新宋体" w:eastAsia="仿宋_GB2312" w:cs="仿宋_GB2312"/>
                <w:kern w:val="0"/>
                <w:szCs w:val="21"/>
              </w:rPr>
              <w:t>95%</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固定资产利用率小于或等于</w:t>
            </w:r>
            <w:r>
              <w:rPr>
                <w:rFonts w:ascii="仿宋_GB2312" w:hAnsi="新宋体" w:eastAsia="仿宋_GB2312" w:cs="仿宋_GB2312"/>
                <w:kern w:val="0"/>
                <w:szCs w:val="21"/>
              </w:rPr>
              <w:t>85%</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固定资产利用率在</w:t>
            </w:r>
            <w:r>
              <w:rPr>
                <w:rFonts w:ascii="仿宋_GB2312" w:hAnsi="新宋体" w:eastAsia="仿宋_GB2312" w:cs="仿宋_GB2312"/>
                <w:kern w:val="0"/>
                <w:szCs w:val="21"/>
              </w:rPr>
              <w:t>85%-95%</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和满分之间计算确定：</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［某部门固定资产利用率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（固定资产利用率）］</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（固定资产利用率）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（固定资产利用率）］×该指标分值。</w:t>
            </w:r>
          </w:p>
        </w:tc>
        <w:tc>
          <w:tcPr>
            <w:tcW w:w="764" w:type="dxa"/>
            <w:tcBorders>
              <w:top w:val="single" w:color="auto" w:sz="4" w:space="0"/>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产出</w:t>
            </w:r>
            <w:r>
              <w:rPr>
                <w:rFonts w:ascii="仿宋_GB2312" w:hAnsi="新宋体" w:eastAsia="仿宋_GB2312" w:cs="仿宋_GB2312"/>
                <w:kern w:val="0"/>
                <w:szCs w:val="21"/>
              </w:rPr>
              <w:t>(25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743"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职责履行情况（</w:t>
            </w:r>
            <w:r>
              <w:rPr>
                <w:rFonts w:ascii="仿宋_GB2312" w:hAnsi="新宋体" w:eastAsia="仿宋_GB2312" w:cs="仿宋_GB2312"/>
                <w:kern w:val="0"/>
                <w:szCs w:val="21"/>
              </w:rPr>
              <w:t>25</w:t>
            </w:r>
            <w:r>
              <w:rPr>
                <w:rFonts w:hint="eastAsia" w:ascii="仿宋_GB2312" w:hAnsi="新宋体" w:eastAsia="仿宋_GB2312" w:cs="仿宋_GB2312"/>
                <w:kern w:val="0"/>
                <w:szCs w:val="21"/>
              </w:rPr>
              <w:t>）</w:t>
            </w:r>
          </w:p>
        </w:tc>
        <w:tc>
          <w:tcPr>
            <w:tcW w:w="1275" w:type="dxa"/>
            <w:tcBorders>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履职完成情况（</w:t>
            </w:r>
            <w:r>
              <w:rPr>
                <w:rFonts w:ascii="仿宋_GB2312" w:hAnsi="新宋体" w:eastAsia="仿宋_GB2312" w:cs="仿宋_GB2312"/>
                <w:kern w:val="0"/>
                <w:szCs w:val="21"/>
              </w:rPr>
              <w:t>10</w:t>
            </w:r>
            <w:r>
              <w:rPr>
                <w:rFonts w:hint="eastAsia" w:ascii="仿宋_GB2312" w:hAnsi="新宋体" w:eastAsia="仿宋_GB2312" w:cs="仿宋_GB2312"/>
                <w:kern w:val="0"/>
                <w:szCs w:val="21"/>
              </w:rPr>
              <w:t>分）</w:t>
            </w:r>
          </w:p>
        </w:tc>
        <w:tc>
          <w:tcPr>
            <w:tcW w:w="3436" w:type="dxa"/>
            <w:tcBorders>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根据年度主要任务分解表的的具体任务，逐项评价任务量化指标完成情况、实施效果和责任制建立情况。用以反映和考核部门（单位）履职工作任务目标的完成情况。评价要点：</w:t>
            </w:r>
            <w:r>
              <w:rPr>
                <w:rFonts w:ascii="仿宋" w:hAnsi="仿宋" w:eastAsia="仿宋" w:cs="仿宋"/>
                <w:color w:val="000000"/>
                <w:kern w:val="0"/>
                <w:szCs w:val="21"/>
              </w:rPr>
              <w:br w:type="textWrapping"/>
            </w:r>
            <w:r>
              <w:rPr>
                <w:rFonts w:ascii="仿宋" w:hAnsi="仿宋" w:eastAsia="仿宋" w:cs="仿宋"/>
                <w:color w:val="000000"/>
                <w:kern w:val="0"/>
                <w:szCs w:val="21"/>
              </w:rPr>
              <w:t>1.</w:t>
            </w:r>
            <w:r>
              <w:rPr>
                <w:rFonts w:hint="eastAsia" w:ascii="仿宋" w:hAnsi="仿宋" w:eastAsia="仿宋" w:cs="仿宋"/>
                <w:color w:val="000000"/>
                <w:kern w:val="0"/>
                <w:szCs w:val="21"/>
              </w:rPr>
              <w:t>每项任务是否已制定了明确、具体、可量化、可衡量的绩效指标；</w:t>
            </w:r>
            <w:r>
              <w:rPr>
                <w:rFonts w:ascii="仿宋" w:hAnsi="仿宋" w:eastAsia="仿宋" w:cs="仿宋"/>
                <w:color w:val="000000"/>
                <w:kern w:val="0"/>
                <w:szCs w:val="21"/>
              </w:rPr>
              <w:t xml:space="preserve">           </w:t>
            </w:r>
            <w:r>
              <w:rPr>
                <w:rFonts w:ascii="仿宋" w:hAnsi="仿宋" w:eastAsia="仿宋" w:cs="仿宋"/>
                <w:color w:val="000000"/>
                <w:kern w:val="0"/>
                <w:szCs w:val="21"/>
              </w:rPr>
              <w:br w:type="textWrapping"/>
            </w:r>
            <w:r>
              <w:rPr>
                <w:rFonts w:ascii="仿宋" w:hAnsi="仿宋" w:eastAsia="仿宋" w:cs="仿宋"/>
                <w:color w:val="000000"/>
                <w:kern w:val="0"/>
                <w:szCs w:val="21"/>
              </w:rPr>
              <w:t>2.</w:t>
            </w:r>
            <w:r>
              <w:rPr>
                <w:rFonts w:hint="eastAsia" w:ascii="仿宋" w:hAnsi="仿宋" w:eastAsia="仿宋" w:cs="仿宋"/>
                <w:color w:val="000000"/>
                <w:kern w:val="0"/>
                <w:szCs w:val="21"/>
              </w:rPr>
              <w:t>每项任务绩效指标的完成情况，是全部完成、基本完成、未完成，还是未实施；</w:t>
            </w:r>
            <w:r>
              <w:rPr>
                <w:rFonts w:ascii="仿宋" w:hAnsi="仿宋" w:eastAsia="仿宋" w:cs="仿宋"/>
                <w:color w:val="000000"/>
                <w:kern w:val="0"/>
                <w:szCs w:val="21"/>
              </w:rPr>
              <w:br w:type="textWrapping"/>
            </w:r>
            <w:r>
              <w:rPr>
                <w:rFonts w:ascii="仿宋" w:hAnsi="仿宋" w:eastAsia="仿宋" w:cs="仿宋"/>
                <w:color w:val="000000"/>
                <w:kern w:val="0"/>
                <w:szCs w:val="21"/>
              </w:rPr>
              <w:t>3.</w:t>
            </w:r>
            <w:r>
              <w:rPr>
                <w:rFonts w:hint="eastAsia" w:ascii="仿宋" w:hAnsi="仿宋" w:eastAsia="仿宋" w:cs="仿宋"/>
                <w:color w:val="000000"/>
                <w:kern w:val="0"/>
                <w:szCs w:val="21"/>
              </w:rPr>
              <w:t>每项任务实施效果情况，是优秀、良好、一般，还是无效果；</w:t>
            </w:r>
            <w:r>
              <w:rPr>
                <w:rFonts w:ascii="仿宋" w:hAnsi="仿宋" w:eastAsia="仿宋" w:cs="仿宋"/>
                <w:color w:val="000000"/>
                <w:kern w:val="0"/>
                <w:szCs w:val="21"/>
              </w:rPr>
              <w:br w:type="textWrapping"/>
            </w:r>
            <w:r>
              <w:rPr>
                <w:rFonts w:ascii="仿宋" w:hAnsi="仿宋" w:eastAsia="仿宋" w:cs="仿宋"/>
                <w:color w:val="000000"/>
                <w:kern w:val="0"/>
                <w:szCs w:val="21"/>
              </w:rPr>
              <w:t>4.</w:t>
            </w:r>
            <w:r>
              <w:rPr>
                <w:rFonts w:hint="eastAsia" w:ascii="仿宋" w:hAnsi="仿宋" w:eastAsia="仿宋" w:cs="仿宋"/>
                <w:color w:val="000000"/>
                <w:kern w:val="0"/>
                <w:szCs w:val="21"/>
              </w:rPr>
              <w:t>每项任务是否建立了目标责任制，是否落实到具体部门和人员负责。</w:t>
            </w:r>
          </w:p>
        </w:tc>
        <w:tc>
          <w:tcPr>
            <w:tcW w:w="2373" w:type="dxa"/>
            <w:tcBorders>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764" w:type="dxa"/>
            <w:tcBorders>
              <w:left w:val="single" w:color="auto" w:sz="4" w:space="0"/>
              <w:bottom w:val="single" w:color="auto" w:sz="4" w:space="0"/>
            </w:tcBorders>
            <w:vAlign w:val="center"/>
          </w:tcPr>
          <w:p>
            <w:pPr>
              <w:widowControl/>
              <w:spacing w:line="240" w:lineRule="exact"/>
              <w:jc w:val="left"/>
              <w:rPr>
                <w:rFonts w:hint="default" w:eastAsia="宋体"/>
                <w:szCs w:val="21"/>
                <w:lang w:val="en-US" w:eastAsia="zh-CN"/>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779" w:type="dxa"/>
            <w:vMerge w:val="continue"/>
            <w:vAlign w:val="center"/>
          </w:tcPr>
          <w:p>
            <w:pPr>
              <w:spacing w:line="240" w:lineRule="exact"/>
              <w:rPr>
                <w:rFonts w:ascii="宋体"/>
                <w:szCs w:val="21"/>
              </w:rPr>
            </w:pPr>
          </w:p>
        </w:tc>
        <w:tc>
          <w:tcPr>
            <w:tcW w:w="743" w:type="dxa"/>
            <w:vMerge w:val="continue"/>
            <w:vAlign w:val="center"/>
          </w:tcPr>
          <w:p>
            <w:pPr>
              <w:spacing w:line="240" w:lineRule="exact"/>
              <w:rPr>
                <w:rFonts w:ascii="宋体"/>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项目完成质量达标率（</w:t>
            </w:r>
            <w:r>
              <w:rPr>
                <w:rFonts w:ascii="仿宋_GB2312" w:hAnsi="新宋体" w:eastAsia="仿宋_GB2312" w:cs="仿宋_GB2312"/>
                <w:kern w:val="0"/>
                <w:szCs w:val="21"/>
              </w:rPr>
              <w:t>15</w:t>
            </w:r>
            <w:r>
              <w:rPr>
                <w:rFonts w:hint="eastAsia" w:ascii="仿宋_GB2312" w:hAnsi="新宋体" w:eastAsia="仿宋_GB2312" w:cs="仿宋_GB2312"/>
                <w:kern w:val="0"/>
                <w:szCs w:val="21"/>
              </w:rPr>
              <w:t>）</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部门已完成项目中质量达标项目个数占已完成项目个数的比率</w:t>
            </w:r>
            <w:r>
              <w:rPr>
                <w:rFonts w:ascii="仿宋_GB2312" w:hAnsi="新宋体" w:eastAsia="仿宋_GB2312" w:cs="仿宋_GB2312"/>
                <w:kern w:val="0"/>
                <w:szCs w:val="21"/>
              </w:rPr>
              <w:t>,</w:t>
            </w:r>
            <w:r>
              <w:rPr>
                <w:rFonts w:hint="eastAsia" w:ascii="仿宋_GB2312" w:hAnsi="新宋体" w:eastAsia="仿宋_GB2312" w:cs="仿宋_GB2312"/>
                <w:kern w:val="0"/>
                <w:szCs w:val="21"/>
              </w:rPr>
              <w:t>用以反映和评价部门履职质量目标的实现程度。</w:t>
            </w:r>
          </w:p>
          <w:p>
            <w:pPr>
              <w:widowControl/>
              <w:spacing w:line="240" w:lineRule="exact"/>
              <w:jc w:val="left"/>
              <w:rPr>
                <w:szCs w:val="21"/>
              </w:rPr>
            </w:pPr>
            <w:r>
              <w:rPr>
                <w:rFonts w:hint="eastAsia" w:ascii="仿宋_GB2312" w:hAnsi="新宋体" w:eastAsia="仿宋_GB2312" w:cs="仿宋_GB2312"/>
                <w:kern w:val="0"/>
                <w:szCs w:val="21"/>
              </w:rPr>
              <w:t>项目质量达标率</w:t>
            </w:r>
            <w:r>
              <w:rPr>
                <w:rFonts w:ascii="仿宋_GB2312" w:hAnsi="新宋体" w:eastAsia="仿宋_GB2312" w:cs="仿宋_GB2312"/>
                <w:kern w:val="0"/>
                <w:szCs w:val="21"/>
              </w:rPr>
              <w:t>=</w:t>
            </w:r>
            <w:r>
              <w:rPr>
                <w:rFonts w:hint="eastAsia" w:ascii="仿宋_GB2312" w:hAnsi="新宋体" w:eastAsia="仿宋_GB2312" w:cs="仿宋_GB2312"/>
                <w:kern w:val="0"/>
                <w:szCs w:val="21"/>
              </w:rPr>
              <w:t>（已完成项目中质量达标项目个数</w:t>
            </w:r>
            <w:r>
              <w:rPr>
                <w:rFonts w:ascii="仿宋_GB2312" w:hAnsi="新宋体" w:eastAsia="仿宋_GB2312" w:cs="仿宋_GB2312"/>
                <w:kern w:val="0"/>
                <w:szCs w:val="21"/>
              </w:rPr>
              <w:t>/</w:t>
            </w:r>
            <w:r>
              <w:rPr>
                <w:rFonts w:hint="eastAsia" w:ascii="仿宋_GB2312" w:hAnsi="新宋体" w:eastAsia="仿宋_GB2312" w:cs="仿宋_GB2312"/>
                <w:kern w:val="0"/>
                <w:szCs w:val="21"/>
              </w:rPr>
              <w:t>已完成项目个数）×</w:t>
            </w:r>
            <w:r>
              <w:rPr>
                <w:rFonts w:ascii="仿宋_GB2312" w:hAnsi="新宋体" w:eastAsia="仿宋_GB2312" w:cs="仿宋_GB2312"/>
                <w:kern w:val="0"/>
                <w:szCs w:val="21"/>
              </w:rPr>
              <w:t>100%</w:t>
            </w:r>
            <w:r>
              <w:rPr>
                <w:rFonts w:hint="eastAsia" w:ascii="仿宋_GB2312" w:hAnsi="新宋体" w:eastAsia="仿宋_GB2312" w:cs="仿宋_GB2312"/>
                <w:kern w:val="0"/>
                <w:szCs w:val="21"/>
              </w:rPr>
              <w:t>。</w:t>
            </w:r>
          </w:p>
          <w:p>
            <w:pPr>
              <w:widowControl/>
              <w:spacing w:line="240" w:lineRule="exact"/>
              <w:jc w:val="left"/>
              <w:rPr>
                <w:szCs w:val="21"/>
              </w:rPr>
            </w:pPr>
            <w:r>
              <w:rPr>
                <w:rFonts w:hint="eastAsia" w:ascii="仿宋_GB2312" w:hAnsi="新宋体" w:eastAsia="仿宋_GB2312" w:cs="仿宋_GB2312"/>
                <w:kern w:val="0"/>
                <w:szCs w:val="21"/>
              </w:rPr>
              <w:t>项目质量达标是指项目决算验收合格。</w:t>
            </w:r>
          </w:p>
        </w:tc>
        <w:tc>
          <w:tcPr>
            <w:tcW w:w="2373" w:type="dxa"/>
            <w:tcBorders>
              <w:left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1.</w:t>
            </w:r>
            <w:r>
              <w:rPr>
                <w:rFonts w:hint="eastAsia" w:ascii="仿宋_GB2312" w:hAnsi="新宋体" w:eastAsia="仿宋_GB2312" w:cs="仿宋_GB2312"/>
                <w:kern w:val="0"/>
                <w:szCs w:val="21"/>
              </w:rPr>
              <w:t>项目质量达标率等于</w:t>
            </w:r>
            <w:r>
              <w:rPr>
                <w:rFonts w:ascii="仿宋_GB2312" w:hAnsi="新宋体" w:eastAsia="仿宋_GB2312" w:cs="仿宋_GB2312"/>
                <w:kern w:val="0"/>
                <w:szCs w:val="21"/>
              </w:rPr>
              <w:t>100%</w:t>
            </w:r>
            <w:r>
              <w:rPr>
                <w:rFonts w:hint="eastAsia" w:ascii="仿宋_GB2312" w:hAnsi="新宋体" w:eastAsia="仿宋_GB2312" w:cs="仿宋_GB2312"/>
                <w:kern w:val="0"/>
                <w:szCs w:val="21"/>
              </w:rPr>
              <w:t>的，得满分；</w:t>
            </w:r>
          </w:p>
          <w:p>
            <w:pPr>
              <w:widowControl/>
              <w:spacing w:line="240" w:lineRule="exact"/>
              <w:jc w:val="left"/>
              <w:rPr>
                <w:szCs w:val="21"/>
              </w:rPr>
            </w:pPr>
            <w:r>
              <w:rPr>
                <w:rFonts w:ascii="仿宋_GB2312" w:hAnsi="新宋体" w:eastAsia="仿宋_GB2312" w:cs="仿宋_GB2312"/>
                <w:kern w:val="0"/>
                <w:szCs w:val="21"/>
              </w:rPr>
              <w:t>2.</w:t>
            </w:r>
            <w:r>
              <w:rPr>
                <w:rFonts w:hint="eastAsia" w:ascii="仿宋_GB2312" w:hAnsi="新宋体" w:eastAsia="仿宋_GB2312" w:cs="仿宋_GB2312"/>
                <w:kern w:val="0"/>
                <w:szCs w:val="21"/>
              </w:rPr>
              <w:t>项目质量达标率小于或等于</w:t>
            </w:r>
            <w:r>
              <w:rPr>
                <w:rFonts w:ascii="仿宋_GB2312" w:hAnsi="新宋体" w:eastAsia="仿宋_GB2312" w:cs="仿宋_GB2312"/>
                <w:kern w:val="0"/>
                <w:szCs w:val="21"/>
              </w:rPr>
              <w:t>99%</w:t>
            </w:r>
            <w:r>
              <w:rPr>
                <w:rFonts w:hint="eastAsia" w:ascii="仿宋_GB2312" w:hAnsi="新宋体" w:eastAsia="仿宋_GB2312" w:cs="仿宋_GB2312"/>
                <w:kern w:val="0"/>
                <w:szCs w:val="21"/>
              </w:rPr>
              <w:t>的，得</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p>
          <w:p>
            <w:pPr>
              <w:widowControl/>
              <w:spacing w:line="240" w:lineRule="exact"/>
              <w:jc w:val="left"/>
              <w:rPr>
                <w:szCs w:val="21"/>
              </w:rPr>
            </w:pPr>
            <w:r>
              <w:rPr>
                <w:rFonts w:ascii="仿宋_GB2312" w:hAnsi="新宋体" w:eastAsia="仿宋_GB2312" w:cs="仿宋_GB2312"/>
                <w:kern w:val="0"/>
                <w:szCs w:val="21"/>
              </w:rPr>
              <w:t>3.</w:t>
            </w:r>
            <w:r>
              <w:rPr>
                <w:rFonts w:hint="eastAsia" w:ascii="仿宋_GB2312" w:hAnsi="新宋体" w:eastAsia="仿宋_GB2312" w:cs="仿宋_GB2312"/>
                <w:kern w:val="0"/>
                <w:szCs w:val="21"/>
              </w:rPr>
              <w:t>项目质量达标率在</w:t>
            </w:r>
            <w:r>
              <w:rPr>
                <w:rFonts w:ascii="仿宋_GB2312" w:hAnsi="新宋体" w:eastAsia="仿宋_GB2312" w:cs="仿宋_GB2312"/>
                <w:kern w:val="0"/>
                <w:szCs w:val="21"/>
              </w:rPr>
              <w:t>99%-100%</w:t>
            </w:r>
            <w:r>
              <w:rPr>
                <w:rFonts w:hint="eastAsia" w:ascii="仿宋_GB2312" w:hAnsi="新宋体" w:eastAsia="仿宋_GB2312" w:cs="仿宋_GB2312"/>
                <w:kern w:val="0"/>
                <w:szCs w:val="21"/>
              </w:rPr>
              <w:t>之间的，在</w:t>
            </w:r>
            <w:r>
              <w:rPr>
                <w:rFonts w:ascii="仿宋_GB2312" w:hAnsi="新宋体" w:eastAsia="仿宋_GB2312" w:cs="仿宋_GB2312"/>
                <w:kern w:val="0"/>
                <w:szCs w:val="21"/>
              </w:rPr>
              <w:t>0</w:t>
            </w:r>
            <w:r>
              <w:rPr>
                <w:rFonts w:hint="eastAsia" w:ascii="仿宋_GB2312" w:hAnsi="新宋体" w:eastAsia="仿宋_GB2312" w:cs="仿宋_GB2312"/>
                <w:kern w:val="0"/>
                <w:szCs w:val="21"/>
              </w:rPr>
              <w:t>和满分之间计算确定：</w:t>
            </w:r>
            <w:r>
              <w:rPr>
                <w:rFonts w:ascii="仿宋_GB2312" w:hAnsi="新宋体" w:eastAsia="仿宋_GB2312" w:cs="仿宋_GB2312"/>
                <w:kern w:val="0"/>
                <w:szCs w:val="21"/>
              </w:rPr>
              <w:t xml:space="preserve"> </w:t>
            </w:r>
          </w:p>
          <w:p>
            <w:pPr>
              <w:widowControl/>
              <w:spacing w:line="240" w:lineRule="exact"/>
              <w:jc w:val="left"/>
              <w:rPr>
                <w:szCs w:val="21"/>
              </w:rPr>
            </w:pPr>
            <w:r>
              <w:rPr>
                <w:rFonts w:hint="eastAsia" w:ascii="仿宋_GB2312" w:hAnsi="新宋体" w:eastAsia="仿宋_GB2312" w:cs="仿宋_GB2312"/>
                <w:kern w:val="0"/>
                <w:szCs w:val="21"/>
              </w:rPr>
              <w:t>得分</w:t>
            </w:r>
            <w:r>
              <w:rPr>
                <w:rFonts w:ascii="仿宋_GB2312" w:hAnsi="新宋体" w:eastAsia="仿宋_GB2312" w:cs="仿宋_GB2312"/>
                <w:kern w:val="0"/>
                <w:szCs w:val="21"/>
              </w:rPr>
              <w:t>=</w:t>
            </w:r>
            <w:r>
              <w:rPr>
                <w:rFonts w:hint="eastAsia" w:ascii="仿宋_GB2312" w:hAnsi="新宋体" w:eastAsia="仿宋_GB2312" w:cs="仿宋_GB2312"/>
                <w:kern w:val="0"/>
                <w:szCs w:val="21"/>
              </w:rPr>
              <w:t>［某部门项目质量达标率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（项目质量达标率）］</w:t>
            </w:r>
            <w:r>
              <w:rPr>
                <w:rFonts w:ascii="仿宋_GB2312" w:hAnsi="新宋体" w:eastAsia="仿宋_GB2312" w:cs="仿宋_GB2312"/>
                <w:kern w:val="0"/>
                <w:szCs w:val="21"/>
              </w:rPr>
              <w:t>/</w:t>
            </w:r>
            <w:r>
              <w:rPr>
                <w:rFonts w:hint="eastAsia" w:ascii="仿宋_GB2312" w:hAnsi="新宋体" w:eastAsia="仿宋_GB2312" w:cs="仿宋_GB2312"/>
                <w:kern w:val="0"/>
                <w:szCs w:val="21"/>
              </w:rPr>
              <w:t>［</w:t>
            </w:r>
            <w:r>
              <w:rPr>
                <w:rFonts w:ascii="仿宋_GB2312" w:hAnsi="新宋体" w:eastAsia="仿宋_GB2312" w:cs="仿宋_GB2312"/>
                <w:kern w:val="0"/>
                <w:szCs w:val="21"/>
              </w:rPr>
              <w:t>max</w:t>
            </w:r>
            <w:r>
              <w:rPr>
                <w:rFonts w:hint="eastAsia" w:ascii="仿宋_GB2312" w:hAnsi="新宋体" w:eastAsia="仿宋_GB2312" w:cs="仿宋_GB2312"/>
                <w:kern w:val="0"/>
                <w:szCs w:val="21"/>
              </w:rPr>
              <w:t>（项目质量达标率）</w:t>
            </w:r>
            <w:r>
              <w:rPr>
                <w:rFonts w:ascii="仿宋_GB2312" w:hAnsi="新宋体" w:eastAsia="仿宋_GB2312" w:cs="仿宋_GB2312"/>
                <w:kern w:val="0"/>
                <w:szCs w:val="21"/>
              </w:rPr>
              <w:t>-min</w:t>
            </w:r>
            <w:r>
              <w:rPr>
                <w:rFonts w:hint="eastAsia" w:ascii="仿宋_GB2312" w:hAnsi="新宋体" w:eastAsia="仿宋_GB2312" w:cs="仿宋_GB2312"/>
                <w:kern w:val="0"/>
                <w:szCs w:val="21"/>
              </w:rPr>
              <w:t>（项目质量达标率）］×该指标分值。</w:t>
            </w:r>
          </w:p>
        </w:tc>
        <w:tc>
          <w:tcPr>
            <w:tcW w:w="764" w:type="dxa"/>
            <w:tcBorders>
              <w:left w:val="single" w:color="auto" w:sz="4" w:space="0"/>
              <w:bottom w:val="single" w:color="auto" w:sz="4" w:space="0"/>
            </w:tcBorders>
            <w:vAlign w:val="center"/>
          </w:tcPr>
          <w:p>
            <w:pPr>
              <w:widowControl/>
              <w:spacing w:line="240" w:lineRule="exact"/>
              <w:jc w:val="left"/>
              <w:rPr>
                <w:rFonts w:hint="default" w:eastAsia="宋体"/>
                <w:szCs w:val="21"/>
                <w:lang w:val="en-US" w:eastAsia="zh-CN"/>
              </w:rPr>
            </w:pPr>
            <w:r>
              <w:rPr>
                <w:rFonts w:hint="eastAsia"/>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vAlign w:val="center"/>
          </w:tcPr>
          <w:p>
            <w:pPr>
              <w:widowControl/>
              <w:spacing w:line="240" w:lineRule="exact"/>
              <w:jc w:val="left"/>
              <w:rPr>
                <w:szCs w:val="21"/>
              </w:rPr>
            </w:pPr>
            <w:r>
              <w:rPr>
                <w:rFonts w:hint="eastAsia" w:ascii="仿宋_GB2312" w:hAnsi="新宋体" w:eastAsia="仿宋_GB2312" w:cs="仿宋_GB2312"/>
                <w:kern w:val="0"/>
                <w:szCs w:val="21"/>
              </w:rPr>
              <w:t>效果（</w:t>
            </w:r>
            <w:r>
              <w:rPr>
                <w:rFonts w:ascii="仿宋_GB2312" w:hAnsi="新宋体" w:eastAsia="仿宋_GB2312" w:cs="仿宋_GB2312"/>
                <w:kern w:val="0"/>
                <w:szCs w:val="21"/>
              </w:rPr>
              <w:t>20</w:t>
            </w:r>
            <w:r>
              <w:rPr>
                <w:rFonts w:hint="eastAsia" w:ascii="仿宋_GB2312" w:hAnsi="新宋体" w:eastAsia="仿宋_GB2312" w:cs="仿宋_GB2312"/>
                <w:kern w:val="0"/>
                <w:szCs w:val="21"/>
              </w:rPr>
              <w:t>分）</w:t>
            </w:r>
          </w:p>
        </w:tc>
        <w:tc>
          <w:tcPr>
            <w:tcW w:w="743" w:type="dxa"/>
            <w:vMerge w:val="restart"/>
            <w:tcBorders>
              <w:top w:val="single" w:color="auto"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w:t>
            </w:r>
            <w:r>
              <w:rPr>
                <w:rFonts w:ascii="仿宋_GB2312" w:hAnsi="新宋体" w:eastAsia="仿宋_GB2312" w:cs="仿宋_GB2312"/>
                <w:kern w:val="0"/>
                <w:szCs w:val="21"/>
              </w:rPr>
              <w:t>20</w:t>
            </w:r>
            <w:r>
              <w:rPr>
                <w:rFonts w:hint="eastAsia" w:ascii="仿宋_GB2312" w:hAnsi="新宋体" w:eastAsia="仿宋_GB2312" w:cs="仿宋_GB2312"/>
                <w:kern w:val="0"/>
                <w:szCs w:val="21"/>
              </w:rPr>
              <w:t>分）</w:t>
            </w: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rPr>
              <w:t>经济效益</w:t>
            </w:r>
            <w:r>
              <w:rPr>
                <w:rFonts w:hint="eastAsia" w:ascii="仿宋_GB2312" w:hAnsi="新宋体" w:eastAsia="仿宋_GB2312" w:cs="仿宋_GB2312"/>
                <w:kern w:val="0"/>
                <w:szCs w:val="21"/>
              </w:rPr>
              <w:t>（</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p>
        </w:tc>
        <w:tc>
          <w:tcPr>
            <w:tcW w:w="3436" w:type="dxa"/>
            <w:tcBorders>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评价要点：</w:t>
            </w:r>
            <w:r>
              <w:rPr>
                <w:rFonts w:ascii="仿宋" w:hAnsi="仿宋" w:eastAsia="仿宋" w:cs="仿宋"/>
                <w:color w:val="000000"/>
                <w:kern w:val="0"/>
                <w:szCs w:val="21"/>
              </w:rPr>
              <w:br w:type="textWrapping"/>
            </w:r>
            <w:r>
              <w:rPr>
                <w:rFonts w:ascii="仿宋" w:hAnsi="仿宋" w:eastAsia="仿宋" w:cs="仿宋"/>
                <w:color w:val="000000"/>
                <w:kern w:val="0"/>
                <w:szCs w:val="21"/>
              </w:rPr>
              <w:t>1.</w:t>
            </w:r>
            <w:r>
              <w:rPr>
                <w:rFonts w:hint="eastAsia" w:ascii="仿宋" w:hAnsi="仿宋" w:eastAsia="仿宋" w:cs="仿宋"/>
                <w:color w:val="000000"/>
                <w:kern w:val="0"/>
                <w:szCs w:val="21"/>
              </w:rPr>
              <w:t>通过部门所属企事业单位改革，促进了企事业单位效益增长情况；</w:t>
            </w:r>
            <w:r>
              <w:rPr>
                <w:rFonts w:ascii="仿宋" w:hAnsi="仿宋" w:eastAsia="仿宋" w:cs="仿宋"/>
                <w:color w:val="000000"/>
                <w:kern w:val="0"/>
                <w:szCs w:val="21"/>
              </w:rPr>
              <w:t xml:space="preserve">          </w:t>
            </w:r>
            <w:r>
              <w:rPr>
                <w:rFonts w:ascii="仿宋" w:hAnsi="仿宋" w:eastAsia="仿宋" w:cs="仿宋"/>
                <w:color w:val="000000"/>
                <w:kern w:val="0"/>
                <w:szCs w:val="21"/>
              </w:rPr>
              <w:br w:type="textWrapping"/>
            </w:r>
            <w:r>
              <w:rPr>
                <w:rFonts w:ascii="仿宋" w:hAnsi="仿宋" w:eastAsia="仿宋" w:cs="仿宋"/>
                <w:color w:val="000000"/>
                <w:kern w:val="0"/>
                <w:szCs w:val="21"/>
              </w:rPr>
              <w:t>2.</w:t>
            </w:r>
            <w:r>
              <w:rPr>
                <w:rFonts w:hint="eastAsia" w:ascii="仿宋" w:hAnsi="仿宋" w:eastAsia="仿宋" w:cs="仿宋"/>
                <w:color w:val="000000"/>
                <w:kern w:val="0"/>
                <w:szCs w:val="21"/>
              </w:rPr>
              <w:t>通过预算支出项目的实施，促进了行业生产能力增长，从而带动行业经济效益增长；</w:t>
            </w:r>
            <w:r>
              <w:rPr>
                <w:rFonts w:ascii="仿宋" w:hAnsi="仿宋" w:eastAsia="仿宋" w:cs="仿宋"/>
                <w:color w:val="000000"/>
                <w:kern w:val="0"/>
                <w:szCs w:val="21"/>
              </w:rPr>
              <w:br w:type="textWrapping"/>
            </w:r>
            <w:r>
              <w:rPr>
                <w:rFonts w:ascii="仿宋" w:hAnsi="仿宋" w:eastAsia="仿宋" w:cs="仿宋"/>
                <w:color w:val="000000"/>
                <w:kern w:val="0"/>
                <w:szCs w:val="21"/>
              </w:rPr>
              <w:t>3.</w:t>
            </w:r>
            <w:r>
              <w:rPr>
                <w:rFonts w:hint="eastAsia" w:ascii="仿宋" w:hAnsi="仿宋" w:eastAsia="仿宋" w:cs="仿宋"/>
                <w:color w:val="000000"/>
                <w:kern w:val="0"/>
                <w:szCs w:val="21"/>
              </w:rPr>
              <w:t>通过预算支出项目的实施，有效提高劳动效率，节约成本费用；</w:t>
            </w:r>
            <w:r>
              <w:rPr>
                <w:rFonts w:ascii="仿宋" w:hAnsi="仿宋" w:eastAsia="仿宋" w:cs="仿宋"/>
                <w:color w:val="000000"/>
                <w:kern w:val="0"/>
                <w:szCs w:val="21"/>
              </w:rPr>
              <w:br w:type="textWrapping"/>
            </w:r>
            <w:r>
              <w:rPr>
                <w:rFonts w:ascii="仿宋" w:hAnsi="仿宋" w:eastAsia="仿宋" w:cs="仿宋"/>
                <w:color w:val="000000"/>
                <w:kern w:val="0"/>
                <w:szCs w:val="21"/>
              </w:rPr>
              <w:t>4.</w:t>
            </w:r>
            <w:r>
              <w:rPr>
                <w:rFonts w:hint="eastAsia" w:ascii="仿宋" w:hAnsi="仿宋" w:eastAsia="仿宋" w:cs="仿宋"/>
                <w:color w:val="000000"/>
                <w:kern w:val="0"/>
                <w:szCs w:val="21"/>
              </w:rPr>
              <w:t>通过预算支出项目的实施，降低了损耗，从而提高了生产效益；</w:t>
            </w:r>
            <w:r>
              <w:rPr>
                <w:rFonts w:ascii="仿宋" w:hAnsi="仿宋" w:eastAsia="仿宋" w:cs="仿宋"/>
                <w:color w:val="000000"/>
                <w:kern w:val="0"/>
                <w:szCs w:val="21"/>
              </w:rPr>
              <w:br w:type="textWrapping"/>
            </w:r>
            <w:r>
              <w:rPr>
                <w:rFonts w:ascii="仿宋" w:hAnsi="仿宋" w:eastAsia="仿宋" w:cs="仿宋"/>
                <w:color w:val="000000"/>
                <w:kern w:val="0"/>
                <w:szCs w:val="21"/>
              </w:rPr>
              <w:t>5.</w:t>
            </w:r>
            <w:r>
              <w:rPr>
                <w:rFonts w:hint="eastAsia" w:ascii="仿宋" w:hAnsi="仿宋" w:eastAsia="仿宋" w:cs="仿宋"/>
                <w:color w:val="000000"/>
                <w:kern w:val="0"/>
                <w:szCs w:val="21"/>
              </w:rPr>
              <w:t>通过预算支出项目的实施，完善了突发情况的监测预警，保障了生产安全，降低了生产损失。</w:t>
            </w:r>
          </w:p>
        </w:tc>
        <w:tc>
          <w:tcPr>
            <w:tcW w:w="2373" w:type="dxa"/>
            <w:tcBorders>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widowControl/>
              <w:spacing w:line="240" w:lineRule="exact"/>
              <w:jc w:val="left"/>
              <w:rPr>
                <w:rFonts w:ascii="仿宋_GB2312" w:hAnsi="新宋体" w:eastAsia="仿宋_GB2312" w:cs="仿宋_GB2312"/>
                <w:kern w:val="0"/>
                <w:szCs w:val="21"/>
              </w:rPr>
            </w:pPr>
          </w:p>
        </w:tc>
        <w:tc>
          <w:tcPr>
            <w:tcW w:w="743" w:type="dxa"/>
            <w:vMerge w:val="continue"/>
            <w:vAlign w:val="center"/>
          </w:tcPr>
          <w:p>
            <w:pPr>
              <w:widowControl/>
              <w:spacing w:line="240" w:lineRule="exact"/>
              <w:jc w:val="left"/>
              <w:rPr>
                <w:rFonts w:ascii="仿宋_GB2312" w:hAnsi="新宋体" w:eastAsia="仿宋_GB2312" w:cs="仿宋_GB2312"/>
                <w:kern w:val="0"/>
                <w:szCs w:val="21"/>
              </w:rPr>
            </w:pPr>
          </w:p>
        </w:tc>
        <w:tc>
          <w:tcPr>
            <w:tcW w:w="1275" w:type="dxa"/>
            <w:tcBorders>
              <w:right w:val="single" w:color="auto" w:sz="4" w:space="0"/>
            </w:tcBorders>
            <w:vAlign w:val="center"/>
          </w:tcPr>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w:t>
            </w:r>
            <w:r>
              <w:rPr>
                <w:rFonts w:ascii="仿宋_GB2312" w:hAnsi="新宋体" w:eastAsia="仿宋_GB2312" w:cs="仿宋_GB2312"/>
                <w:color w:val="000000"/>
                <w:kern w:val="0"/>
                <w:szCs w:val="21"/>
              </w:rPr>
              <w:t>5</w:t>
            </w:r>
            <w:r>
              <w:rPr>
                <w:rFonts w:hint="eastAsia" w:ascii="仿宋_GB2312" w:hAnsi="新宋体" w:eastAsia="仿宋_GB2312" w:cs="仿宋_GB2312"/>
                <w:color w:val="000000"/>
                <w:kern w:val="0"/>
                <w:szCs w:val="21"/>
              </w:rPr>
              <w:t>分）</w:t>
            </w:r>
          </w:p>
        </w:tc>
        <w:tc>
          <w:tcPr>
            <w:tcW w:w="3436" w:type="dxa"/>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评价要点：</w:t>
            </w:r>
            <w:r>
              <w:rPr>
                <w:rFonts w:ascii="仿宋" w:hAnsi="仿宋" w:eastAsia="仿宋" w:cs="仿宋"/>
                <w:color w:val="000000"/>
                <w:kern w:val="0"/>
                <w:szCs w:val="21"/>
              </w:rPr>
              <w:br w:type="textWrapping"/>
            </w:r>
            <w:r>
              <w:rPr>
                <w:rFonts w:ascii="仿宋" w:hAnsi="仿宋" w:eastAsia="仿宋" w:cs="仿宋"/>
                <w:color w:val="000000"/>
                <w:kern w:val="0"/>
                <w:szCs w:val="21"/>
              </w:rPr>
              <w:t>1.</w:t>
            </w:r>
            <w:r>
              <w:rPr>
                <w:rFonts w:hint="eastAsia" w:ascii="仿宋" w:hAnsi="仿宋" w:eastAsia="仿宋" w:cs="仿宋"/>
                <w:color w:val="000000"/>
                <w:kern w:val="0"/>
                <w:szCs w:val="21"/>
              </w:rPr>
              <w:t>通过部门所属企事业单位的改革，促进了企事业单位可持续发展，带动就业增长情况；</w:t>
            </w:r>
            <w:r>
              <w:rPr>
                <w:rFonts w:ascii="仿宋" w:hAnsi="仿宋" w:eastAsia="仿宋" w:cs="仿宋"/>
                <w:color w:val="000000"/>
                <w:kern w:val="0"/>
                <w:szCs w:val="21"/>
              </w:rPr>
              <w:t xml:space="preserve">          </w:t>
            </w:r>
            <w:r>
              <w:rPr>
                <w:rFonts w:ascii="仿宋" w:hAnsi="仿宋" w:eastAsia="仿宋" w:cs="仿宋"/>
                <w:color w:val="000000"/>
                <w:kern w:val="0"/>
                <w:szCs w:val="21"/>
              </w:rPr>
              <w:br w:type="textWrapping"/>
            </w:r>
            <w:r>
              <w:rPr>
                <w:rFonts w:ascii="仿宋" w:hAnsi="仿宋" w:eastAsia="仿宋" w:cs="仿宋"/>
                <w:color w:val="000000"/>
                <w:kern w:val="0"/>
                <w:szCs w:val="21"/>
              </w:rPr>
              <w:t>2.</w:t>
            </w:r>
            <w:r>
              <w:rPr>
                <w:rFonts w:hint="eastAsia" w:ascii="仿宋" w:hAnsi="仿宋" w:eastAsia="仿宋" w:cs="仿宋"/>
                <w:color w:val="000000"/>
                <w:kern w:val="0"/>
                <w:szCs w:val="21"/>
              </w:rPr>
              <w:t>通过预算支出项目的实施，是否明显促进了行业精神文明建设；</w:t>
            </w:r>
            <w:r>
              <w:rPr>
                <w:rFonts w:ascii="仿宋" w:hAnsi="仿宋" w:eastAsia="仿宋" w:cs="仿宋"/>
                <w:color w:val="000000"/>
                <w:kern w:val="0"/>
                <w:szCs w:val="21"/>
              </w:rPr>
              <w:br w:type="textWrapping"/>
            </w:r>
            <w:r>
              <w:rPr>
                <w:rFonts w:ascii="仿宋" w:hAnsi="仿宋" w:eastAsia="仿宋" w:cs="仿宋"/>
                <w:color w:val="000000"/>
                <w:kern w:val="0"/>
                <w:szCs w:val="21"/>
              </w:rPr>
              <w:t>3.</w:t>
            </w:r>
            <w:r>
              <w:rPr>
                <w:rFonts w:hint="eastAsia" w:ascii="仿宋" w:hAnsi="仿宋" w:eastAsia="仿宋" w:cs="仿宋"/>
                <w:color w:val="000000"/>
                <w:kern w:val="0"/>
                <w:szCs w:val="21"/>
              </w:rPr>
              <w:t>通过部门履职是否明显提高城乡居民生活水平，满足了人们日益增长的物质与文化生活需求；</w:t>
            </w:r>
            <w:r>
              <w:rPr>
                <w:rFonts w:ascii="仿宋" w:hAnsi="仿宋" w:eastAsia="仿宋" w:cs="仿宋"/>
                <w:color w:val="000000"/>
                <w:kern w:val="0"/>
                <w:szCs w:val="21"/>
              </w:rPr>
              <w:br w:type="textWrapping"/>
            </w:r>
            <w:r>
              <w:rPr>
                <w:rFonts w:ascii="仿宋" w:hAnsi="仿宋" w:eastAsia="仿宋" w:cs="仿宋"/>
                <w:color w:val="000000"/>
                <w:kern w:val="0"/>
                <w:szCs w:val="21"/>
              </w:rPr>
              <w:t>4.</w:t>
            </w:r>
            <w:r>
              <w:rPr>
                <w:rFonts w:hint="eastAsia" w:ascii="仿宋" w:hAnsi="仿宋" w:eastAsia="仿宋" w:cs="仿宋"/>
                <w:color w:val="000000"/>
                <w:kern w:val="0"/>
                <w:szCs w:val="21"/>
              </w:rPr>
              <w:t>通过预算项目的实施，是否提高了劳动生产率，降低了劳动强度，促进了劳动人民的身心健康；</w:t>
            </w:r>
            <w:r>
              <w:rPr>
                <w:rFonts w:ascii="仿宋" w:hAnsi="仿宋" w:eastAsia="仿宋" w:cs="仿宋"/>
                <w:color w:val="000000"/>
                <w:kern w:val="0"/>
                <w:szCs w:val="21"/>
              </w:rPr>
              <w:br w:type="textWrapping"/>
            </w:r>
            <w:r>
              <w:rPr>
                <w:rFonts w:ascii="仿宋" w:hAnsi="仿宋" w:eastAsia="仿宋" w:cs="仿宋"/>
                <w:color w:val="000000"/>
                <w:kern w:val="0"/>
                <w:szCs w:val="21"/>
              </w:rPr>
              <w:t>5.</w:t>
            </w:r>
            <w:r>
              <w:rPr>
                <w:rFonts w:hint="eastAsia" w:ascii="仿宋" w:hAnsi="仿宋" w:eastAsia="仿宋" w:cs="仿宋"/>
                <w:color w:val="000000"/>
                <w:kern w:val="0"/>
                <w:szCs w:val="21"/>
              </w:rPr>
              <w:t>通过部门履职行业形象是否得到了大大提升了，增强了部门影响力。</w:t>
            </w:r>
          </w:p>
        </w:tc>
        <w:tc>
          <w:tcPr>
            <w:tcW w:w="2373" w:type="dxa"/>
            <w:tcBorders>
              <w:left w:val="single" w:color="auto"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widowControl/>
              <w:spacing w:line="240" w:lineRule="exact"/>
              <w:jc w:val="left"/>
              <w:rPr>
                <w:rFonts w:ascii="仿宋_GB2312" w:hAnsi="新宋体" w:eastAsia="仿宋_GB2312" w:cs="仿宋_GB2312"/>
                <w:kern w:val="0"/>
                <w:szCs w:val="21"/>
              </w:rPr>
            </w:pPr>
          </w:p>
        </w:tc>
        <w:tc>
          <w:tcPr>
            <w:tcW w:w="743" w:type="dxa"/>
            <w:vMerge w:val="continue"/>
            <w:vAlign w:val="center"/>
          </w:tcPr>
          <w:p>
            <w:pPr>
              <w:widowControl/>
              <w:spacing w:line="240" w:lineRule="exact"/>
              <w:jc w:val="left"/>
              <w:rPr>
                <w:rFonts w:ascii="仿宋_GB2312" w:hAnsi="新宋体" w:eastAsia="仿宋_GB2312" w:cs="仿宋_GB2312"/>
                <w:kern w:val="0"/>
                <w:szCs w:val="21"/>
              </w:rPr>
            </w:pPr>
          </w:p>
        </w:tc>
        <w:tc>
          <w:tcPr>
            <w:tcW w:w="1275" w:type="dxa"/>
            <w:tcBorders>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w:t>
            </w:r>
            <w:r>
              <w:rPr>
                <w:rFonts w:ascii="仿宋_GB2312" w:hAnsi="新宋体" w:eastAsia="仿宋_GB2312" w:cs="仿宋_GB2312"/>
                <w:color w:val="000000"/>
                <w:kern w:val="0"/>
                <w:szCs w:val="21"/>
              </w:rPr>
              <w:t>5</w:t>
            </w:r>
            <w:r>
              <w:rPr>
                <w:rFonts w:hint="eastAsia" w:ascii="仿宋_GB2312" w:hAnsi="新宋体" w:eastAsia="仿宋_GB2312" w:cs="仿宋_GB2312"/>
                <w:color w:val="000000"/>
                <w:kern w:val="0"/>
                <w:szCs w:val="21"/>
              </w:rPr>
              <w:t>分）</w:t>
            </w:r>
          </w:p>
        </w:tc>
        <w:tc>
          <w:tcPr>
            <w:tcW w:w="3436" w:type="dxa"/>
            <w:tcBorders>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评价要点：</w:t>
            </w:r>
            <w:r>
              <w:rPr>
                <w:rFonts w:ascii="仿宋" w:hAnsi="仿宋" w:eastAsia="仿宋" w:cs="仿宋"/>
                <w:color w:val="000000"/>
                <w:kern w:val="0"/>
                <w:szCs w:val="21"/>
              </w:rPr>
              <w:br w:type="textWrapping"/>
            </w:r>
            <w:r>
              <w:rPr>
                <w:rFonts w:ascii="仿宋" w:hAnsi="仿宋" w:eastAsia="仿宋" w:cs="仿宋"/>
                <w:color w:val="000000"/>
                <w:kern w:val="0"/>
                <w:szCs w:val="21"/>
              </w:rPr>
              <w:t>1.</w:t>
            </w:r>
            <w:r>
              <w:rPr>
                <w:rFonts w:hint="eastAsia" w:ascii="仿宋" w:hAnsi="仿宋" w:eastAsia="仿宋" w:cs="仿宋"/>
                <w:color w:val="000000"/>
                <w:kern w:val="0"/>
                <w:szCs w:val="21"/>
              </w:rPr>
              <w:t>通过预算支出项目的实施，绿色、节能环保新技术的应用和推广，明显带动各环节的节能减排，也具有一定的环境效益；</w:t>
            </w:r>
            <w:r>
              <w:rPr>
                <w:rFonts w:ascii="仿宋" w:hAnsi="仿宋" w:eastAsia="仿宋" w:cs="仿宋"/>
                <w:color w:val="000000"/>
                <w:kern w:val="0"/>
                <w:szCs w:val="21"/>
              </w:rPr>
              <w:br w:type="textWrapping"/>
            </w:r>
            <w:r>
              <w:rPr>
                <w:rFonts w:ascii="仿宋" w:hAnsi="仿宋" w:eastAsia="仿宋" w:cs="仿宋"/>
                <w:color w:val="000000"/>
                <w:kern w:val="0"/>
                <w:szCs w:val="21"/>
              </w:rPr>
              <w:t>2.</w:t>
            </w:r>
            <w:r>
              <w:rPr>
                <w:rFonts w:hint="eastAsia" w:ascii="仿宋" w:hAnsi="仿宋" w:eastAsia="仿宋" w:cs="仿宋"/>
                <w:color w:val="000000"/>
                <w:kern w:val="0"/>
                <w:szCs w:val="21"/>
              </w:rPr>
              <w:t>通过履职有效地控制虚假、伪劣、霉变等劣质产品进入市场，影响了人民生活质量，净化地市场环境；</w:t>
            </w:r>
            <w:r>
              <w:rPr>
                <w:rFonts w:ascii="仿宋" w:hAnsi="仿宋" w:eastAsia="仿宋" w:cs="仿宋"/>
                <w:color w:val="000000"/>
                <w:kern w:val="0"/>
                <w:szCs w:val="21"/>
              </w:rPr>
              <w:br w:type="textWrapping"/>
            </w:r>
            <w:r>
              <w:rPr>
                <w:rFonts w:ascii="仿宋" w:hAnsi="仿宋" w:eastAsia="仿宋" w:cs="仿宋"/>
                <w:color w:val="000000"/>
                <w:kern w:val="0"/>
                <w:szCs w:val="21"/>
              </w:rPr>
              <w:t>3.</w:t>
            </w:r>
            <w:r>
              <w:rPr>
                <w:rFonts w:hint="eastAsia" w:ascii="仿宋" w:hAnsi="仿宋" w:eastAsia="仿宋" w:cs="仿宋"/>
                <w:color w:val="000000"/>
                <w:kern w:val="0"/>
                <w:szCs w:val="21"/>
              </w:rPr>
              <w:t>通过预算支出项目的实施，是否达到减少污染物排放；</w:t>
            </w:r>
            <w:r>
              <w:rPr>
                <w:rFonts w:ascii="仿宋" w:hAnsi="仿宋" w:eastAsia="仿宋" w:cs="仿宋"/>
                <w:color w:val="000000"/>
                <w:kern w:val="0"/>
                <w:szCs w:val="21"/>
              </w:rPr>
              <w:br w:type="textWrapping"/>
            </w:r>
            <w:r>
              <w:rPr>
                <w:rFonts w:ascii="仿宋" w:hAnsi="仿宋" w:eastAsia="仿宋" w:cs="仿宋"/>
                <w:color w:val="000000"/>
                <w:kern w:val="0"/>
                <w:szCs w:val="21"/>
              </w:rPr>
              <w:t>4.</w:t>
            </w:r>
            <w:r>
              <w:rPr>
                <w:rFonts w:hint="eastAsia" w:ascii="仿宋" w:hAnsi="仿宋" w:eastAsia="仿宋" w:cs="仿宋"/>
                <w:color w:val="000000"/>
                <w:kern w:val="0"/>
                <w:szCs w:val="21"/>
              </w:rPr>
              <w:t>通过预算支出项目的实施，周围环境得到了整治，面貌得到了改善。</w:t>
            </w:r>
          </w:p>
        </w:tc>
        <w:tc>
          <w:tcPr>
            <w:tcW w:w="2373" w:type="dxa"/>
            <w:tcBorders>
              <w:left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根据不同部门履职的内容和特点，具体测算部门履职产生的生态效益。</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vAlign w:val="center"/>
          </w:tcPr>
          <w:p>
            <w:pPr>
              <w:spacing w:line="240" w:lineRule="exact"/>
              <w:rPr>
                <w:rFonts w:ascii="宋体"/>
                <w:szCs w:val="21"/>
              </w:rPr>
            </w:pPr>
          </w:p>
        </w:tc>
        <w:tc>
          <w:tcPr>
            <w:tcW w:w="743" w:type="dxa"/>
            <w:vMerge w:val="continue"/>
            <w:vAlign w:val="center"/>
          </w:tcPr>
          <w:p>
            <w:pPr>
              <w:widowControl/>
              <w:spacing w:line="240" w:lineRule="exact"/>
              <w:jc w:val="left"/>
              <w:rPr>
                <w:szCs w:val="21"/>
              </w:rPr>
            </w:pPr>
          </w:p>
        </w:tc>
        <w:tc>
          <w:tcPr>
            <w:tcW w:w="1275" w:type="dxa"/>
            <w:tcBorders>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服务对象满意度（</w:t>
            </w:r>
            <w:r>
              <w:rPr>
                <w:rFonts w:ascii="仿宋_GB2312" w:hAnsi="新宋体" w:eastAsia="仿宋_GB2312" w:cs="仿宋_GB2312"/>
                <w:kern w:val="0"/>
                <w:szCs w:val="21"/>
              </w:rPr>
              <w:t>5</w:t>
            </w:r>
            <w:r>
              <w:rPr>
                <w:rFonts w:hint="eastAsia" w:ascii="仿宋_GB2312" w:hAnsi="新宋体" w:eastAsia="仿宋_GB2312" w:cs="仿宋_GB2312"/>
                <w:kern w:val="0"/>
                <w:szCs w:val="21"/>
              </w:rPr>
              <w:t>）</w:t>
            </w:r>
          </w:p>
        </w:tc>
        <w:tc>
          <w:tcPr>
            <w:tcW w:w="3436" w:type="dxa"/>
            <w:tcBorders>
              <w:left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373" w:type="dxa"/>
            <w:tcBorders>
              <w:left w:val="single" w:color="auto" w:sz="4" w:space="0"/>
              <w:right w:val="single" w:color="auto" w:sz="4" w:space="0"/>
            </w:tcBorders>
            <w:vAlign w:val="center"/>
          </w:tcPr>
          <w:p>
            <w:pPr>
              <w:widowControl/>
              <w:spacing w:line="240" w:lineRule="exact"/>
              <w:rPr>
                <w:rFonts w:ascii="仿宋" w:hAnsi="仿宋" w:eastAsia="仿宋" w:cs="宋体"/>
                <w:kern w:val="0"/>
                <w:szCs w:val="21"/>
              </w:rPr>
            </w:pPr>
            <w:r>
              <w:rPr>
                <w:rFonts w:hint="eastAsia" w:ascii="仿宋" w:hAnsi="仿宋" w:eastAsia="仿宋" w:cs="Arial"/>
                <w:kern w:val="0"/>
                <w:szCs w:val="21"/>
              </w:rPr>
              <w:t>按照满意度调查的优秀、良好、合格、不合格给予该项指标打分：</w:t>
            </w:r>
          </w:p>
          <w:p>
            <w:pPr>
              <w:widowControl/>
              <w:spacing w:line="240" w:lineRule="exact"/>
              <w:rPr>
                <w:szCs w:val="21"/>
              </w:rPr>
            </w:pPr>
            <w:r>
              <w:rPr>
                <w:rFonts w:hint="eastAsia" w:ascii="仿宋" w:hAnsi="仿宋" w:eastAsia="仿宋" w:cs="Arial"/>
                <w:kern w:val="0"/>
                <w:szCs w:val="21"/>
              </w:rPr>
              <w:t>优秀（</w:t>
            </w:r>
            <w:r>
              <w:rPr>
                <w:rFonts w:ascii="仿宋" w:hAnsi="仿宋" w:eastAsia="仿宋" w:cs="Arial"/>
                <w:kern w:val="0"/>
                <w:szCs w:val="21"/>
              </w:rPr>
              <w:t>5</w:t>
            </w:r>
            <w:r>
              <w:rPr>
                <w:rFonts w:hint="eastAsia" w:ascii="仿宋" w:hAnsi="仿宋" w:eastAsia="仿宋" w:cs="Arial"/>
                <w:kern w:val="0"/>
                <w:szCs w:val="21"/>
              </w:rPr>
              <w:t>）；良好（</w:t>
            </w:r>
            <w:r>
              <w:rPr>
                <w:rFonts w:ascii="仿宋" w:hAnsi="仿宋" w:eastAsia="仿宋" w:cs="Arial"/>
                <w:kern w:val="0"/>
                <w:szCs w:val="21"/>
              </w:rPr>
              <w:t>3</w:t>
            </w:r>
            <w:r>
              <w:rPr>
                <w:rFonts w:hint="eastAsia" w:ascii="仿宋" w:hAnsi="仿宋" w:eastAsia="仿宋" w:cs="Arial"/>
                <w:kern w:val="0"/>
                <w:szCs w:val="21"/>
              </w:rPr>
              <w:t>）；合格（</w:t>
            </w:r>
            <w:r>
              <w:rPr>
                <w:rFonts w:ascii="仿宋" w:hAnsi="仿宋" w:eastAsia="仿宋" w:cs="Arial"/>
                <w:kern w:val="0"/>
                <w:szCs w:val="21"/>
              </w:rPr>
              <w:t>1</w:t>
            </w:r>
            <w:r>
              <w:rPr>
                <w:rFonts w:hint="eastAsia" w:ascii="仿宋" w:hAnsi="仿宋" w:eastAsia="仿宋" w:cs="Arial"/>
                <w:kern w:val="0"/>
                <w:szCs w:val="21"/>
              </w:rPr>
              <w:t>）；不合格（</w:t>
            </w:r>
            <w:r>
              <w:rPr>
                <w:rFonts w:ascii="仿宋" w:hAnsi="仿宋" w:eastAsia="仿宋" w:cs="Arial"/>
                <w:kern w:val="0"/>
                <w:szCs w:val="21"/>
              </w:rPr>
              <w:t>0</w:t>
            </w:r>
            <w:r>
              <w:rPr>
                <w:rFonts w:hint="eastAsia" w:ascii="仿宋" w:hAnsi="仿宋" w:eastAsia="仿宋" w:cs="Arial"/>
                <w:kern w:val="0"/>
                <w:szCs w:val="21"/>
              </w:rPr>
              <w:t>）。</w:t>
            </w:r>
          </w:p>
        </w:tc>
        <w:tc>
          <w:tcPr>
            <w:tcW w:w="764" w:type="dxa"/>
            <w:tcBorders>
              <w:left w:val="single" w:color="auto" w:sz="4" w:space="0"/>
            </w:tcBorders>
            <w:vAlign w:val="center"/>
          </w:tcPr>
          <w:p>
            <w:pPr>
              <w:widowControl/>
              <w:spacing w:line="240" w:lineRule="exact"/>
              <w:jc w:val="left"/>
              <w:rPr>
                <w:rFonts w:hint="eastAsia" w:eastAsia="宋体"/>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4" w:hRule="atLeast"/>
        </w:trPr>
        <w:tc>
          <w:tcPr>
            <w:tcW w:w="779" w:type="dxa"/>
            <w:vAlign w:val="center"/>
          </w:tcPr>
          <w:p>
            <w:pPr>
              <w:spacing w:line="240" w:lineRule="exact"/>
              <w:rPr>
                <w:rFonts w:ascii="宋体"/>
                <w:szCs w:val="21"/>
              </w:rPr>
            </w:pPr>
            <w:r>
              <w:rPr>
                <w:rFonts w:hint="eastAsia" w:ascii="宋体"/>
                <w:szCs w:val="21"/>
              </w:rPr>
              <w:t>合计</w:t>
            </w:r>
          </w:p>
        </w:tc>
        <w:tc>
          <w:tcPr>
            <w:tcW w:w="743" w:type="dxa"/>
            <w:tcBorders>
              <w:bottom w:val="single" w:color="auto" w:sz="4" w:space="0"/>
            </w:tcBorders>
            <w:vAlign w:val="center"/>
          </w:tcPr>
          <w:p>
            <w:pPr>
              <w:widowControl/>
              <w:spacing w:line="240" w:lineRule="exact"/>
              <w:jc w:val="left"/>
              <w:rPr>
                <w:szCs w:val="21"/>
              </w:rPr>
            </w:pPr>
          </w:p>
        </w:tc>
        <w:tc>
          <w:tcPr>
            <w:tcW w:w="1275" w:type="dxa"/>
            <w:tcBorders>
              <w:right w:val="single" w:color="auto" w:sz="4" w:space="0"/>
            </w:tcBorders>
            <w:vAlign w:val="center"/>
          </w:tcPr>
          <w:p>
            <w:pPr>
              <w:widowControl/>
              <w:spacing w:line="240" w:lineRule="exact"/>
              <w:jc w:val="left"/>
              <w:rPr>
                <w:rFonts w:ascii="仿宋_GB2312" w:hAnsi="新宋体" w:eastAsia="仿宋_GB2312" w:cs="仿宋_GB2312"/>
                <w:kern w:val="0"/>
                <w:szCs w:val="21"/>
              </w:rPr>
            </w:pPr>
          </w:p>
        </w:tc>
        <w:tc>
          <w:tcPr>
            <w:tcW w:w="3436" w:type="dxa"/>
            <w:tcBorders>
              <w:left w:val="single" w:color="auto"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p>
        </w:tc>
        <w:tc>
          <w:tcPr>
            <w:tcW w:w="2373" w:type="dxa"/>
            <w:tcBorders>
              <w:left w:val="single" w:color="auto" w:sz="4" w:space="0"/>
              <w:right w:val="single" w:color="auto" w:sz="4" w:space="0"/>
            </w:tcBorders>
            <w:vAlign w:val="center"/>
          </w:tcPr>
          <w:p>
            <w:pPr>
              <w:widowControl/>
              <w:spacing w:line="240" w:lineRule="exact"/>
              <w:rPr>
                <w:rFonts w:ascii="仿宋" w:hAnsi="仿宋" w:eastAsia="仿宋" w:cs="Arial"/>
                <w:kern w:val="0"/>
                <w:szCs w:val="21"/>
              </w:rPr>
            </w:pPr>
          </w:p>
        </w:tc>
        <w:tc>
          <w:tcPr>
            <w:tcW w:w="764" w:type="dxa"/>
            <w:tcBorders>
              <w:left w:val="single" w:color="auto" w:sz="4" w:space="0"/>
            </w:tcBorders>
            <w:vAlign w:val="center"/>
          </w:tcPr>
          <w:p>
            <w:pPr>
              <w:widowControl/>
              <w:spacing w:line="240" w:lineRule="exact"/>
              <w:jc w:val="left"/>
              <w:rPr>
                <w:rFonts w:hint="default" w:eastAsia="宋体"/>
                <w:szCs w:val="21"/>
                <w:lang w:val="en-US" w:eastAsia="zh-CN"/>
              </w:rPr>
            </w:pPr>
            <w:r>
              <w:rPr>
                <w:rFonts w:hint="eastAsia"/>
                <w:szCs w:val="21"/>
                <w:lang w:val="en-US" w:eastAsia="zh-CN"/>
              </w:rPr>
              <w:t>96</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rPr>
          <w:rFonts w:hint="eastAsia" w:ascii="仿宋" w:hAnsi="仿宋" w:eastAsia="仿宋" w:cs="仿宋"/>
          <w:b/>
          <w:bCs/>
          <w:sz w:val="30"/>
          <w:szCs w:val="30"/>
        </w:rPr>
      </w:pPr>
    </w:p>
    <w:p>
      <w:pPr>
        <w:spacing w:line="580" w:lineRule="exact"/>
        <w:jc w:val="center"/>
        <w:rPr>
          <w:rFonts w:hint="eastAsia" w:ascii="方正小标宋_GBK" w:eastAsia="方正小标宋_GBK" w:cs="Times New Roman"/>
          <w:sz w:val="40"/>
          <w:szCs w:val="40"/>
          <w:lang w:val="en-US" w:eastAsia="zh-CN"/>
        </w:rPr>
      </w:pPr>
      <w:r>
        <w:rPr>
          <w:rFonts w:hint="eastAsia" w:ascii="方正小标宋_GBK" w:eastAsia="方正小标宋_GBK" w:cs="Times New Roman"/>
          <w:sz w:val="40"/>
          <w:szCs w:val="40"/>
          <w:lang w:val="en-US" w:eastAsia="zh-CN"/>
        </w:rPr>
        <w:t>威县城市管理综合行政执法局</w:t>
      </w:r>
    </w:p>
    <w:p>
      <w:pPr>
        <w:spacing w:line="580" w:lineRule="exact"/>
        <w:jc w:val="center"/>
        <w:rPr>
          <w:rFonts w:ascii="方正小标宋_GBK" w:eastAsia="方正小标宋_GBK"/>
          <w:sz w:val="40"/>
          <w:szCs w:val="40"/>
        </w:rPr>
      </w:pPr>
      <w:r>
        <w:rPr>
          <w:rFonts w:hint="eastAsia" w:ascii="方正小标宋_GBK" w:eastAsia="方正小标宋_GBK"/>
          <w:sz w:val="40"/>
          <w:szCs w:val="40"/>
          <w:lang w:val="en-US" w:eastAsia="zh-CN"/>
        </w:rPr>
        <w:t>2021年度</w:t>
      </w:r>
      <w:r>
        <w:rPr>
          <w:rFonts w:hint="eastAsia" w:ascii="方正小标宋_GBK" w:eastAsia="方正小标宋_GBK"/>
          <w:sz w:val="40"/>
          <w:szCs w:val="40"/>
        </w:rPr>
        <w:t>项目绩效评价自评报告</w:t>
      </w:r>
    </w:p>
    <w:p>
      <w:pPr>
        <w:pStyle w:val="2"/>
        <w:rPr>
          <w:rFonts w:hint="default"/>
          <w:lang w:val="en-US" w:eastAsia="zh-CN"/>
        </w:rPr>
      </w:pPr>
    </w:p>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（1）贯彻执行国家、省、市有关城乡管理综合执法和城乡建设管理工作的法律、法规及规章，结合我县实际，拟定城乡管理综合执法和城乡管理方面的办法措施、中长期规划和年度计划并组织实施。</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（2）负责市容环境卫生方面法律、法规、规章规定的行政执法工作并行使行政处罚权。依法强制拆除不符合城市市容标准、环境卫生标准的建筑物或者设施。</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3）负责县城规划区及乡镇重点区域的城乡规划管理方面法律、法规、规章规定的综合执法工作，对未取得《建设工程规划许可证》或者违反建设工程规划许可证规定进行建设、严重影响城乡规划的行为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（4）负责县城规划区及乡镇重点区域绿化管理方面法律、法规、规章规定的综合执法工作并行使行政处罚权。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（5）负责城市市政管理方面法律、法规、规章规定的综合执法工作并行使行政处罚权。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（6）负责城乡环境保护方面的法律、法规、规章规定的综合执法工作，对在全县范围内，因堆放、焚烧而产生有毒有害烟尘、恶臭气体物质的行为行使行政处罚权。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（7）负责工商行政管理方面法律、法规、规章规定的涉及城乡管理方面的综合执法工作，对县城规划区及乡镇重点区域的道路、公园、广场等公共场所的无照经营行为行使行政处罚权。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（8）负责公安交通管理方面法律、法规、规章规定的涉及城乡管理方面的综合执法工作，对违反机动车停放、临时停放规定侵占城乡道路的行为行使行政处罚权。</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（9）负责城乡管理综合执法中的投诉受理、应诉和行政复议工作。</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（10）负责城乡管理综合执法协调工作。牵头组织并协调与城乡管理和城管综合执法有联系的县政府部门，共同做好城乡管理综合执法工作。</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11）负责县城规划区及乡镇重点区域环境卫生管理工作。负责县城规划区及乡镇重点区域的环境的清扫保洁和城市生活垃圾的清运、污淤水管道清理管理工作；负责县城规划区及乡镇重点区域建筑垃圾的处置和管理工作；负责城乡环卫设施建设、维护、管理工作。</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12）负责县城规划区及乡镇重点区域绿化管理工作。参与制定城乡绿化规划；负责编制全县园林绿化计划并组织实施；负责全县全民义务植树工作；负责全县绿化、美化工作；负责全县园林设施建设和维护的管理工作；指导全县风景林地的管护工作；负责收取城乡绿化用地补偿费、绿化占用费等工作。</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（13）负责县城规划区及乡镇重点区域市容市貌管理工作。负责制定城市容貌标准、城市容貌综合整治实施方案并组织实施。</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14）负责县城规划区及乡镇重点区域市政基础设施管理工作。负责县城规划区及乡镇重点区域市政基础设施，包括道路、桥涵、路灯、地下雨水污水管道的建设、维护与管理；负责编制市政公用设施维护资金计划以及到位资金的使用和管理。</w:t>
      </w:r>
    </w:p>
    <w:p>
      <w:pPr>
        <w:snapToGrid w:val="0"/>
        <w:spacing w:line="520" w:lineRule="exact"/>
        <w:ind w:firstLine="0" w:firstLineChars="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（15）负责对占用工程建设项目中的有关环境卫生、市政设施、园林绿化、城市排水及市场建设等的设计方案和竣工验收。</w:t>
      </w:r>
    </w:p>
    <w:p>
      <w:pPr>
        <w:snapToGrid w:val="0"/>
        <w:spacing w:line="520" w:lineRule="exact"/>
        <w:ind w:firstLine="640" w:firstLineChars="200"/>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（16）参与审查工程建设项目中的有关环境卫生、市政设施、园林绿化、城市排水及市场建设等的设计方案和竣工验收。</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cs="Times New Roman"/>
          <w:kern w:val="2"/>
          <w:sz w:val="32"/>
          <w:szCs w:val="32"/>
          <w:lang w:val="en-US" w:eastAsia="zh-CN" w:bidi="ar"/>
        </w:rPr>
        <w:t>（17）承办县政府交办的其它事项。</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w:t>
      </w:r>
    </w:p>
    <w:p>
      <w:pPr>
        <w:snapToGrid w:val="0"/>
        <w:spacing w:line="520" w:lineRule="exact"/>
        <w:ind w:firstLine="640" w:firstLineChars="200"/>
        <w:rPr>
          <w:rFonts w:hint="eastAsia" w:ascii="仿宋_GB2312" w:hAnsi="仿宋" w:eastAsia="仿宋_GB2312" w:cs="Times New Roman"/>
          <w:sz w:val="32"/>
          <w:szCs w:val="32"/>
          <w:lang w:bidi="ar"/>
        </w:rPr>
      </w:pPr>
      <w:r>
        <w:rPr>
          <w:rFonts w:hint="eastAsia" w:ascii="仿宋_GB2312" w:hAnsi="仿宋" w:eastAsia="仿宋_GB2312" w:cs="Times New Roman"/>
          <w:kern w:val="2"/>
          <w:sz w:val="32"/>
          <w:szCs w:val="32"/>
          <w:lang w:val="en-US" w:eastAsia="zh-CN" w:bidi="ar"/>
        </w:rPr>
        <w:t>本部门为行政机关，纳入本部门决算汇编范围的独立核算单位共1个，与上年相比无变化。</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w:t>
      </w:r>
    </w:p>
    <w:p>
      <w:pPr>
        <w:numPr>
          <w:ilvl w:val="0"/>
          <w:numId w:val="0"/>
        </w:numPr>
        <w:snapToGrid/>
        <w:spacing w:line="240" w:lineRule="auto"/>
        <w:ind w:firstLine="640" w:firstLineChars="200"/>
        <w:outlineLvl w:val="9"/>
        <w:rPr>
          <w:rFonts w:hint="eastAsia" w:ascii="仿宋" w:hAnsi="仿宋" w:eastAsia="仿宋" w:cs="仿宋"/>
          <w:sz w:val="32"/>
          <w:szCs w:val="32"/>
        </w:rPr>
      </w:pPr>
      <w:r>
        <w:rPr>
          <w:rFonts w:hint="eastAsia" w:ascii="仿宋" w:hAnsi="仿宋" w:eastAsia="仿宋" w:cs="仿宋"/>
          <w:kern w:val="2"/>
          <w:sz w:val="32"/>
          <w:szCs w:val="32"/>
          <w:lang w:val="en-US" w:eastAsia="zh-CN" w:bidi="ar"/>
        </w:rPr>
        <w:t>本年末在职人员425人，其中公务员10人，事业人员415人。一般公共预算财政拨款（补助）开支人数51人。与上年相比减少8人，变化原因是新增退休人员。</w:t>
      </w:r>
    </w:p>
    <w:p>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（二）当年取得的主要事业成效。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 w:hAnsi="仿宋" w:eastAsia="仿宋" w:cs="仿宋"/>
          <w:b w:val="0"/>
          <w:bCs w:val="0"/>
          <w:sz w:val="32"/>
          <w:szCs w:val="32"/>
          <w:lang w:val="en-US" w:eastAsia="zh-CN"/>
        </w:rPr>
      </w:pPr>
      <w:r>
        <w:rPr>
          <w:rFonts w:hint="eastAsia" w:ascii="楷体" w:hAnsi="楷体" w:eastAsia="楷体" w:cs="楷体"/>
          <w:sz w:val="32"/>
          <w:szCs w:val="32"/>
          <w:lang w:val="en-US" w:eastAsia="zh-CN"/>
        </w:rPr>
        <w:t xml:space="preserve">1、【疫情防控】 </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按照年初我县常态化疫情防控要求，制定出台了《威县应对新型冠状病毒肺炎疫情环境消杀和医废处理分指挥部工作预案》、</w:t>
      </w:r>
      <w:r>
        <w:rPr>
          <w:rFonts w:hint="eastAsia" w:ascii="仿宋" w:hAnsi="仿宋" w:eastAsia="仿宋" w:cs="仿宋"/>
          <w:sz w:val="32"/>
          <w:szCs w:val="32"/>
          <w:lang w:val="en-US" w:eastAsia="zh-CN"/>
        </w:rPr>
        <w:t>《威县城市管理综合行政执法局爱国卫生大扫除暨疫情防控大消杀活动实施方案》等工作方案</w:t>
      </w:r>
      <w:r>
        <w:rPr>
          <w:rFonts w:hint="eastAsia" w:ascii="仿宋" w:hAnsi="仿宋" w:eastAsia="仿宋" w:cs="仿宋"/>
          <w:b w:val="0"/>
          <w:bCs w:val="0"/>
          <w:sz w:val="32"/>
          <w:szCs w:val="32"/>
          <w:lang w:val="en-US" w:eastAsia="zh-CN"/>
        </w:rPr>
        <w:t>。</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抽调70名工作人员，负责7个小区、</w:t>
      </w:r>
      <w:r>
        <w:rPr>
          <w:rFonts w:hint="eastAsia" w:ascii="仿宋" w:hAnsi="仿宋" w:eastAsia="仿宋" w:cs="仿宋"/>
          <w:b w:val="0"/>
          <w:bCs w:val="0"/>
          <w:sz w:val="32"/>
          <w:szCs w:val="32"/>
          <w:lang w:val="en-US" w:eastAsia="zh-CN"/>
        </w:rPr>
        <w:t>1493家其他类门店</w:t>
      </w:r>
      <w:r>
        <w:rPr>
          <w:rFonts w:hint="eastAsia" w:ascii="仿宋" w:hAnsi="仿宋" w:eastAsia="仿宋" w:cs="仿宋"/>
          <w:sz w:val="32"/>
          <w:szCs w:val="32"/>
          <w:lang w:val="en-US" w:eastAsia="zh-CN"/>
        </w:rPr>
        <w:t>各项常态化疫情管控工作。</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根据我县疫情防控需要，我局安排专人每天对城区所有公共区域进行全面消毒消杀，</w:t>
      </w:r>
      <w:r>
        <w:rPr>
          <w:rFonts w:hint="eastAsia" w:ascii="仿宋" w:hAnsi="仿宋" w:eastAsia="仿宋" w:cs="仿宋"/>
          <w:b w:val="0"/>
          <w:bCs w:val="0"/>
          <w:sz w:val="32"/>
          <w:szCs w:val="32"/>
          <w:lang w:val="en-US" w:eastAsia="zh-CN"/>
        </w:rPr>
        <w:t>为防疫工作顺利推进做出了贡献。</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积极督促本单位、分包社区、行业主管及其他人员进行加强针接种工作，截止12月底累计督促接种311人。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2、</w:t>
      </w:r>
      <w:r>
        <w:rPr>
          <w:rFonts w:hint="eastAsia" w:ascii="楷体" w:hAnsi="楷体" w:eastAsia="楷体" w:cs="楷体"/>
          <w:sz w:val="32"/>
          <w:szCs w:val="32"/>
          <w:lang w:val="en-US" w:eastAsia="zh-CN"/>
        </w:rPr>
        <w:t xml:space="preserve">【市容市貌】 </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抓好程序审批、要件办理工作，2021年我局累计办理行政处罚案件6件，罚款9700元。</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加大城市广告牌匾整治力度，截止目前共计规范牌匾893处。</w:t>
      </w:r>
      <w:r>
        <w:rPr>
          <w:rFonts w:hint="eastAsia" w:ascii="仿宋" w:hAnsi="仿宋" w:eastAsia="仿宋" w:cs="仿宋"/>
          <w:b/>
          <w:bCs/>
          <w:sz w:val="32"/>
          <w:szCs w:val="32"/>
          <w:lang w:val="en-US" w:eastAsia="zh-CN"/>
        </w:rPr>
        <w:t>三是</w:t>
      </w:r>
      <w:r>
        <w:rPr>
          <w:rFonts w:hint="eastAsia" w:ascii="仿宋" w:hAnsi="仿宋" w:eastAsia="仿宋" w:cs="仿宋"/>
          <w:b w:val="0"/>
          <w:bCs w:val="0"/>
          <w:sz w:val="32"/>
          <w:szCs w:val="32"/>
          <w:lang w:val="en-US" w:eastAsia="zh-CN"/>
        </w:rPr>
        <w:t>按照上级领导要求，在我县城区开展了一次市容市貌专项整治工作，</w:t>
      </w:r>
      <w:r>
        <w:rPr>
          <w:rFonts w:hint="eastAsia" w:ascii="仿宋" w:hAnsi="仿宋" w:eastAsia="仿宋" w:cs="仿宋"/>
          <w:sz w:val="32"/>
          <w:szCs w:val="32"/>
          <w:lang w:val="en-US" w:eastAsia="zh-CN"/>
        </w:rPr>
        <w:t>今年累计整治私搭乱建、垃圾乱倒、污水乱排等城市“十乱”1495处。</w:t>
      </w:r>
      <w:r>
        <w:rPr>
          <w:rFonts w:hint="eastAsia" w:ascii="仿宋" w:hAnsi="仿宋" w:eastAsia="仿宋" w:cs="仿宋"/>
          <w:b/>
          <w:bCs/>
          <w:sz w:val="32"/>
          <w:szCs w:val="32"/>
          <w:lang w:val="en-US" w:eastAsia="zh-CN"/>
        </w:rPr>
        <w:t>四是</w:t>
      </w:r>
      <w:r>
        <w:rPr>
          <w:rFonts w:hint="eastAsia" w:ascii="仿宋" w:hAnsi="仿宋" w:eastAsia="仿宋" w:cs="仿宋"/>
          <w:sz w:val="32"/>
          <w:szCs w:val="32"/>
          <w:lang w:val="en-US" w:eastAsia="zh-CN"/>
        </w:rPr>
        <w:t>根据环保要求，专门调配了7个中队，加大对辖区内所有餐饮门市油烟净化设施的督查力度，督促相关门店业主半月清洗一次相关设施并建立清洗台账。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0"/>
          <w:szCs w:val="30"/>
          <w:lang w:val="en-US" w:eastAsia="zh-CN"/>
        </w:rPr>
      </w:pPr>
      <w:r>
        <w:rPr>
          <w:rFonts w:hint="eastAsia" w:ascii="楷体" w:hAnsi="楷体" w:eastAsia="楷体" w:cs="楷体"/>
          <w:sz w:val="32"/>
          <w:szCs w:val="32"/>
          <w:lang w:val="en-US" w:eastAsia="zh-CN"/>
        </w:rPr>
        <w:t xml:space="preserve">3、【市政维护】 </w:t>
      </w:r>
      <w:r>
        <w:rPr>
          <w:rFonts w:hint="eastAsia" w:ascii="仿宋" w:hAnsi="仿宋" w:eastAsia="仿宋" w:cs="仿宋"/>
          <w:b/>
          <w:bCs/>
          <w:sz w:val="32"/>
          <w:szCs w:val="32"/>
          <w:lang w:val="en-US" w:eastAsia="zh-CN"/>
        </w:rPr>
        <w:t>一是城区街道路灯安装及维护方面。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对晨光大街(自强路至开放路)、燕山路美食街西头等九条城区道路安装路灯465盏，箱式变电站5台，铺设配套电缆19960米；②维修路灯150处，更换北外街(顺城路至开放路)路灯地埋电缆2900米，更换破损路灯控制柜39个。</w:t>
      </w:r>
      <w:r>
        <w:rPr>
          <w:rFonts w:hint="eastAsia" w:ascii="仿宋" w:hAnsi="仿宋" w:eastAsia="仿宋" w:cs="仿宋"/>
          <w:b/>
          <w:bCs/>
          <w:sz w:val="32"/>
          <w:szCs w:val="32"/>
          <w:lang w:val="en-US" w:eastAsia="zh-CN"/>
        </w:rPr>
        <w:t>二是雨污管网及河道清淤方面。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对爱国路、光明路、交通大街北段、洺水东路（世纪大街以东）等街道15公里雨污管网进行了清淤疏通；②对金水河、琉璃河、洺水河、六支渠共计21.5公里河道进行了清淤疏通、垃圾清理。</w:t>
      </w:r>
      <w:r>
        <w:rPr>
          <w:rFonts w:hint="eastAsia" w:ascii="仿宋" w:hAnsi="仿宋" w:eastAsia="仿宋" w:cs="仿宋"/>
          <w:b/>
          <w:bCs/>
          <w:sz w:val="32"/>
          <w:szCs w:val="32"/>
          <w:lang w:val="en-US" w:eastAsia="zh-CN"/>
        </w:rPr>
        <w:t>三是管网的铺设及维护方面。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在棉纺路（世纪大街至晨光大街）铺设中水管道1100米，安装取水口20个；②修复光明路污水井52处、西二环10处，修复交通大街北段污水井支管3处；③更换破损</w:t>
      </w:r>
      <w:r>
        <w:rPr>
          <w:rFonts w:hint="eastAsia" w:ascii="仿宋" w:hAnsi="仿宋" w:eastAsia="仿宋" w:cs="仿宋"/>
          <w:sz w:val="32"/>
          <w:szCs w:val="32"/>
        </w:rPr>
        <w:t>检查井、收水口</w:t>
      </w:r>
      <w:r>
        <w:rPr>
          <w:rFonts w:hint="eastAsia" w:ascii="仿宋" w:hAnsi="仿宋" w:eastAsia="仿宋" w:cs="仿宋"/>
          <w:sz w:val="32"/>
          <w:szCs w:val="32"/>
          <w:lang w:val="en-US" w:eastAsia="zh-CN"/>
        </w:rPr>
        <w:t>180处</w:t>
      </w:r>
      <w:r>
        <w:rPr>
          <w:rFonts w:hint="eastAsia" w:ascii="仿宋" w:hAnsi="仿宋" w:eastAsia="仿宋" w:cs="仿宋"/>
          <w:sz w:val="32"/>
          <w:szCs w:val="32"/>
          <w:lang w:eastAsia="zh-CN"/>
        </w:rPr>
        <w:t>；④</w:t>
      </w:r>
      <w:r>
        <w:rPr>
          <w:rFonts w:hint="eastAsia" w:ascii="仿宋" w:hAnsi="仿宋" w:eastAsia="仿宋" w:cs="仿宋"/>
          <w:sz w:val="32"/>
          <w:szCs w:val="32"/>
          <w:lang w:val="en-US" w:eastAsia="zh-CN"/>
        </w:rPr>
        <w:t>对琉璃河两岸污水管道渗漏点进行了修复。</w:t>
      </w:r>
      <w:r>
        <w:rPr>
          <w:rFonts w:hint="eastAsia" w:ascii="仿宋" w:hAnsi="仿宋" w:eastAsia="仿宋" w:cs="仿宋"/>
          <w:b/>
          <w:bCs/>
          <w:sz w:val="32"/>
          <w:szCs w:val="32"/>
          <w:lang w:val="en-US" w:eastAsia="zh-CN"/>
        </w:rPr>
        <w:t>四是停车位建设及路面修复方面。</w:t>
      </w:r>
      <w:r>
        <w:rPr>
          <w:rFonts w:hint="eastAsia" w:ascii="仿宋" w:hAnsi="仿宋" w:eastAsia="仿宋" w:cs="仿宋"/>
          <w:b w:val="0"/>
          <w:bCs w:val="0"/>
          <w:sz w:val="32"/>
          <w:szCs w:val="32"/>
          <w:lang w:val="en-US" w:eastAsia="zh-CN"/>
        </w:rPr>
        <w:t>①</w:t>
      </w:r>
      <w:r>
        <w:rPr>
          <w:rFonts w:hint="eastAsia" w:ascii="仿宋" w:hAnsi="仿宋" w:eastAsia="仿宋"/>
          <w:sz w:val="32"/>
          <w:szCs w:val="32"/>
          <w:lang w:val="en-US" w:eastAsia="zh-CN"/>
        </w:rPr>
        <w:t>在顺城路工商银行西侧、图书馆周围、交通大街振威市场、燕山路华联超市共计规划1100个停车位；②</w:t>
      </w:r>
      <w:r>
        <w:rPr>
          <w:rFonts w:hint="eastAsia" w:ascii="仿宋" w:hAnsi="仿宋" w:eastAsia="仿宋" w:cs="仿宋"/>
          <w:sz w:val="32"/>
          <w:szCs w:val="32"/>
          <w:lang w:val="en-US" w:eastAsia="zh-CN"/>
        </w:rPr>
        <w:t>修补破损路面800平方米</w:t>
      </w:r>
      <w:r>
        <w:rPr>
          <w:rFonts w:hint="eastAsia" w:ascii="仿宋" w:hAnsi="仿宋" w:eastAsia="仿宋" w:cs="仿宋"/>
          <w:sz w:val="32"/>
          <w:szCs w:val="32"/>
          <w:lang w:eastAsia="zh-CN"/>
        </w:rPr>
        <w:t>、</w:t>
      </w:r>
      <w:r>
        <w:rPr>
          <w:rFonts w:hint="eastAsia" w:ascii="仿宋" w:hAnsi="仿宋" w:eastAsia="仿宋" w:cs="仿宋"/>
          <w:sz w:val="32"/>
          <w:szCs w:val="32"/>
        </w:rPr>
        <w:t>人行道</w:t>
      </w:r>
      <w:r>
        <w:rPr>
          <w:rFonts w:hint="eastAsia" w:ascii="仿宋" w:hAnsi="仿宋" w:eastAsia="仿宋" w:cs="仿宋"/>
          <w:sz w:val="32"/>
          <w:szCs w:val="32"/>
          <w:lang w:val="en-US" w:eastAsia="zh-CN"/>
        </w:rPr>
        <w:t>1200平方米。</w:t>
      </w:r>
      <w:r>
        <w:rPr>
          <w:rFonts w:hint="eastAsia" w:ascii="仿宋" w:hAnsi="仿宋" w:eastAsia="仿宋" w:cs="仿宋"/>
          <w:b/>
          <w:bCs/>
          <w:sz w:val="32"/>
          <w:szCs w:val="32"/>
          <w:lang w:val="en-US" w:eastAsia="zh-CN"/>
        </w:rPr>
        <w:t>五是市政设施建设方面。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城乡一体化垃圾转运站建设，第什营、赵村镇中转站整体建设工作已完成，近期将组织竣工验收；②公厕建设，共计</w:t>
      </w:r>
      <w:r>
        <w:rPr>
          <w:rFonts w:hint="eastAsia" w:ascii="仿宋" w:hAnsi="仿宋" w:eastAsia="仿宋" w:cs="仿宋"/>
          <w:sz w:val="30"/>
          <w:szCs w:val="30"/>
          <w:lang w:val="en-US" w:eastAsia="zh-CN"/>
        </w:rPr>
        <w:t>新建10座、改造1座，目前，主体工程及装修已完工，正在进行电、给水、排水的安装。</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 xml:space="preserve">4、【园林绿化】 </w:t>
      </w:r>
      <w:r>
        <w:rPr>
          <w:rFonts w:hint="eastAsia" w:ascii="仿宋" w:hAnsi="仿宋" w:eastAsia="仿宋" w:cs="仿宋"/>
          <w:b/>
          <w:bCs/>
          <w:color w:val="auto"/>
          <w:sz w:val="32"/>
          <w:szCs w:val="32"/>
          <w:lang w:eastAsia="zh-CN"/>
        </w:rPr>
        <w:t>一是</w:t>
      </w:r>
      <w:r>
        <w:rPr>
          <w:rFonts w:hint="eastAsia" w:ascii="仿宋" w:hAnsi="仿宋" w:eastAsia="仿宋" w:cs="仿宋"/>
          <w:b/>
          <w:bCs/>
          <w:sz w:val="32"/>
          <w:szCs w:val="32"/>
          <w:lang w:val="en-US" w:eastAsia="zh-CN"/>
        </w:rPr>
        <w:t>重大节日绿化美化方面。</w:t>
      </w:r>
      <w:r>
        <w:rPr>
          <w:rFonts w:hint="eastAsia" w:ascii="仿宋" w:hAnsi="仿宋" w:eastAsia="仿宋" w:cs="仿宋"/>
          <w:color w:val="auto"/>
          <w:sz w:val="32"/>
          <w:szCs w:val="32"/>
          <w:lang w:eastAsia="zh-CN"/>
        </w:rPr>
        <w:t>①</w:t>
      </w:r>
      <w:r>
        <w:rPr>
          <w:rFonts w:hint="eastAsia" w:ascii="仿宋" w:hAnsi="仿宋" w:eastAsia="仿宋" w:cs="仿宋"/>
          <w:sz w:val="32"/>
          <w:szCs w:val="32"/>
          <w:lang w:val="en-US" w:eastAsia="zh-CN"/>
        </w:rPr>
        <w:t>“七一”建党期间，在人民广场摆放串红、天门冬、孔雀草、牵牛等造型花坛约3万余盆；</w:t>
      </w:r>
      <w:r>
        <w:rPr>
          <w:rFonts w:hint="eastAsia" w:ascii="仿宋" w:hAnsi="仿宋" w:eastAsia="仿宋" w:cs="仿宋"/>
          <w:b w:val="0"/>
          <w:bCs w:val="0"/>
          <w:sz w:val="32"/>
          <w:szCs w:val="32"/>
          <w:lang w:val="en-US" w:eastAsia="zh-CN"/>
        </w:rPr>
        <w:t>②</w:t>
      </w:r>
      <w:r>
        <w:rPr>
          <w:rFonts w:hint="eastAsia" w:ascii="仿宋" w:hAnsi="仿宋" w:eastAsia="仿宋" w:cs="仿宋"/>
          <w:sz w:val="32"/>
          <w:szCs w:val="32"/>
          <w:lang w:val="en-US" w:eastAsia="zh-CN"/>
        </w:rPr>
        <w:t>“国庆”期间对人民广场实施造型花卉摆放，架设长12米、高4米立体造型花卉一座，摆放串红、天门冬、孔雀草、牵牛等造型花坛约3万余盆。</w:t>
      </w:r>
      <w:r>
        <w:rPr>
          <w:rFonts w:hint="eastAsia" w:ascii="仿宋" w:hAnsi="仿宋" w:eastAsia="仿宋" w:cs="仿宋"/>
          <w:b/>
          <w:bCs/>
          <w:sz w:val="32"/>
          <w:szCs w:val="32"/>
          <w:lang w:val="en-US" w:eastAsia="zh-CN"/>
        </w:rPr>
        <w:t>二是城区绿化补植补栽方面。</w:t>
      </w:r>
      <w:r>
        <w:rPr>
          <w:rFonts w:hint="eastAsia" w:ascii="仿宋" w:hAnsi="仿宋" w:eastAsia="仿宋" w:cs="仿宋"/>
          <w:sz w:val="32"/>
          <w:szCs w:val="32"/>
          <w:lang w:val="en-US" w:eastAsia="zh-CN"/>
        </w:rPr>
        <w:t>对开放路、广场公园、西一环缺株断垄进行了补植补栽，补植绿篱6000余平，补栽青杄、紫薇、高杆月季、樱花等色彩植物200余株。</w:t>
      </w:r>
      <w:r>
        <w:rPr>
          <w:rFonts w:hint="eastAsia" w:ascii="仿宋" w:hAnsi="仿宋" w:eastAsia="仿宋" w:cs="仿宋"/>
          <w:b/>
          <w:bCs/>
          <w:sz w:val="32"/>
          <w:szCs w:val="32"/>
          <w:lang w:val="en-US" w:eastAsia="zh-CN"/>
        </w:rPr>
        <w:t>三是城区绿化养护管理方面。</w:t>
      </w:r>
      <w:r>
        <w:rPr>
          <w:rFonts w:hint="eastAsia" w:ascii="仿宋" w:hAnsi="仿宋" w:eastAsia="仿宋" w:cs="仿宋"/>
          <w:b w:val="0"/>
          <w:bCs w:val="0"/>
          <w:sz w:val="32"/>
          <w:szCs w:val="32"/>
          <w:lang w:val="en-US" w:eastAsia="zh-CN"/>
        </w:rPr>
        <w:t>①对城区顺城路游园、风情园、财政游园、电力游园、洺阳游园等15处接头游园进行了提升改造，目前改造工作完成。②</w:t>
      </w:r>
      <w:r>
        <w:rPr>
          <w:rFonts w:hint="eastAsia" w:ascii="仿宋" w:hAnsi="仿宋" w:eastAsia="仿宋" w:cs="仿宋"/>
          <w:sz w:val="32"/>
          <w:szCs w:val="32"/>
          <w:lang w:val="en-US" w:eastAsia="zh-CN"/>
        </w:rPr>
        <w:t>对城区街道、广场公园的绿篱模纹球类植物进行了修剪，对中华大街、顺城路绿植进行了定型修剪，对洺水路、交通街绿植进行了缩冠防风抗倒伏修剪。</w:t>
      </w:r>
      <w:r>
        <w:rPr>
          <w:rFonts w:hint="eastAsia" w:ascii="仿宋" w:hAnsi="仿宋" w:eastAsia="仿宋" w:cs="仿宋"/>
          <w:b w:val="0"/>
          <w:bCs w:val="0"/>
          <w:sz w:val="32"/>
          <w:szCs w:val="32"/>
          <w:lang w:val="en-US" w:eastAsia="zh-CN"/>
        </w:rPr>
        <w:t>③</w:t>
      </w:r>
      <w:r>
        <w:rPr>
          <w:rFonts w:hint="eastAsia" w:ascii="仿宋" w:hAnsi="仿宋" w:eastAsia="仿宋" w:cs="仿宋"/>
          <w:sz w:val="32"/>
          <w:szCs w:val="32"/>
          <w:lang w:val="en-US" w:eastAsia="zh-CN"/>
        </w:rPr>
        <w:t>对城区内的绿化苗木进行了死树干枝和杂草的清理、病虫害防治、返青浇水、抗旱浇水、绿地防火、绿化带抑尘等日常管护工作。</w:t>
      </w:r>
      <w:r>
        <w:rPr>
          <w:rFonts w:hint="eastAsia" w:ascii="仿宋" w:hAnsi="仿宋" w:eastAsia="仿宋" w:cs="仿宋"/>
          <w:b w:val="0"/>
          <w:bCs w:val="0"/>
          <w:sz w:val="32"/>
          <w:szCs w:val="32"/>
          <w:lang w:val="en-US" w:eastAsia="zh-CN"/>
        </w:rPr>
        <w:t>④</w:t>
      </w:r>
      <w:r>
        <w:rPr>
          <w:rFonts w:hint="eastAsia" w:ascii="仿宋" w:hAnsi="仿宋" w:eastAsia="仿宋" w:cs="仿宋"/>
          <w:sz w:val="32"/>
          <w:szCs w:val="32"/>
          <w:lang w:val="en-US" w:eastAsia="zh-CN"/>
        </w:rPr>
        <w:t>对印月湖公园，王浚公园，北海公园进行图突击式集中养护。</w:t>
      </w:r>
      <w:r>
        <w:rPr>
          <w:rFonts w:hint="eastAsia" w:ascii="仿宋" w:hAnsi="仿宋" w:eastAsia="仿宋" w:cs="仿宋"/>
          <w:b w:val="0"/>
          <w:bCs w:val="0"/>
          <w:sz w:val="32"/>
          <w:szCs w:val="32"/>
          <w:lang w:val="en-US" w:eastAsia="zh-CN"/>
        </w:rPr>
        <w:t>⑤</w:t>
      </w:r>
      <w:r>
        <w:rPr>
          <w:rFonts w:hint="eastAsia" w:ascii="仿宋" w:hAnsi="仿宋" w:eastAsia="仿宋" w:cs="仿宋"/>
          <w:sz w:val="32"/>
          <w:szCs w:val="32"/>
          <w:lang w:val="en-US" w:eastAsia="zh-CN"/>
        </w:rPr>
        <w:t>迎接省农业结构调整现场会的召开，燕山路，友谊路，三多大街上的树木进行显露路灯的修剪。⑥</w:t>
      </w:r>
      <w:r>
        <w:rPr>
          <w:rFonts w:hint="eastAsia" w:ascii="仿宋" w:hAnsi="仿宋" w:eastAsia="仿宋" w:cs="仿宋"/>
          <w:b w:val="0"/>
          <w:bCs w:val="0"/>
          <w:sz w:val="32"/>
          <w:szCs w:val="32"/>
          <w:lang w:val="en-US" w:eastAsia="zh-CN"/>
        </w:rPr>
        <w:t>为</w:t>
      </w:r>
      <w:r>
        <w:rPr>
          <w:rFonts w:hint="eastAsia" w:ascii="仿宋" w:hAnsi="仿宋" w:eastAsia="仿宋" w:cs="仿宋"/>
          <w:sz w:val="32"/>
          <w:szCs w:val="32"/>
          <w:lang w:val="en-US" w:eastAsia="zh-CN"/>
        </w:rPr>
        <w:t>了迎接国家园林城市的复查，对开放路、跨越路、振兴南大街进行绿植修剪、绿地卫生等方面的综合整治。</w:t>
      </w:r>
      <w:r>
        <w:rPr>
          <w:rFonts w:hint="eastAsia" w:ascii="仿宋" w:hAnsi="仿宋" w:eastAsia="仿宋" w:cs="仿宋"/>
          <w:b/>
          <w:bCs/>
          <w:sz w:val="32"/>
          <w:szCs w:val="32"/>
          <w:lang w:val="en-US" w:eastAsia="zh-CN"/>
        </w:rPr>
        <w:t>四是高速口绿化养护管理方面。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对开放路（大广高速-腾飞大街）的景观雕塑、小品进行了粉刷。</w:t>
      </w:r>
      <w:r>
        <w:rPr>
          <w:rFonts w:hint="eastAsia" w:ascii="仿宋" w:hAnsi="仿宋" w:eastAsia="仿宋" w:cs="仿宋"/>
          <w:b w:val="0"/>
          <w:bCs w:val="0"/>
          <w:sz w:val="32"/>
          <w:szCs w:val="32"/>
          <w:lang w:val="en-US" w:eastAsia="zh-CN"/>
        </w:rPr>
        <w:t>②</w:t>
      </w:r>
      <w:r>
        <w:rPr>
          <w:rFonts w:hint="eastAsia" w:ascii="仿宋" w:hAnsi="仿宋" w:eastAsia="仿宋" w:cs="仿宋"/>
          <w:sz w:val="32"/>
          <w:szCs w:val="32"/>
          <w:lang w:val="en-US" w:eastAsia="zh-CN"/>
        </w:rPr>
        <w:t>对赵村高速下道口至君乐宝牧场地被进行补植补栽，补植大叶秋葵8000余平方米，摆放花卉5万余盆。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 xml:space="preserve">5、【环境卫生】 </w:t>
      </w:r>
      <w:r>
        <w:rPr>
          <w:rFonts w:hint="eastAsia" w:ascii="仿宋" w:hAnsi="仿宋" w:eastAsia="仿宋" w:cs="仿宋"/>
          <w:b/>
          <w:bCs/>
          <w:color w:val="auto"/>
          <w:sz w:val="32"/>
          <w:szCs w:val="32"/>
          <w:lang w:eastAsia="zh-CN"/>
        </w:rPr>
        <w:t>一是城乡环卫外包方面。</w:t>
      </w:r>
      <w:r>
        <w:rPr>
          <w:rFonts w:hint="eastAsia" w:ascii="仿宋" w:hAnsi="仿宋" w:eastAsia="仿宋" w:cs="仿宋"/>
          <w:b w:val="0"/>
          <w:bCs w:val="0"/>
          <w:sz w:val="32"/>
          <w:szCs w:val="32"/>
          <w:lang w:val="en-US" w:eastAsia="zh-CN"/>
        </w:rPr>
        <w:t>为进一步提升农村环卫保洁水平，按照县委、县政府要求，引入河北德昂环境工程有限公司，将原慧丰清轩公司承担的8个乡镇521个村庄卫生，交于河北德昂进行保洁，构建竞争机制。</w:t>
      </w:r>
      <w:r>
        <w:rPr>
          <w:rFonts w:hint="eastAsia" w:ascii="仿宋" w:hAnsi="仿宋" w:eastAsia="仿宋" w:cs="仿宋"/>
          <w:b/>
          <w:bCs/>
          <w:color w:val="auto"/>
          <w:sz w:val="32"/>
          <w:szCs w:val="32"/>
          <w:lang w:eastAsia="zh-CN"/>
        </w:rPr>
        <w:t>二是积存垃圾清理方面。</w:t>
      </w:r>
      <w:r>
        <w:rPr>
          <w:rFonts w:hint="eastAsia" w:ascii="仿宋" w:hAnsi="仿宋" w:eastAsia="仿宋" w:cs="仿宋"/>
          <w:sz w:val="32"/>
          <w:szCs w:val="32"/>
          <w:lang w:val="en-US" w:eastAsia="zh-CN"/>
        </w:rPr>
        <w:t>共出动环卫工人6000余人次、各类大型机械车辆300余台次、各类清运车辆500余车次，对城区、开发区及农村500余处积存垃圾点进行了彻底清理，共计清理各类生活垃圾2300余吨。</w:t>
      </w:r>
      <w:r>
        <w:rPr>
          <w:rFonts w:hint="eastAsia" w:ascii="仿宋" w:hAnsi="仿宋" w:eastAsia="仿宋" w:cs="仿宋"/>
          <w:b/>
          <w:bCs/>
          <w:sz w:val="32"/>
          <w:szCs w:val="32"/>
          <w:lang w:val="en-US" w:eastAsia="zh-CN"/>
        </w:rPr>
        <w:t>三是全民洗城行动。</w:t>
      </w:r>
      <w:r>
        <w:rPr>
          <w:rFonts w:hint="eastAsia" w:ascii="仿宋" w:hAnsi="仿宋" w:eastAsia="仿宋" w:cs="仿宋"/>
          <w:sz w:val="32"/>
          <w:szCs w:val="32"/>
          <w:lang w:val="en-US" w:eastAsia="zh-CN"/>
        </w:rPr>
        <w:t>按照县委、县政府安排，县城区每月按时开展“全民洗城”行动，各单位根据分包区域全员齐上阵，共出动洒水车48车次，多功能湿扫车32车次，环卫工人300余人次，对街道、便道、绿化带、公共场所、公共设施、墙体立面进行了全方位清洗扫除。</w:t>
      </w:r>
      <w:r>
        <w:rPr>
          <w:rFonts w:hint="eastAsia" w:ascii="仿宋" w:hAnsi="仿宋" w:eastAsia="仿宋" w:cs="仿宋"/>
          <w:b/>
          <w:bCs/>
          <w:sz w:val="32"/>
          <w:szCs w:val="32"/>
          <w:lang w:val="en-US" w:eastAsia="zh-CN"/>
        </w:rPr>
        <w:t>四是垃圾场运行方面。</w:t>
      </w:r>
      <w:r>
        <w:rPr>
          <w:rFonts w:hint="eastAsia" w:ascii="仿宋" w:hAnsi="仿宋" w:eastAsia="仿宋" w:cs="仿宋"/>
          <w:b w:val="0"/>
          <w:bCs w:val="0"/>
          <w:sz w:val="32"/>
          <w:szCs w:val="32"/>
          <w:lang w:val="en-US" w:eastAsia="zh-CN"/>
        </w:rPr>
        <w:t>①</w:t>
      </w:r>
      <w:r>
        <w:rPr>
          <w:rFonts w:hint="eastAsia" w:ascii="仿宋" w:hAnsi="仿宋" w:eastAsia="仿宋" w:cs="仿宋"/>
          <w:sz w:val="32"/>
          <w:szCs w:val="32"/>
          <w:lang w:val="en-US" w:eastAsia="zh-CN"/>
        </w:rPr>
        <w:t>威县绿源垃圾处理厂企业改制已于三月底改制完成。</w:t>
      </w:r>
      <w:r>
        <w:rPr>
          <w:rFonts w:hint="eastAsia" w:ascii="仿宋" w:hAnsi="仿宋" w:eastAsia="仿宋" w:cs="仿宋"/>
          <w:b w:val="0"/>
          <w:bCs w:val="0"/>
          <w:sz w:val="32"/>
          <w:szCs w:val="32"/>
          <w:lang w:val="en-US" w:eastAsia="zh-CN"/>
        </w:rPr>
        <w:t>②</w:t>
      </w:r>
      <w:r>
        <w:rPr>
          <w:rFonts w:hint="eastAsia" w:ascii="仿宋" w:hAnsi="仿宋" w:eastAsia="仿宋" w:cs="仿宋"/>
          <w:sz w:val="32"/>
          <w:szCs w:val="32"/>
          <w:lang w:val="en-US" w:eastAsia="zh-CN"/>
        </w:rPr>
        <w:t>垃圾处理厂已于四月底停止接受生活垃圾，并开始进行填埋区场地平整、全面覆土工作，截至目前，</w:t>
      </w:r>
      <w:r>
        <w:rPr>
          <w:rFonts w:hint="eastAsia" w:ascii="仿宋" w:hAnsi="仿宋" w:eastAsia="仿宋" w:cs="仿宋"/>
          <w:b w:val="0"/>
          <w:bCs w:val="0"/>
          <w:sz w:val="32"/>
          <w:szCs w:val="32"/>
          <w:u w:val="none" w:color="auto"/>
          <w:lang w:val="en-US" w:eastAsia="zh-CN"/>
        </w:rPr>
        <w:t>共平整场地4万余平方米，着重填埋1.5万余平方米，累计使用填埋土方20000余立方</w:t>
      </w:r>
      <w:r>
        <w:rPr>
          <w:rFonts w:hint="eastAsia" w:ascii="仿宋" w:hAnsi="仿宋" w:eastAsia="仿宋" w:cs="仿宋"/>
          <w:sz w:val="32"/>
          <w:szCs w:val="32"/>
          <w:lang w:val="en-US" w:eastAsia="zh-CN"/>
        </w:rPr>
        <w:t>。同时为</w:t>
      </w:r>
      <w:r>
        <w:rPr>
          <w:rFonts w:hint="eastAsia" w:ascii="仿宋" w:hAnsi="仿宋" w:eastAsia="仿宋" w:cs="仿宋"/>
          <w:b w:val="0"/>
          <w:bCs w:val="0"/>
          <w:sz w:val="32"/>
          <w:szCs w:val="32"/>
          <w:lang w:val="en-US" w:eastAsia="zh-CN"/>
        </w:rPr>
        <w:t>防范垃圾气味扩散，对沼气燃烧火炬进行了检修，并更换破损沼气收集罩10个。③</w:t>
      </w:r>
      <w:r>
        <w:rPr>
          <w:rFonts w:hint="eastAsia" w:ascii="仿宋" w:hAnsi="仿宋" w:eastAsia="仿宋" w:cs="仿宋"/>
          <w:sz w:val="32"/>
          <w:szCs w:val="32"/>
          <w:lang w:val="en-US" w:eastAsia="zh-CN"/>
        </w:rPr>
        <w:t>生活垃圾焚烧发电项目，4月份首次并网一次成功，</w:t>
      </w:r>
      <w:r>
        <w:rPr>
          <w:rFonts w:hint="eastAsia" w:ascii="仿宋" w:hAnsi="仿宋" w:eastAsia="仿宋"/>
          <w:sz w:val="32"/>
          <w:szCs w:val="32"/>
        </w:rPr>
        <w:t>5月2</w:t>
      </w:r>
      <w:r>
        <w:rPr>
          <w:rFonts w:ascii="仿宋" w:hAnsi="仿宋" w:eastAsia="仿宋"/>
          <w:sz w:val="32"/>
          <w:szCs w:val="32"/>
        </w:rPr>
        <w:t>6</w:t>
      </w:r>
      <w:r>
        <w:rPr>
          <w:rFonts w:hint="eastAsia" w:ascii="仿宋" w:hAnsi="仿宋" w:eastAsia="仿宋"/>
          <w:sz w:val="32"/>
          <w:szCs w:val="32"/>
        </w:rPr>
        <w:t>日提前完成全厂7</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24</w:t>
      </w:r>
      <w:r>
        <w:rPr>
          <w:rFonts w:hint="eastAsia" w:ascii="仿宋" w:hAnsi="仿宋" w:eastAsia="仿宋"/>
          <w:sz w:val="32"/>
          <w:szCs w:val="32"/>
        </w:rPr>
        <w:t>小时整套启动试运，进入试生产阶段</w:t>
      </w:r>
      <w:r>
        <w:rPr>
          <w:rFonts w:hint="eastAsia" w:ascii="仿宋" w:hAnsi="仿宋" w:eastAsia="仿宋"/>
          <w:sz w:val="32"/>
          <w:szCs w:val="32"/>
          <w:lang w:eastAsia="zh-CN"/>
        </w:rPr>
        <w:t>，并于</w:t>
      </w:r>
      <w:r>
        <w:rPr>
          <w:rFonts w:hint="eastAsia" w:ascii="仿宋" w:hAnsi="仿宋" w:eastAsia="仿宋"/>
          <w:sz w:val="32"/>
          <w:szCs w:val="32"/>
          <w:lang w:val="en-US" w:eastAsia="zh-CN"/>
        </w:rPr>
        <w:t>10月1日开始正式运行</w:t>
      </w:r>
      <w:r>
        <w:rPr>
          <w:rFonts w:hint="eastAsia" w:ascii="仿宋" w:hAnsi="仿宋" w:eastAsia="仿宋"/>
          <w:sz w:val="32"/>
          <w:szCs w:val="32"/>
        </w:rPr>
        <w:t>，</w:t>
      </w:r>
      <w:r>
        <w:rPr>
          <w:rFonts w:hint="eastAsia" w:ascii="仿宋" w:hAnsi="仿宋" w:eastAsia="仿宋"/>
          <w:sz w:val="32"/>
          <w:szCs w:val="32"/>
          <w:lang w:eastAsia="zh-CN"/>
        </w:rPr>
        <w:t>目前</w:t>
      </w:r>
      <w:r>
        <w:rPr>
          <w:rFonts w:hint="eastAsia" w:ascii="仿宋" w:hAnsi="仿宋" w:eastAsia="仿宋"/>
          <w:sz w:val="32"/>
          <w:szCs w:val="32"/>
        </w:rPr>
        <w:t>各项参数均达到设计要求，环保排放稳定达标。</w:t>
      </w:r>
      <w:r>
        <w:rPr>
          <w:rFonts w:hint="eastAsia" w:ascii="仿宋" w:hAnsi="仿宋" w:eastAsia="仿宋" w:cs="仿宋"/>
          <w:b w:val="0"/>
          <w:bCs w:val="0"/>
          <w:sz w:val="32"/>
          <w:szCs w:val="32"/>
          <w:lang w:val="en-US" w:eastAsia="zh-CN"/>
        </w:rPr>
        <w:t>④</w:t>
      </w:r>
      <w:r>
        <w:rPr>
          <w:rFonts w:hint="eastAsia" w:ascii="仿宋" w:hAnsi="仿宋" w:eastAsia="仿宋" w:cs="仿宋"/>
          <w:sz w:val="32"/>
          <w:szCs w:val="32"/>
          <w:lang w:val="en-US" w:eastAsia="zh-CN"/>
        </w:rPr>
        <w:t>加快飞灰填埋场建设，在威县绿源垃圾处理厂（已于今年4月底停运）填埋区东侧改造建设飞灰填埋区，设计飞灰处理规模30吨/日，设计库容2.3万立方米，有效库容2.2万立方米，使用年限2.5年。该项目已完成选址、施工图设计、概算书编制及审批等工作，并于12月24日进行了专家论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sz w:val="32"/>
          <w:szCs w:val="32"/>
          <w:lang w:val="en-US" w:eastAsia="zh-CN"/>
        </w:rPr>
        <w:t xml:space="preserve">6、【集中供热】 </w:t>
      </w:r>
      <w:r>
        <w:rPr>
          <w:rFonts w:hint="eastAsia" w:ascii="仿宋" w:hAnsi="仿宋" w:eastAsia="仿宋" w:cs="仿宋"/>
          <w:b/>
          <w:bCs/>
          <w:color w:val="auto"/>
          <w:sz w:val="32"/>
          <w:szCs w:val="32"/>
          <w:lang w:eastAsia="zh-CN"/>
        </w:rPr>
        <w:t>一是</w:t>
      </w:r>
      <w:r>
        <w:rPr>
          <w:rFonts w:hint="eastAsia" w:ascii="仿宋" w:hAnsi="仿宋" w:eastAsia="仿宋" w:cs="仿宋"/>
          <w:b w:val="0"/>
          <w:bCs w:val="0"/>
          <w:sz w:val="32"/>
          <w:szCs w:val="32"/>
          <w:lang w:val="en-US" w:eastAsia="zh-CN"/>
        </w:rPr>
        <w:t>督促河北崇羌热力公司做好提前供热准备，提前完成城区131个集中供热小区及单位进行注水试压，对50座换热站、85座城区供热管网主阀门和189个城区室温采集点进行了检修保养。</w:t>
      </w:r>
      <w:r>
        <w:rPr>
          <w:rFonts w:hint="eastAsia" w:ascii="仿宋" w:hAnsi="仿宋" w:eastAsia="仿宋" w:cs="仿宋"/>
          <w:b/>
          <w:bCs/>
          <w:color w:val="auto"/>
          <w:sz w:val="32"/>
          <w:szCs w:val="32"/>
          <w:lang w:val="en-US" w:eastAsia="zh-CN"/>
        </w:rPr>
        <w:t>二是</w:t>
      </w:r>
      <w:r>
        <w:rPr>
          <w:rFonts w:hint="eastAsia" w:ascii="仿宋" w:hAnsi="仿宋" w:eastAsia="仿宋" w:cs="仿宋"/>
          <w:b w:val="0"/>
          <w:bCs w:val="0"/>
          <w:sz w:val="32"/>
          <w:szCs w:val="32"/>
          <w:lang w:val="en-US" w:eastAsia="zh-CN"/>
        </w:rPr>
        <w:t>制定应急保供预案，督促供热公司组建抢修队伍8组、入户报修小组16组，配备应急抢修车6辆，确保供热问题能及时处置。</w:t>
      </w:r>
      <w:r>
        <w:rPr>
          <w:rFonts w:hint="eastAsia" w:ascii="仿宋" w:hAnsi="仿宋" w:eastAsia="仿宋" w:cs="仿宋"/>
          <w:b/>
          <w:bCs/>
          <w:color w:val="auto"/>
          <w:sz w:val="32"/>
          <w:szCs w:val="32"/>
          <w:lang w:val="en-US" w:eastAsia="zh-CN"/>
        </w:rPr>
        <w:t>三是</w:t>
      </w:r>
      <w:r>
        <w:rPr>
          <w:rFonts w:hint="eastAsia" w:ascii="仿宋" w:hAnsi="仿宋" w:eastAsia="仿宋" w:cs="仿宋"/>
          <w:b w:val="0"/>
          <w:bCs w:val="0"/>
          <w:sz w:val="32"/>
          <w:szCs w:val="32"/>
          <w:lang w:val="en-US" w:eastAsia="zh-CN"/>
        </w:rPr>
        <w:t>关注民生舆情，及时公开供热报修电话、供热投诉电话，建立调度中心、客户服务热线24小时值班制度，要求群众反映的供热问题当日处置、定期回访，确保问题不过夜，情况不反弹，累计接到市长热线、县长热线供热问题134个，用户报修电话67个，阳光理政50个，主要反映家中不热、温度不高等问题，均已通过对楼道入户过滤网清洗、更换放气阀等措施处理，温度均回升至20度以上，处置率100%。</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 xml:space="preserve">7、【燃气监管】  </w:t>
      </w:r>
      <w:r>
        <w:rPr>
          <w:rFonts w:hint="eastAsia" w:ascii="仿宋" w:hAnsi="仿宋" w:eastAsia="仿宋" w:cs="仿宋"/>
          <w:b/>
          <w:bCs/>
          <w:color w:val="auto"/>
          <w:sz w:val="32"/>
          <w:szCs w:val="32"/>
          <w:lang w:val="en-US" w:eastAsia="zh-CN"/>
        </w:rPr>
        <w:t>一是</w:t>
      </w:r>
      <w:r>
        <w:rPr>
          <w:rFonts w:hint="eastAsia" w:ascii="仿宋" w:hAnsi="仿宋" w:eastAsia="仿宋" w:cs="仿宋"/>
          <w:sz w:val="32"/>
          <w:szCs w:val="32"/>
          <w:lang w:val="en-US" w:eastAsia="zh-CN"/>
        </w:rPr>
        <w:t>在信和商厦门口开展了两次燃气用气安全知识宣传活动，并发放宣传单15000张。</w:t>
      </w:r>
      <w:r>
        <w:rPr>
          <w:rFonts w:hint="eastAsia" w:ascii="仿宋" w:hAnsi="仿宋" w:eastAsia="仿宋" w:cs="仿宋"/>
          <w:b/>
          <w:bCs/>
          <w:color w:val="auto"/>
          <w:sz w:val="32"/>
          <w:szCs w:val="32"/>
          <w:lang w:val="en-US" w:eastAsia="zh-CN"/>
        </w:rPr>
        <w:t>二是</w:t>
      </w:r>
      <w:r>
        <w:rPr>
          <w:rFonts w:hint="eastAsia" w:ascii="仿宋" w:hAnsi="仿宋" w:eastAsia="仿宋" w:cs="仿宋"/>
          <w:b w:val="0"/>
          <w:bCs w:val="0"/>
          <w:sz w:val="32"/>
          <w:szCs w:val="32"/>
          <w:lang w:val="en-US" w:eastAsia="zh-CN"/>
        </w:rPr>
        <w:t>在城区内</w:t>
      </w:r>
      <w:r>
        <w:rPr>
          <w:rFonts w:hint="eastAsia" w:ascii="仿宋" w:hAnsi="仿宋" w:eastAsia="仿宋" w:cs="仿宋"/>
          <w:b w:val="0"/>
          <w:bCs w:val="0"/>
          <w:kern w:val="2"/>
          <w:sz w:val="32"/>
          <w:szCs w:val="32"/>
          <w:lang w:val="en-US" w:eastAsia="zh-CN" w:bidi="ar-SA"/>
        </w:rPr>
        <w:t>共出动检查人员120人次，检查城镇燃气25个小区和8个城中村共5210户，</w:t>
      </w:r>
      <w:r>
        <w:rPr>
          <w:rFonts w:hint="eastAsia" w:ascii="仿宋" w:hAnsi="仿宋" w:eastAsia="仿宋" w:cs="仿宋"/>
          <w:sz w:val="32"/>
          <w:szCs w:val="32"/>
          <w:lang w:val="en-US" w:eastAsia="zh-CN"/>
        </w:rPr>
        <w:t>对</w:t>
      </w:r>
      <w:r>
        <w:rPr>
          <w:rFonts w:hint="eastAsia" w:ascii="仿宋" w:hAnsi="仿宋" w:eastAsia="仿宋" w:cs="仿宋"/>
          <w:kern w:val="2"/>
          <w:sz w:val="32"/>
          <w:szCs w:val="32"/>
          <w:u w:val="none"/>
          <w:shd w:val="clear" w:color="auto" w:fill="auto"/>
          <w:lang w:val="en-US" w:eastAsia="zh-CN" w:bidi="zh-TW"/>
        </w:rPr>
        <w:t>村外市政中压管线950公里、庭院管网1520公里进行安全检查，目前已全部排查完毕，共计发现各类问题72个，均已整改完成。</w:t>
      </w:r>
      <w:r>
        <w:rPr>
          <w:rFonts w:hint="eastAsia" w:ascii="仿宋" w:hAnsi="仿宋" w:eastAsia="仿宋" w:cs="仿宋"/>
          <w:b/>
          <w:bCs/>
          <w:color w:val="auto"/>
          <w:sz w:val="32"/>
          <w:szCs w:val="32"/>
          <w:lang w:val="en-US" w:eastAsia="zh-CN"/>
        </w:rPr>
        <w:t>三是</w:t>
      </w:r>
      <w:r>
        <w:rPr>
          <w:rFonts w:hint="eastAsia" w:ascii="仿宋" w:hAnsi="仿宋" w:eastAsia="仿宋" w:cs="仿宋"/>
          <w:sz w:val="32"/>
          <w:szCs w:val="32"/>
          <w:lang w:val="en-US" w:eastAsia="zh-CN"/>
        </w:rPr>
        <w:t>燃气用户发展情况。截止目前，县城区域2021年共计新增燃气发展用户2000户。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 xml:space="preserve">8、【污水处理】 </w:t>
      </w:r>
      <w:r>
        <w:rPr>
          <w:rFonts w:hint="eastAsia" w:ascii="仿宋" w:hAnsi="仿宋" w:eastAsia="仿宋" w:cs="仿宋"/>
          <w:b w:val="0"/>
          <w:bCs w:val="0"/>
          <w:sz w:val="32"/>
          <w:szCs w:val="32"/>
          <w:lang w:val="en-US" w:eastAsia="zh-CN"/>
        </w:rPr>
        <w:t>按照上级领导要求，为确保出水水质</w:t>
      </w:r>
      <w:r>
        <w:rPr>
          <w:rFonts w:hint="eastAsia" w:ascii="仿宋" w:hAnsi="仿宋" w:eastAsia="仿宋" w:cs="仿宋"/>
          <w:sz w:val="32"/>
          <w:szCs w:val="32"/>
          <w:lang w:val="en-US" w:eastAsia="zh-CN"/>
        </w:rPr>
        <w:t>达到黑龙港流域标准，我局今年对清源污水处理厂进行了提标改造，新建了反硝化深床滤池、液氧站、化学除磷单元、箱变设施等建筑，并改造了臭氧发生器间、鼓风机房、臭氧氧化池、加药间等，同时购置安装了一体化高效沉淀设备，目前该工程已完工。</w:t>
      </w:r>
    </w:p>
    <w:p>
      <w:pPr>
        <w:numPr>
          <w:ilvl w:val="0"/>
          <w:numId w:val="0"/>
        </w:numPr>
        <w:snapToGrid/>
        <w:spacing w:line="240" w:lineRule="auto"/>
        <w:ind w:firstLine="640" w:firstLineChars="200"/>
        <w:jc w:val="left"/>
        <w:outlineLvl w:val="9"/>
        <w:rPr>
          <w:rFonts w:hint="eastAsia" w:ascii="仿宋_GB2312" w:hAnsi="仿宋" w:eastAsia="仿宋_GB2312"/>
          <w:sz w:val="32"/>
          <w:szCs w:val="32"/>
        </w:rPr>
      </w:pPr>
    </w:p>
    <w:p>
      <w:pPr>
        <w:snapToGrid w:val="0"/>
        <w:spacing w:line="520" w:lineRule="exact"/>
        <w:ind w:firstLine="643" w:firstLineChars="200"/>
        <w:rPr>
          <w:rFonts w:hint="eastAsia" w:ascii="仿宋_GB2312" w:hAnsi="仿宋" w:eastAsia="仿宋_GB2312"/>
          <w:b/>
          <w:sz w:val="32"/>
          <w:szCs w:val="32"/>
          <w14:textFill>
            <w14:gradFill>
              <w14:gsLst>
                <w14:gs w14:pos="0">
                  <w14:srgbClr w14:val="E30000"/>
                </w14:gs>
                <w14:gs w14:pos="100000">
                  <w14:srgbClr w14:val="760303"/>
                </w14:gs>
              </w14:gsLst>
              <w14:lin w14:scaled="0"/>
            </w14:gradFill>
          </w14:textFill>
        </w:rPr>
      </w:pPr>
      <w:r>
        <w:rPr>
          <w:rFonts w:hint="eastAsia" w:ascii="仿宋_GB2312" w:hAnsi="仿宋" w:eastAsia="仿宋_GB2312"/>
          <w:b/>
          <w:sz w:val="32"/>
          <w:szCs w:val="32"/>
          <w:lang w:eastAsia="zh-CN"/>
          <w14:textFill>
            <w14:gradFill>
              <w14:gsLst>
                <w14:gs w14:pos="0">
                  <w14:srgbClr w14:val="E30000"/>
                </w14:gs>
                <w14:gs w14:pos="100000">
                  <w14:srgbClr w14:val="760303"/>
                </w14:gs>
              </w14:gsLst>
              <w14:lin w14:scaled="0"/>
            </w14:gradFill>
          </w14:textFill>
        </w:rPr>
        <w:t>（</w:t>
      </w:r>
      <w:r>
        <w:rPr>
          <w:rFonts w:hint="eastAsia" w:ascii="仿宋_GB2312" w:hAnsi="仿宋" w:eastAsia="仿宋_GB2312"/>
          <w:b/>
          <w:sz w:val="32"/>
          <w:szCs w:val="32"/>
          <w:lang w:val="en-US" w:eastAsia="zh-CN"/>
          <w14:textFill>
            <w14:gradFill>
              <w14:gsLst>
                <w14:gs w14:pos="0">
                  <w14:srgbClr w14:val="E30000"/>
                </w14:gs>
                <w14:gs w14:pos="100000">
                  <w14:srgbClr w14:val="760303"/>
                </w14:gs>
              </w14:gsLst>
              <w14:lin w14:scaled="0"/>
            </w14:gradFill>
          </w14:textFill>
        </w:rPr>
        <w:t>三</w:t>
      </w:r>
      <w:r>
        <w:rPr>
          <w:rFonts w:hint="eastAsia" w:ascii="仿宋_GB2312" w:hAnsi="仿宋" w:eastAsia="仿宋_GB2312"/>
          <w:b/>
          <w:sz w:val="32"/>
          <w:szCs w:val="32"/>
          <w:lang w:eastAsia="zh-CN"/>
          <w14:textFill>
            <w14:gradFill>
              <w14:gsLst>
                <w14:gs w14:pos="0">
                  <w14:srgbClr w14:val="E30000"/>
                </w14:gs>
                <w14:gs w14:pos="100000">
                  <w14:srgbClr w14:val="760303"/>
                </w14:gs>
              </w14:gsLst>
              <w14:lin w14:scaled="0"/>
            </w14:gradFill>
          </w14:textFill>
        </w:rPr>
        <w:t>）</w:t>
      </w:r>
      <w:r>
        <w:rPr>
          <w:rFonts w:hint="eastAsia" w:ascii="仿宋_GB2312" w:hAnsi="仿宋" w:eastAsia="仿宋_GB2312"/>
          <w:b/>
          <w:sz w:val="32"/>
          <w:szCs w:val="32"/>
          <w14:textFill>
            <w14:gradFill>
              <w14:gsLst>
                <w14:gs w14:pos="0">
                  <w14:srgbClr w14:val="E30000"/>
                </w14:gs>
                <w14:gs w14:pos="100000">
                  <w14:srgbClr w14:val="760303"/>
                </w14:gs>
              </w14:gsLst>
              <w14:lin w14:scaled="0"/>
            </w14:gradFill>
          </w14:textFill>
        </w:rPr>
        <w:t>财政拨款收入、支出分析。</w:t>
      </w:r>
    </w:p>
    <w:p>
      <w:pPr>
        <w:snapToGrid w:val="0"/>
        <w:spacing w:line="520" w:lineRule="exact"/>
        <w:ind w:firstLine="640" w:firstLineChars="200"/>
        <w:rPr>
          <w:rFonts w:hint="eastAsia" w:ascii="仿宋_GB2312" w:hAnsi="仿宋" w:eastAsia="仿宋_GB2312"/>
          <w:sz w:val="32"/>
          <w:szCs w:val="32"/>
          <w14:textFill>
            <w14:gradFill>
              <w14:gsLst>
                <w14:gs w14:pos="0">
                  <w14:srgbClr w14:val="E30000"/>
                </w14:gs>
                <w14:gs w14:pos="100000">
                  <w14:srgbClr w14:val="760303"/>
                </w14:gs>
              </w14:gsLst>
              <w14:lin w14:scaled="0"/>
            </w14:gradFill>
          </w14:textFill>
        </w:rPr>
      </w:pPr>
      <w:r>
        <w:rPr>
          <w:rFonts w:hint="eastAsia" w:ascii="仿宋_GB2312" w:hAnsi="仿宋" w:eastAsia="仿宋_GB2312"/>
          <w:sz w:val="32"/>
          <w:szCs w:val="32"/>
          <w14:textFill>
            <w14:gradFill>
              <w14:gsLst>
                <w14:gs w14:pos="0">
                  <w14:srgbClr w14:val="E30000"/>
                </w14:gs>
                <w14:gs w14:pos="100000">
                  <w14:srgbClr w14:val="760303"/>
                </w14:gs>
              </w14:gsLst>
              <w14:lin w14:scaled="0"/>
            </w14:gradFill>
          </w14:textFill>
        </w:rPr>
        <w:t>分析财政拨款收入、支出总体情况，支出要按照基本支出和项目支出分析具体构成及特点。</w:t>
      </w:r>
    </w:p>
    <w:p>
      <w:pPr>
        <w:numPr>
          <w:ilvl w:val="0"/>
          <w:numId w:val="0"/>
        </w:numPr>
        <w:snapToGrid w:val="0"/>
        <w:spacing w:line="520" w:lineRule="exact"/>
        <w:ind w:firstLine="640" w:firstLineChars="200"/>
        <w:rPr>
          <w:rFonts w:hint="eastAsia" w:ascii="仿宋_GB2312" w:hAnsi="仿宋" w:eastAsia="仿宋_GB2312" w:cs="Times New Roman"/>
          <w:kern w:val="2"/>
          <w:sz w:val="32"/>
          <w:szCs w:val="32"/>
          <w:lang w:val="en-US" w:eastAsia="zh-CN" w:bidi="ar"/>
          <w14:textFill>
            <w14:gradFill>
              <w14:gsLst>
                <w14:gs w14:pos="0">
                  <w14:srgbClr w14:val="E30000"/>
                </w14:gs>
                <w14:gs w14:pos="100000">
                  <w14:srgbClr w14:val="760303"/>
                </w14:gs>
              </w14:gsLst>
              <w14:lin w14:scaled="0"/>
            </w14:gradFill>
          </w14:textFill>
        </w:rPr>
      </w:pPr>
      <w:r>
        <w:rPr>
          <w:rFonts w:hint="eastAsia" w:ascii="仿宋_GB2312" w:hAnsi="仿宋" w:eastAsia="仿宋_GB2312" w:cs="Times New Roman"/>
          <w:kern w:val="2"/>
          <w:sz w:val="32"/>
          <w:szCs w:val="32"/>
          <w:lang w:val="en-US" w:eastAsia="zh-CN" w:bidi="ar"/>
          <w14:textFill>
            <w14:gradFill>
              <w14:gsLst>
                <w14:gs w14:pos="0">
                  <w14:srgbClr w14:val="E30000"/>
                </w14:gs>
                <w14:gs w14:pos="100000">
                  <w14:srgbClr w14:val="760303"/>
                </w14:gs>
              </w14:gsLst>
              <w14:lin w14:scaled="0"/>
            </w14:gradFill>
          </w14:textFill>
        </w:rPr>
        <w:t xml:space="preserve">财政拨款收入34531.34万元。收入功能类别与本部门业务职能相适应。                                                                                                                                                                                                                                                                                                                                                                                                                                                                                                                                                                                                                                                                                                                                                                                                                                                                                                                                                                                                                                                                                                                                                                                                                                                                                                                                                                                                                                                                                                                                                                                                                                                                                                                                                                                                                                                                                                                                                                                                                                                                                                                                                                                                                                                                                                                                                                                                                                                                                                                                                                                                                                                                                                                                                                                                                                                                                                                                                                                                                                                                                                                                                                             </w:t>
      </w:r>
    </w:p>
    <w:p>
      <w:pPr>
        <w:numPr>
          <w:ilvl w:val="0"/>
          <w:numId w:val="0"/>
        </w:numPr>
        <w:snapToGrid w:val="0"/>
        <w:spacing w:line="520" w:lineRule="exact"/>
        <w:ind w:firstLine="640" w:firstLineChars="200"/>
        <w:rPr>
          <w:rFonts w:hint="default" w:ascii="仿宋_GB2312" w:hAnsi="仿宋" w:eastAsia="仿宋_GB2312" w:cs="Times New Roman"/>
          <w:kern w:val="2"/>
          <w:sz w:val="32"/>
          <w:szCs w:val="32"/>
          <w:lang w:val="en-US" w:eastAsia="zh-CN" w:bidi="ar"/>
          <w14:textFill>
            <w14:gradFill>
              <w14:gsLst>
                <w14:gs w14:pos="0">
                  <w14:srgbClr w14:val="E30000"/>
                </w14:gs>
                <w14:gs w14:pos="100000">
                  <w14:srgbClr w14:val="760303"/>
                </w14:gs>
              </w14:gsLst>
              <w14:lin w14:scaled="0"/>
            </w14:gradFill>
          </w14:textFill>
        </w:rPr>
      </w:pPr>
      <w:r>
        <w:rPr>
          <w:rFonts w:hint="eastAsia" w:ascii="仿宋_GB2312" w:hAnsi="仿宋" w:eastAsia="仿宋_GB2312" w:cs="Times New Roman"/>
          <w:kern w:val="2"/>
          <w:sz w:val="32"/>
          <w:szCs w:val="32"/>
          <w:lang w:val="en-US" w:eastAsia="zh-CN" w:bidi="ar"/>
          <w14:textFill>
            <w14:gradFill>
              <w14:gsLst>
                <w14:gs w14:pos="0">
                  <w14:srgbClr w14:val="E30000"/>
                </w14:gs>
                <w14:gs w14:pos="100000">
                  <w14:srgbClr w14:val="760303"/>
                </w14:gs>
              </w14:gsLst>
              <w14:lin w14:scaled="0"/>
            </w14:gradFill>
          </w14:textFill>
        </w:rPr>
        <w:t>基本支出2518.17万元，其中城管执法支出2487.2万元，其他城乡社区管理事务支出30.967万元。</w:t>
      </w:r>
    </w:p>
    <w:p>
      <w:pPr>
        <w:numPr>
          <w:ilvl w:val="0"/>
          <w:numId w:val="0"/>
        </w:numPr>
        <w:snapToGrid w:val="0"/>
        <w:spacing w:line="520" w:lineRule="exact"/>
        <w:ind w:firstLine="640" w:firstLineChars="200"/>
        <w:rPr>
          <w:rFonts w:hint="default" w:ascii="仿宋_GB2312" w:hAnsi="仿宋" w:eastAsia="仿宋_GB2312"/>
          <w:sz w:val="32"/>
          <w:szCs w:val="32"/>
          <w14:textFill>
            <w14:gradFill>
              <w14:gsLst>
                <w14:gs w14:pos="0">
                  <w14:srgbClr w14:val="E30000"/>
                </w14:gs>
                <w14:gs w14:pos="100000">
                  <w14:srgbClr w14:val="760303"/>
                </w14:gs>
              </w14:gsLst>
              <w14:lin w14:scaled="0"/>
            </w14:gradFill>
          </w14:textFill>
        </w:rPr>
      </w:pPr>
      <w:r>
        <w:rPr>
          <w:rFonts w:hint="eastAsia" w:ascii="仿宋_GB2312" w:hAnsi="仿宋" w:eastAsia="仿宋_GB2312" w:cs="Times New Roman"/>
          <w:kern w:val="2"/>
          <w:sz w:val="32"/>
          <w:szCs w:val="32"/>
          <w:lang w:val="en-US" w:eastAsia="zh-CN" w:bidi="ar"/>
          <w14:textFill>
            <w14:gradFill>
              <w14:gsLst>
                <w14:gs w14:pos="0">
                  <w14:srgbClr w14:val="E30000"/>
                </w14:gs>
                <w14:gs w14:pos="100000">
                  <w14:srgbClr w14:val="760303"/>
                </w14:gs>
              </w14:gsLst>
              <w14:lin w14:scaled="0"/>
            </w14:gradFill>
          </w14:textFill>
        </w:rPr>
        <w:t>项目支出16350.27万元。其中威县公厕建设改造等绿化工程项目907.41万元，疫情期间执勤购买物资2.76万元，气代煤运行补贴及购买壁挂炉款924.29万元，清源污水处理厂提标改造项目332.43万元，城管执法专项经费94.79万元，城区绿化专项2010.96万元，专项工程建设2068.77万元，城区河道黑臭水治理29.05万元，开放路、中华大街改造等工程126.48万元，城区排水管道排查及清淤等工程743.16万元，农村环卫保洁费2976.93万元，环城排水河道综合治理工程745万元，一休化垃圾转运站配套项目及土建工程1049万元，新建换热站、供热管网改造工程3173万元。</w:t>
      </w:r>
      <w:bookmarkStart w:id="0" w:name="_GoBack"/>
      <w:bookmarkEnd w:id="0"/>
    </w:p>
    <w:p>
      <w:pPr>
        <w:numPr>
          <w:ilvl w:val="0"/>
          <w:numId w:val="1"/>
        </w:numPr>
        <w:ind w:left="-13" w:leftChars="0" w:firstLine="643" w:firstLineChars="0"/>
        <w:rPr>
          <w:rFonts w:hint="eastAsia" w:ascii="仿宋" w:hAnsi="仿宋" w:eastAsia="仿宋" w:cs="仿宋"/>
          <w:sz w:val="32"/>
          <w:szCs w:val="32"/>
        </w:rPr>
      </w:pPr>
      <w:r>
        <w:rPr>
          <w:rFonts w:hint="eastAsia" w:ascii="仿宋" w:hAnsi="仿宋" w:eastAsia="仿宋" w:cs="仿宋"/>
          <w:sz w:val="32"/>
          <w:szCs w:val="32"/>
        </w:rPr>
        <w:t>存在问题、采取的纠偏措施及改进绩效管理建议。</w:t>
      </w:r>
    </w:p>
    <w:p>
      <w:pPr>
        <w:pStyle w:val="2"/>
        <w:numPr>
          <w:ilvl w:val="0"/>
          <w:numId w:val="0"/>
        </w:numPr>
        <w:rPr>
          <w:rFonts w:hint="default" w:eastAsia="宋体"/>
          <w:lang w:val="en-US" w:eastAsia="zh-CN"/>
        </w:rPr>
      </w:pPr>
      <w:r>
        <w:rPr>
          <w:rFonts w:hint="eastAsia"/>
          <w:lang w:val="en-US" w:eastAsia="zh-CN"/>
        </w:rPr>
        <w:t xml:space="preserve">        </w:t>
      </w:r>
      <w:r>
        <w:rPr>
          <w:rFonts w:hint="eastAsia" w:ascii="仿宋_GB2312" w:hAnsi="仿宋" w:eastAsia="仿宋_GB2312" w:cs="Times New Roman"/>
          <w:kern w:val="2"/>
          <w:sz w:val="32"/>
          <w:szCs w:val="32"/>
          <w:lang w:val="en-US" w:eastAsia="zh-CN" w:bidi="ar"/>
        </w:rPr>
        <w:t xml:space="preserve"> 无意见</w:t>
      </w:r>
    </w:p>
    <w:p>
      <w:pPr>
        <w:numPr>
          <w:ilvl w:val="0"/>
          <w:numId w:val="0"/>
        </w:numPr>
        <w:ind w:firstLine="643" w:firstLineChars="200"/>
        <w:rPr>
          <w:rFonts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五</w:t>
      </w:r>
      <w:r>
        <w:rPr>
          <w:rFonts w:hint="eastAsia" w:ascii="仿宋" w:hAnsi="仿宋" w:eastAsia="仿宋" w:cs="仿宋"/>
          <w:b/>
          <w:bCs/>
          <w:sz w:val="32"/>
          <w:szCs w:val="32"/>
          <w:lang w:eastAsia="zh-CN"/>
        </w:rPr>
        <w:t>）</w:t>
      </w:r>
      <w:r>
        <w:rPr>
          <w:rFonts w:hint="eastAsia" w:ascii="仿宋" w:hAnsi="仿宋" w:eastAsia="仿宋" w:cs="仿宋"/>
          <w:sz w:val="32"/>
          <w:szCs w:val="32"/>
        </w:rPr>
        <w:t>其他需要说明的问题。</w:t>
      </w: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Fonts w:ascii="宋体"/>
        <w:sz w:val="28"/>
        <w:szCs w:val="28"/>
      </w:rPr>
    </w:pPr>
    <w:r>
      <w:rPr>
        <w:rStyle w:val="13"/>
        <w:rFonts w:ascii="宋体"/>
        <w:sz w:val="28"/>
        <w:szCs w:val="28"/>
      </w:rPr>
      <w:t>-</w:t>
    </w:r>
    <w:r>
      <w:rPr>
        <w:rStyle w:val="13"/>
        <w:rFonts w:ascii="宋体" w:hAnsi="宋体"/>
        <w:sz w:val="28"/>
        <w:szCs w:val="28"/>
      </w:rPr>
      <w:fldChar w:fldCharType="begin"/>
    </w:r>
    <w:r>
      <w:rPr>
        <w:rStyle w:val="13"/>
        <w:rFonts w:ascii="宋体" w:hAnsi="宋体"/>
        <w:sz w:val="28"/>
        <w:szCs w:val="28"/>
      </w:rPr>
      <w:instrText xml:space="preserve">PAGE  </w:instrText>
    </w:r>
    <w:r>
      <w:rPr>
        <w:rStyle w:val="13"/>
        <w:rFonts w:ascii="宋体" w:hAnsi="宋体"/>
        <w:sz w:val="28"/>
        <w:szCs w:val="28"/>
      </w:rPr>
      <w:fldChar w:fldCharType="separate"/>
    </w:r>
    <w:r>
      <w:rPr>
        <w:rStyle w:val="13"/>
        <w:rFonts w:ascii="宋体" w:hAnsi="宋体"/>
        <w:sz w:val="28"/>
        <w:szCs w:val="28"/>
      </w:rPr>
      <w:t>1</w:t>
    </w:r>
    <w:r>
      <w:rPr>
        <w:rStyle w:val="13"/>
        <w:rFonts w:ascii="宋体" w:hAnsi="宋体"/>
        <w:sz w:val="28"/>
        <w:szCs w:val="28"/>
      </w:rPr>
      <w:fldChar w:fldCharType="end"/>
    </w:r>
    <w:r>
      <w:rPr>
        <w:rStyle w:val="13"/>
        <w:rFonts w:ascii="宋体"/>
        <w:sz w:val="28"/>
        <w:szCs w:val="28"/>
      </w:rPr>
      <w:t>-</w:t>
    </w:r>
  </w:p>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4EB63"/>
    <w:multiLevelType w:val="singleLevel"/>
    <w:tmpl w:val="EBA4EB63"/>
    <w:lvl w:ilvl="0" w:tentative="0">
      <w:start w:val="4"/>
      <w:numFmt w:val="chineseCounting"/>
      <w:suff w:val="nothing"/>
      <w:lvlText w:val="（%1）"/>
      <w:lvlJc w:val="left"/>
      <w:pPr>
        <w:ind w:left="-13"/>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933"/>
    <w:rsid w:val="00002F2C"/>
    <w:rsid w:val="000070A8"/>
    <w:rsid w:val="00016CA4"/>
    <w:rsid w:val="000324AE"/>
    <w:rsid w:val="00042933"/>
    <w:rsid w:val="0008033E"/>
    <w:rsid w:val="0008759D"/>
    <w:rsid w:val="00094F2B"/>
    <w:rsid w:val="000B0A83"/>
    <w:rsid w:val="000B6322"/>
    <w:rsid w:val="000C2CC1"/>
    <w:rsid w:val="000E4A5A"/>
    <w:rsid w:val="00103547"/>
    <w:rsid w:val="0017068B"/>
    <w:rsid w:val="00185A3C"/>
    <w:rsid w:val="00192D5A"/>
    <w:rsid w:val="001C59B3"/>
    <w:rsid w:val="001E0886"/>
    <w:rsid w:val="001F7E31"/>
    <w:rsid w:val="002071BC"/>
    <w:rsid w:val="0021660B"/>
    <w:rsid w:val="00225AE6"/>
    <w:rsid w:val="00235F0F"/>
    <w:rsid w:val="00255783"/>
    <w:rsid w:val="00290BA1"/>
    <w:rsid w:val="002A6AEA"/>
    <w:rsid w:val="002F2268"/>
    <w:rsid w:val="00393240"/>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48FF"/>
    <w:rsid w:val="00712100"/>
    <w:rsid w:val="0071700D"/>
    <w:rsid w:val="00742652"/>
    <w:rsid w:val="00772600"/>
    <w:rsid w:val="007B0EF7"/>
    <w:rsid w:val="007D5D41"/>
    <w:rsid w:val="007F01F9"/>
    <w:rsid w:val="00856BA1"/>
    <w:rsid w:val="00867620"/>
    <w:rsid w:val="008709E0"/>
    <w:rsid w:val="008A6A10"/>
    <w:rsid w:val="008A6A31"/>
    <w:rsid w:val="00904AF4"/>
    <w:rsid w:val="00905542"/>
    <w:rsid w:val="00917700"/>
    <w:rsid w:val="00956F74"/>
    <w:rsid w:val="009B0B5F"/>
    <w:rsid w:val="009C04DA"/>
    <w:rsid w:val="009C4C62"/>
    <w:rsid w:val="009E3627"/>
    <w:rsid w:val="009F53E7"/>
    <w:rsid w:val="00A11BF8"/>
    <w:rsid w:val="00A14A33"/>
    <w:rsid w:val="00A6449D"/>
    <w:rsid w:val="00A768DB"/>
    <w:rsid w:val="00AA09C8"/>
    <w:rsid w:val="00AD5F30"/>
    <w:rsid w:val="00AE6223"/>
    <w:rsid w:val="00B0681D"/>
    <w:rsid w:val="00B87D8C"/>
    <w:rsid w:val="00B9023F"/>
    <w:rsid w:val="00BC1FDC"/>
    <w:rsid w:val="00BD0FD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5374814"/>
    <w:rsid w:val="0C8F0285"/>
    <w:rsid w:val="0F8F6BFC"/>
    <w:rsid w:val="107166F3"/>
    <w:rsid w:val="1C841DE7"/>
    <w:rsid w:val="3791647A"/>
    <w:rsid w:val="455969D8"/>
    <w:rsid w:val="48725571"/>
    <w:rsid w:val="4BDB04ED"/>
    <w:rsid w:val="526A3656"/>
    <w:rsid w:val="5BDC68C2"/>
    <w:rsid w:val="5D643D56"/>
    <w:rsid w:val="64283056"/>
    <w:rsid w:val="69AA0305"/>
    <w:rsid w:val="69BD0A47"/>
    <w:rsid w:val="71A911C9"/>
    <w:rsid w:val="7793669D"/>
    <w:rsid w:val="7CCC21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14"/>
    <w:qFormat/>
    <w:uiPriority w:val="99"/>
    <w:pPr>
      <w:spacing w:before="100" w:beforeAutospacing="1" w:after="100" w:afterAutospacing="1"/>
      <w:jc w:val="left"/>
      <w:outlineLvl w:val="0"/>
    </w:pPr>
    <w:rPr>
      <w:rFonts w:ascii="宋体" w:hAnsi="宋体" w:cs="宋体"/>
      <w:b/>
      <w:kern w:val="44"/>
      <w:sz w:val="48"/>
      <w:szCs w:val="48"/>
    </w:rPr>
  </w:style>
  <w:style w:type="character" w:default="1" w:styleId="11">
    <w:name w:val="Default Paragraph Font"/>
    <w:semiHidden/>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jc w:val="both"/>
    </w:pPr>
    <w:rPr>
      <w:rFonts w:ascii="Calibri" w:hAnsi="Calibri"/>
      <w:kern w:val="2"/>
      <w:sz w:val="21"/>
      <w:szCs w:val="24"/>
      <w:lang w:val="en-US" w:eastAsia="zh-CN"/>
    </w:rPr>
  </w:style>
  <w:style w:type="paragraph" w:styleId="3">
    <w:name w:val="Body Text Indent"/>
    <w:basedOn w:val="1"/>
    <w:next w:val="1"/>
    <w:qFormat/>
    <w:uiPriority w:val="0"/>
    <w:pPr>
      <w:spacing w:after="120" w:afterLines="0"/>
      <w:ind w:left="420"/>
    </w:pPr>
    <w:rPr>
      <w:rFonts w:ascii="Calibri" w:hAnsi="Calibri" w:eastAsia="宋体" w:cs="Times New Roman"/>
    </w:rPr>
  </w:style>
  <w:style w:type="paragraph" w:styleId="5">
    <w:name w:val="Body Text"/>
    <w:basedOn w:val="1"/>
    <w:link w:val="15"/>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6">
    <w:name w:val="Plain Text"/>
    <w:basedOn w:val="1"/>
    <w:link w:val="16"/>
    <w:uiPriority w:val="99"/>
    <w:rPr>
      <w:rFonts w:ascii="宋体" w:hAnsi="Courier New" w:cs="Courier New"/>
      <w:szCs w:val="21"/>
    </w:rPr>
  </w:style>
  <w:style w:type="paragraph" w:styleId="7">
    <w:name w:val="footer"/>
    <w:basedOn w:val="1"/>
    <w:link w:val="17"/>
    <w:uiPriority w:val="99"/>
    <w:pPr>
      <w:tabs>
        <w:tab w:val="center" w:pos="4153"/>
        <w:tab w:val="right" w:pos="8306"/>
      </w:tabs>
      <w:snapToGrid w:val="0"/>
      <w:jc w:val="left"/>
    </w:pPr>
    <w:rPr>
      <w:sz w:val="18"/>
      <w:szCs w:val="18"/>
    </w:rPr>
  </w:style>
  <w:style w:type="paragraph" w:styleId="8">
    <w:name w:val="header"/>
    <w:basedOn w:val="1"/>
    <w:link w:val="18"/>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basedOn w:val="11"/>
    <w:qFormat/>
    <w:uiPriority w:val="99"/>
    <w:rPr>
      <w:rFonts w:cs="Times New Roman"/>
      <w:b/>
      <w:bCs/>
    </w:rPr>
  </w:style>
  <w:style w:type="character" w:styleId="13">
    <w:name w:val="page number"/>
    <w:basedOn w:val="11"/>
    <w:semiHidden/>
    <w:uiPriority w:val="99"/>
    <w:rPr>
      <w:rFonts w:cs="Times New Roman"/>
    </w:rPr>
  </w:style>
  <w:style w:type="character" w:customStyle="1" w:styleId="14">
    <w:name w:val="Heading 1 Char"/>
    <w:basedOn w:val="11"/>
    <w:link w:val="4"/>
    <w:qFormat/>
    <w:locked/>
    <w:uiPriority w:val="99"/>
    <w:rPr>
      <w:rFonts w:ascii="宋体" w:hAnsi="宋体" w:eastAsia="宋体" w:cs="宋体"/>
      <w:b/>
      <w:kern w:val="44"/>
      <w:sz w:val="48"/>
      <w:szCs w:val="48"/>
    </w:rPr>
  </w:style>
  <w:style w:type="character" w:customStyle="1" w:styleId="15">
    <w:name w:val="Body Text Char"/>
    <w:basedOn w:val="11"/>
    <w:link w:val="5"/>
    <w:semiHidden/>
    <w:uiPriority w:val="99"/>
    <w:rPr>
      <w:rFonts w:ascii="Calibri" w:hAnsi="Calibri"/>
    </w:rPr>
  </w:style>
  <w:style w:type="character" w:customStyle="1" w:styleId="16">
    <w:name w:val="Plain Text Char"/>
    <w:basedOn w:val="11"/>
    <w:link w:val="6"/>
    <w:locked/>
    <w:uiPriority w:val="99"/>
    <w:rPr>
      <w:rFonts w:ascii="宋体" w:hAnsi="Courier New" w:eastAsia="宋体" w:cs="Courier New"/>
      <w:sz w:val="21"/>
      <w:szCs w:val="21"/>
    </w:rPr>
  </w:style>
  <w:style w:type="character" w:customStyle="1" w:styleId="17">
    <w:name w:val="Footer Char"/>
    <w:basedOn w:val="11"/>
    <w:link w:val="7"/>
    <w:locked/>
    <w:uiPriority w:val="99"/>
    <w:rPr>
      <w:rFonts w:cs="Times New Roman"/>
      <w:sz w:val="18"/>
      <w:szCs w:val="18"/>
    </w:rPr>
  </w:style>
  <w:style w:type="character" w:customStyle="1" w:styleId="18">
    <w:name w:val="Header Char"/>
    <w:basedOn w:val="11"/>
    <w:link w:val="8"/>
    <w:locked/>
    <w:uiPriority w:val="99"/>
    <w:rPr>
      <w:rFonts w:cs="Times New Roman"/>
      <w:sz w:val="18"/>
      <w:szCs w:val="18"/>
    </w:rPr>
  </w:style>
  <w:style w:type="character" w:customStyle="1" w:styleId="19">
    <w:name w:val="font31"/>
    <w:basedOn w:val="11"/>
    <w:qFormat/>
    <w:uiPriority w:val="99"/>
    <w:rPr>
      <w:rFonts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15</Pages>
  <Words>8929</Words>
  <Characters>9497</Characters>
  <Lines>0</Lines>
  <Paragraphs>0</Paragraphs>
  <TotalTime>2</TotalTime>
  <ScaleCrop>false</ScaleCrop>
  <LinksUpToDate>false</LinksUpToDate>
  <CharactersWithSpaces>12593</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HP</cp:lastModifiedBy>
  <cp:lastPrinted>2018-11-29T03:23:00Z</cp:lastPrinted>
  <dcterms:modified xsi:type="dcterms:W3CDTF">2022-04-02T02:57:52Z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56BB98621E64429A8007BD546657F44A</vt:lpwstr>
  </property>
</Properties>
</file>