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hint="eastAsia" w:ascii="方正小标宋_GBK" w:hAnsi="方正小标宋_GBK" w:eastAsia="方正小标宋_GBK" w:cs="方正小标宋_GBK"/>
          <w:bCs/>
          <w:sz w:val="44"/>
          <w:szCs w:val="44"/>
          <w:lang w:eastAsia="zh-CN"/>
        </w:rPr>
      </w:pPr>
      <w:r>
        <w:rPr>
          <w:rFonts w:hint="eastAsia" w:ascii="方正小标宋_GBK" w:hAnsi="方正小标宋_GBK" w:eastAsia="方正小标宋_GBK" w:cs="方正小标宋_GBK"/>
          <w:bCs/>
          <w:sz w:val="44"/>
          <w:szCs w:val="44"/>
          <w:lang w:eastAsia="zh-CN"/>
        </w:rPr>
        <w:t>威县城市管理综合行政执法局</w:t>
      </w:r>
    </w:p>
    <w:p>
      <w:pPr>
        <w:spacing w:line="580" w:lineRule="exact"/>
        <w:jc w:val="center"/>
        <w:rPr>
          <w:rFonts w:ascii="方正小标宋_GBK" w:hAnsi="方正小标宋_GBK" w:eastAsia="方正小标宋_GBK" w:cs="方正小标宋_GBK"/>
          <w:bCs/>
          <w:sz w:val="44"/>
          <w:szCs w:val="44"/>
        </w:rPr>
      </w:pPr>
      <w:r>
        <w:rPr>
          <w:rFonts w:hint="eastAsia" w:ascii="方正小标宋_GBK" w:hAnsi="方正小标宋_GBK" w:eastAsia="方正小标宋_GBK" w:cs="方正小标宋_GBK"/>
          <w:bCs/>
          <w:sz w:val="44"/>
          <w:szCs w:val="44"/>
        </w:rPr>
        <w:t>关于20</w:t>
      </w:r>
      <w:r>
        <w:rPr>
          <w:rFonts w:hint="eastAsia" w:ascii="方正小标宋_GBK" w:hAnsi="方正小标宋_GBK" w:eastAsia="方正小标宋_GBK" w:cs="方正小标宋_GBK"/>
          <w:bCs/>
          <w:sz w:val="44"/>
          <w:szCs w:val="44"/>
          <w:lang w:val="en-US" w:eastAsia="zh-CN"/>
        </w:rPr>
        <w:t>21</w:t>
      </w:r>
      <w:r>
        <w:rPr>
          <w:rFonts w:hint="eastAsia" w:ascii="方正小标宋_GBK" w:hAnsi="方正小标宋_GBK" w:eastAsia="方正小标宋_GBK" w:cs="方正小标宋_GBK"/>
          <w:bCs/>
          <w:sz w:val="44"/>
          <w:szCs w:val="44"/>
        </w:rPr>
        <w:t>年</w:t>
      </w:r>
      <w:r>
        <w:rPr>
          <w:rFonts w:hint="eastAsia" w:ascii="方正小标宋_GBK" w:hAnsi="方正小标宋_GBK" w:eastAsia="方正小标宋_GBK" w:cs="方正小标宋_GBK"/>
          <w:bCs/>
          <w:sz w:val="44"/>
          <w:szCs w:val="44"/>
          <w:lang w:eastAsia="zh-CN"/>
        </w:rPr>
        <w:t>城区环卫服务外包专项</w:t>
      </w:r>
      <w:r>
        <w:rPr>
          <w:rFonts w:hint="eastAsia" w:ascii="方正小标宋_GBK" w:hAnsi="方正小标宋_GBK" w:eastAsia="方正小标宋_GBK" w:cs="方正小标宋_GBK"/>
          <w:bCs/>
          <w:sz w:val="44"/>
          <w:szCs w:val="44"/>
        </w:rPr>
        <w:t>经费项目绩效评价的自评报告</w:t>
      </w:r>
    </w:p>
    <w:p>
      <w:pPr>
        <w:spacing w:line="580" w:lineRule="exact"/>
        <w:ind w:firstLine="720" w:firstLineChars="200"/>
        <w:rPr>
          <w:sz w:val="36"/>
          <w:szCs w:val="36"/>
        </w:rPr>
      </w:pP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zh-CN"/>
        </w:rPr>
        <w:t>依据《河北省人民政府关于深化推进预算绩效管理的意见》（冀政</w:t>
      </w:r>
      <w:r>
        <w:rPr>
          <w:rFonts w:hint="eastAsia" w:ascii="仿宋_GB2312" w:hAnsi="仿宋_GB2312" w:eastAsia="仿宋_GB2312" w:cs="仿宋_GB2312"/>
          <w:sz w:val="32"/>
          <w:szCs w:val="32"/>
        </w:rPr>
        <w:t>[2010]138号</w:t>
      </w:r>
      <w:r>
        <w:rPr>
          <w:rFonts w:hint="eastAsia" w:ascii="仿宋_GB2312" w:hAnsi="仿宋_GB2312" w:eastAsia="仿宋_GB2312" w:cs="仿宋_GB2312"/>
          <w:sz w:val="32"/>
          <w:szCs w:val="32"/>
          <w:lang w:val="zh-CN"/>
        </w:rPr>
        <w:t>）、《河北省财政支出绩效评价管理办法》（冀政</w:t>
      </w:r>
      <w:r>
        <w:rPr>
          <w:rFonts w:hint="eastAsia" w:ascii="仿宋_GB2312" w:hAnsi="仿宋_GB2312" w:eastAsia="仿宋_GB2312" w:cs="仿宋_GB2312"/>
          <w:sz w:val="32"/>
          <w:szCs w:val="32"/>
        </w:rPr>
        <w:t>[2010]68号</w:t>
      </w:r>
      <w:r>
        <w:rPr>
          <w:rFonts w:hint="eastAsia" w:ascii="仿宋_GB2312" w:hAnsi="仿宋_GB2312" w:eastAsia="仿宋_GB2312" w:cs="仿宋_GB2312"/>
          <w:sz w:val="32"/>
          <w:szCs w:val="32"/>
          <w:lang w:val="zh-CN"/>
        </w:rPr>
        <w:t>）和</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21</w:t>
      </w:r>
      <w:bookmarkStart w:id="0" w:name="_GoBack"/>
      <w:bookmarkEnd w:id="0"/>
      <w:r>
        <w:rPr>
          <w:rFonts w:hint="eastAsia" w:ascii="仿宋_GB2312" w:hAnsi="仿宋_GB2312" w:eastAsia="仿宋_GB2312" w:cs="仿宋_GB2312"/>
          <w:sz w:val="32"/>
          <w:szCs w:val="32"/>
        </w:rPr>
        <w:t>年威县绩效评价计划》</w:t>
      </w:r>
      <w:r>
        <w:rPr>
          <w:rFonts w:hint="eastAsia" w:ascii="仿宋_GB2312" w:hAnsi="仿宋_GB2312" w:eastAsia="仿宋_GB2312" w:cs="仿宋_GB2312"/>
          <w:sz w:val="32"/>
          <w:szCs w:val="32"/>
          <w:lang w:val="zh-CN"/>
        </w:rPr>
        <w:t>的有关要求，我局对</w:t>
      </w:r>
      <w:r>
        <w:rPr>
          <w:rFonts w:hint="eastAsia" w:ascii="仿宋_GB2312" w:hAnsi="仿宋_GB2312" w:eastAsia="仿宋_GB2312" w:cs="仿宋_GB2312"/>
          <w:bCs/>
          <w:sz w:val="32"/>
          <w:szCs w:val="32"/>
        </w:rPr>
        <w:t>20</w:t>
      </w:r>
      <w:r>
        <w:rPr>
          <w:rFonts w:hint="eastAsia" w:ascii="仿宋_GB2312" w:hAnsi="仿宋_GB2312" w:eastAsia="仿宋_GB2312" w:cs="仿宋_GB2312"/>
          <w:bCs/>
          <w:sz w:val="32"/>
          <w:szCs w:val="32"/>
          <w:lang w:val="en-US" w:eastAsia="zh-CN"/>
        </w:rPr>
        <w:t>21</w:t>
      </w:r>
      <w:r>
        <w:rPr>
          <w:rFonts w:hint="eastAsia" w:ascii="仿宋_GB2312" w:hAnsi="仿宋_GB2312" w:eastAsia="仿宋_GB2312" w:cs="仿宋_GB2312"/>
          <w:bCs/>
          <w:sz w:val="32"/>
          <w:szCs w:val="32"/>
        </w:rPr>
        <w:t>年</w:t>
      </w:r>
      <w:r>
        <w:rPr>
          <w:rFonts w:hint="eastAsia" w:ascii="仿宋_GB2312" w:hAnsi="仿宋_GB2312" w:eastAsia="仿宋_GB2312" w:cs="仿宋_GB2312"/>
          <w:bCs/>
          <w:sz w:val="32"/>
          <w:szCs w:val="32"/>
          <w:lang w:eastAsia="zh-CN"/>
        </w:rPr>
        <w:t>城区环卫服务外包专项</w:t>
      </w:r>
      <w:r>
        <w:rPr>
          <w:rFonts w:hint="eastAsia" w:ascii="仿宋_GB2312" w:hAnsi="仿宋_GB2312" w:eastAsia="仿宋_GB2312" w:cs="仿宋_GB2312"/>
          <w:bCs/>
          <w:sz w:val="32"/>
          <w:szCs w:val="32"/>
        </w:rPr>
        <w:t>经费项目</w:t>
      </w:r>
      <w:r>
        <w:rPr>
          <w:rFonts w:hint="eastAsia" w:ascii="仿宋_GB2312" w:hAnsi="仿宋_GB2312" w:eastAsia="仿宋_GB2312" w:cs="仿宋_GB2312"/>
          <w:sz w:val="32"/>
          <w:szCs w:val="32"/>
        </w:rPr>
        <w:t>进行了自评。现将有关情况报告如下：</w:t>
      </w:r>
    </w:p>
    <w:p>
      <w:pPr>
        <w:spacing w:line="540" w:lineRule="exact"/>
        <w:ind w:firstLine="640" w:firstLineChars="200"/>
        <w:rPr>
          <w:rFonts w:ascii="黑体" w:hAnsi="黑体" w:eastAsia="黑体" w:cs="黑体"/>
          <w:bCs/>
          <w:sz w:val="32"/>
          <w:szCs w:val="32"/>
        </w:rPr>
      </w:pPr>
      <w:r>
        <w:rPr>
          <w:rFonts w:hint="eastAsia" w:ascii="黑体" w:hAnsi="黑体" w:eastAsia="黑体" w:cs="黑体"/>
          <w:bCs/>
          <w:sz w:val="32"/>
          <w:szCs w:val="32"/>
        </w:rPr>
        <w:t>一、项目概况</w:t>
      </w:r>
    </w:p>
    <w:p>
      <w:pPr>
        <w:spacing w:line="540" w:lineRule="exact"/>
        <w:ind w:firstLine="640" w:firstLineChars="200"/>
        <w:rPr>
          <w:rFonts w:hint="eastAsia" w:ascii="仿宋_GB2312" w:hAnsi="微软雅黑" w:eastAsia="仿宋_GB2312" w:cs="仿宋_GB2312"/>
          <w:color w:val="auto"/>
          <w:kern w:val="0"/>
          <w:sz w:val="32"/>
          <w:szCs w:val="32"/>
          <w:shd w:val="clear" w:color="auto" w:fill="FFFFFF"/>
          <w:lang w:val="en-US" w:eastAsia="zh-CN" w:bidi="ar"/>
        </w:rPr>
      </w:pPr>
      <w:r>
        <w:rPr>
          <w:rFonts w:hint="eastAsia" w:ascii="仿宋_GB2312" w:hAnsi="仿宋_GB2312" w:eastAsia="仿宋_GB2312" w:cs="仿宋_GB2312"/>
          <w:bCs/>
          <w:sz w:val="32"/>
          <w:szCs w:val="32"/>
          <w:lang w:eastAsia="zh-CN"/>
        </w:rPr>
        <w:t>城区环卫服务外包专项</w:t>
      </w:r>
      <w:r>
        <w:rPr>
          <w:rFonts w:hint="eastAsia" w:ascii="仿宋_GB2312" w:hAnsi="仿宋_GB2312" w:eastAsia="仿宋_GB2312" w:cs="仿宋_GB2312"/>
          <w:sz w:val="32"/>
          <w:szCs w:val="32"/>
        </w:rPr>
        <w:t>是为了深化环卫体制改革,建立</w:t>
      </w:r>
      <w:r>
        <w:rPr>
          <w:rFonts w:hint="eastAsia" w:ascii="仿宋_GB2312" w:hAnsi="仿宋_GB2312" w:eastAsia="仿宋_GB2312" w:cs="仿宋_GB2312"/>
          <w:sz w:val="32"/>
          <w:szCs w:val="32"/>
          <w:lang w:eastAsia="zh-CN"/>
        </w:rPr>
        <w:t>城区生活垃圾治理</w:t>
      </w:r>
      <w:r>
        <w:rPr>
          <w:rFonts w:hint="eastAsia" w:ascii="仿宋_GB2312" w:hAnsi="仿宋_GB2312" w:eastAsia="仿宋_GB2312" w:cs="仿宋_GB2312"/>
          <w:sz w:val="32"/>
          <w:szCs w:val="32"/>
        </w:rPr>
        <w:t>长效管理机制，提高管理水平</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此项工作依照“积极稳妥，逐步深化，干管一条线，责任明确，强化督查，层层制约”的原则，为广大居民创造美好的生活空间。主要</w:t>
      </w:r>
      <w:r>
        <w:rPr>
          <w:rFonts w:hint="default" w:ascii="仿宋_GB2312" w:hAnsi="微软雅黑" w:eastAsia="仿宋_GB2312" w:cs="仿宋_GB2312"/>
          <w:color w:val="auto"/>
          <w:kern w:val="0"/>
          <w:sz w:val="32"/>
          <w:szCs w:val="32"/>
          <w:shd w:val="clear" w:color="auto" w:fill="FFFFFF"/>
          <w:lang w:val="en-US" w:eastAsia="zh-CN" w:bidi="ar"/>
        </w:rPr>
        <w:t>对</w:t>
      </w:r>
      <w:r>
        <w:rPr>
          <w:rFonts w:hint="eastAsia" w:ascii="仿宋_GB2312" w:hAnsi="微软雅黑" w:eastAsia="仿宋_GB2312" w:cs="仿宋_GB2312"/>
          <w:color w:val="auto"/>
          <w:kern w:val="0"/>
          <w:sz w:val="32"/>
          <w:szCs w:val="32"/>
          <w:shd w:val="clear" w:color="auto" w:fill="FFFFFF"/>
          <w:lang w:val="en-US" w:eastAsia="zh-CN" w:bidi="ar"/>
        </w:rPr>
        <w:t>威县主城区含世纪大街、光明路、西二环、南二环围合区域（包括城中村、城郊村、弃管小区、城乡结合部）和西迎宾大道范围内进行环卫清扫保洁、垃圾清运、公厕管护等，提高我县人民群众的满意度，防止对环境造成二次污染，对生活垃圾做到日产日清。</w:t>
      </w:r>
    </w:p>
    <w:p>
      <w:pPr>
        <w:numPr>
          <w:ilvl w:val="0"/>
          <w:numId w:val="1"/>
        </w:numPr>
        <w:spacing w:line="540" w:lineRule="exact"/>
        <w:ind w:firstLine="640" w:firstLineChars="200"/>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工作活动绩效目标和指标设定情况</w:t>
      </w:r>
    </w:p>
    <w:p>
      <w:pPr>
        <w:numPr>
          <w:ilvl w:val="0"/>
          <w:numId w:val="2"/>
        </w:numPr>
        <w:spacing w:line="54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城区环卫服务外包的总目标：提升威县主城区含世纪大街、光明路、西二环、南二环围合区域（包括城中村、城郊村、弃管小区、城乡结合部）和西迎宾大道范围内的环卫清扫保洁、垃圾清运、公厕管护等项目服务水平。</w:t>
      </w:r>
    </w:p>
    <w:p>
      <w:pPr>
        <w:numPr>
          <w:ilvl w:val="0"/>
          <w:numId w:val="2"/>
        </w:numPr>
        <w:spacing w:line="54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我县实行城管局对城区环卫服务外包工作进行考核，每月按照《威县城区环境卫生管理标准及考核细则》的要求考核1次，按考核结果拨付环卫服务经费。</w:t>
      </w:r>
    </w:p>
    <w:p>
      <w:pPr>
        <w:numPr>
          <w:ilvl w:val="0"/>
          <w:numId w:val="1"/>
        </w:numPr>
        <w:spacing w:line="540" w:lineRule="exact"/>
        <w:ind w:firstLine="640" w:firstLineChars="200"/>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工作活动(项目)实施绩效管理情况及取得成绩</w:t>
      </w:r>
    </w:p>
    <w:p>
      <w:pPr>
        <w:numPr>
          <w:ilvl w:val="0"/>
          <w:numId w:val="3"/>
        </w:numPr>
        <w:spacing w:line="54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关于印发《威县县城环境卫生外包监督管理办法》《威县城区环境卫生管理标准及考核细则》等文件对城区环卫服务外包公司--北京慧丰清轩环境科技集团有限公司每月进行日常监督及考核，并按月进行资金拨付。</w:t>
      </w:r>
    </w:p>
    <w:p>
      <w:pPr>
        <w:numPr>
          <w:ilvl w:val="0"/>
          <w:numId w:val="3"/>
        </w:numPr>
        <w:spacing w:line="54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执行绩效监控情况。城管局数字化城管监督指挥中心负责对城区环卫进行日常管理和考核。</w:t>
      </w:r>
    </w:p>
    <w:p>
      <w:pPr>
        <w:numPr>
          <w:ilvl w:val="0"/>
          <w:numId w:val="3"/>
        </w:numPr>
        <w:spacing w:line="54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城区环卫服务外包专项经费纳入每年的政府的财政预算，按照每月考核的实际情况，进行资金的支出。</w:t>
      </w:r>
    </w:p>
    <w:p>
      <w:pPr>
        <w:numPr>
          <w:ilvl w:val="0"/>
          <w:numId w:val="1"/>
        </w:numPr>
        <w:spacing w:line="540" w:lineRule="exact"/>
        <w:ind w:firstLine="640" w:firstLineChars="200"/>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自评情况</w:t>
      </w:r>
    </w:p>
    <w:p>
      <w:pPr>
        <w:numPr>
          <w:ilvl w:val="0"/>
          <w:numId w:val="0"/>
        </w:numPr>
        <w:spacing w:line="540" w:lineRule="exact"/>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年由财务科提前准备好项目审批及经费拨付指标文件等资料</w:t>
      </w:r>
      <w:r>
        <w:rPr>
          <w:rFonts w:hint="eastAsia" w:ascii="仿宋_GB2312" w:hAnsi="仿宋_GB2312" w:eastAsia="仿宋_GB2312" w:cs="仿宋_GB2312"/>
          <w:sz w:val="32"/>
          <w:szCs w:val="32"/>
          <w:lang w:eastAsia="zh-CN"/>
        </w:rPr>
        <w:t>。</w:t>
      </w:r>
    </w:p>
    <w:p>
      <w:pPr>
        <w:numPr>
          <w:ilvl w:val="0"/>
          <w:numId w:val="0"/>
        </w:numPr>
        <w:spacing w:line="54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（一）打分情况</w:t>
      </w:r>
    </w:p>
    <w:p>
      <w:pPr>
        <w:numPr>
          <w:ilvl w:val="0"/>
          <w:numId w:val="0"/>
        </w:numPr>
        <w:spacing w:line="540" w:lineRule="exac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“工作活动”设置（15分）</w:t>
      </w:r>
    </w:p>
    <w:p>
      <w:pPr>
        <w:numPr>
          <w:ilvl w:val="0"/>
          <w:numId w:val="0"/>
        </w:numPr>
        <w:spacing w:line="54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1、政策相关性：该项项目是基于创建“洁净城市”及以克论净的要求。满分3分，此项打分3分。</w:t>
      </w:r>
    </w:p>
    <w:p>
      <w:pPr>
        <w:ind w:firstLine="640" w:firstLineChars="200"/>
        <w:rPr>
          <w:rFonts w:hint="eastAsia" w:ascii="仿宋_GB2312" w:hAnsi="仿宋_GB2312" w:eastAsia="仿宋_GB2312" w:cs="仿宋_GB2312"/>
          <w:sz w:val="32"/>
          <w:szCs w:val="32"/>
          <w:lang w:val="en-US" w:eastAsia="zh-CN"/>
        </w:rPr>
      </w:pPr>
      <w:r>
        <w:rPr>
          <w:rFonts w:hint="eastAsia" w:ascii="仿宋" w:hAnsi="仿宋" w:eastAsia="仿宋" w:cs="仿宋"/>
          <w:sz w:val="32"/>
          <w:szCs w:val="32"/>
          <w:lang w:val="en-US" w:eastAsia="zh-CN"/>
        </w:rPr>
        <w:t>2、部门责任相关性：我局根据</w:t>
      </w:r>
      <w:r>
        <w:rPr>
          <w:rFonts w:hint="eastAsia" w:ascii="仿宋_GB2312" w:hAnsi="仿宋_GB2312" w:eastAsia="仿宋_GB2312" w:cs="仿宋_GB2312"/>
          <w:sz w:val="32"/>
          <w:szCs w:val="32"/>
        </w:rPr>
        <w:t>依照“积极稳妥，逐步深化，干管一条线，责任明确，强化督查，层层制约”的原则，</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lang w:val="en-US" w:eastAsia="zh-CN"/>
        </w:rPr>
        <w:t>城管局数字化城管监督指挥中心</w:t>
      </w:r>
      <w:r>
        <w:rPr>
          <w:rFonts w:hint="eastAsia" w:ascii="仿宋_GB2312" w:hAnsi="仿宋_GB2312" w:eastAsia="仿宋_GB2312" w:cs="仿宋_GB2312"/>
          <w:sz w:val="32"/>
          <w:szCs w:val="32"/>
          <w:lang w:eastAsia="zh-CN"/>
        </w:rPr>
        <w:t>对城区环卫各项工作进行监督考核。满分</w:t>
      </w:r>
      <w:r>
        <w:rPr>
          <w:rFonts w:hint="eastAsia" w:ascii="仿宋_GB2312" w:hAnsi="仿宋_GB2312" w:eastAsia="仿宋_GB2312" w:cs="仿宋_GB2312"/>
          <w:sz w:val="32"/>
          <w:szCs w:val="32"/>
          <w:lang w:val="en-US" w:eastAsia="zh-CN"/>
        </w:rPr>
        <w:t>3分，此项</w:t>
      </w:r>
      <w:r>
        <w:rPr>
          <w:rFonts w:hint="eastAsia" w:ascii="仿宋_GB2312" w:hAnsi="仿宋_GB2312" w:eastAsia="仿宋_GB2312" w:cs="仿宋_GB2312"/>
          <w:sz w:val="32"/>
          <w:szCs w:val="32"/>
          <w:lang w:eastAsia="zh-CN"/>
        </w:rPr>
        <w:t>打分</w:t>
      </w:r>
      <w:r>
        <w:rPr>
          <w:rFonts w:hint="eastAsia" w:ascii="仿宋_GB2312" w:hAnsi="仿宋_GB2312" w:eastAsia="仿宋_GB2312" w:cs="仿宋_GB2312"/>
          <w:sz w:val="32"/>
          <w:szCs w:val="32"/>
          <w:lang w:val="en-US" w:eastAsia="zh-CN"/>
        </w:rPr>
        <w:t>3分。</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3、预算相关性：此预算是省市文件多次提出将城区环境卫生服务经费纳入财政预算，预算合理性经多方论证研究并且工作安排与预算安排合理紧凑。满分3分，此项打分3分。</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4、绩效目标设立科学性体现产出效果：制定专门的城区环境卫生管理标准及考核细则，工作绩效目标设立科学，与部门部门职责目标、部门年度工作目标一致。满分3分，此项打分3分。</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w:t>
      </w:r>
      <w:r>
        <w:rPr>
          <w:rFonts w:hint="default" w:ascii="仿宋_GB2312" w:hAnsi="仿宋_GB2312" w:eastAsia="仿宋_GB2312" w:cs="仿宋_GB2312"/>
          <w:sz w:val="32"/>
          <w:szCs w:val="32"/>
          <w:lang w:val="en-US" w:eastAsia="zh-CN"/>
        </w:rPr>
        <w:t>绩效指标设立科学性</w:t>
      </w:r>
      <w:r>
        <w:rPr>
          <w:rFonts w:hint="eastAsia" w:ascii="仿宋_GB2312" w:hAnsi="仿宋_GB2312" w:eastAsia="仿宋_GB2312" w:cs="仿宋_GB2312"/>
          <w:sz w:val="32"/>
          <w:szCs w:val="32"/>
          <w:lang w:val="en-US" w:eastAsia="zh-CN"/>
        </w:rPr>
        <w:t>细化量化：根据制定的考核及管理办法，细化量化绩效指标，能准确反映活动目标完成情况。满分3分，此项打分3分。</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（二）“工作活动”管理（25分）</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1、资金拨付情况：此项资金经多方研究论证与第三方签订合同，实际拨付资金占预算安排资金的比例完整。满分4分，此项打分4分。</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2、资金支出进度：按照合同要求每月考核后按时按量将资金拨付至外包公司账户。满分4分，此项得分4分。</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3、资金使用规范性：资金拨付手续是完整，严格按照预算和国库管理有关规定与《预算法》等法律、法规、财务管理制度和资金管理办法规定。满分7分，此项得分7分。</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4、管理制度健全性：部门制定专门的考核及管理实施方案，方案明确、清晰、具有可操作性，能保障工作活动顺利实施。满分6分，此项得分6分。</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5、过程控制有效性：建立健全资金保障工作活动资金安全的各项制度措施有效落实并实施监管，设立风险应对措施方案齐全。满分4分，此项得分4分。</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（三）“工作活动”产出（25分）</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1、工作活动产出数量完成率：完成城区街道清扫保洁、垃圾清运及19个公厕的日常管护，能够做到日产日清，城区卫生整洁，公厕正常运行。满分7分，此项得分7分。</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2、工作活动产出质量达标率：城区服务区域内以克论净，垃圾日产日清，公厕正常运行。满分7分，此项得分6.3分。</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3、工作活动产出完成及时性：城区环卫服务的各项工作按照文件要求以达到日常管理及日常清扫保洁。满分6分，此项工作得分5.8分。</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4、项目完成率：城区环卫项目按时按量将项目完成。满分5分，此项工作得分5分。</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w:t>
      </w:r>
      <w:r>
        <w:rPr>
          <w:rFonts w:hint="default" w:ascii="仿宋_GB2312" w:hAnsi="仿宋_GB2312" w:eastAsia="仿宋_GB2312" w:cs="仿宋_GB2312"/>
          <w:sz w:val="32"/>
          <w:szCs w:val="32"/>
          <w:lang w:val="en-US" w:eastAsia="zh-CN"/>
        </w:rPr>
        <w:t>“工作活动”效果</w:t>
      </w:r>
      <w:r>
        <w:rPr>
          <w:rFonts w:hint="eastAsia" w:ascii="仿宋_GB2312" w:hAnsi="仿宋_GB2312" w:eastAsia="仿宋_GB2312" w:cs="仿宋_GB2312"/>
          <w:sz w:val="32"/>
          <w:szCs w:val="32"/>
          <w:lang w:val="en-US" w:eastAsia="zh-CN"/>
        </w:rPr>
        <w:t>（35分）</w:t>
      </w:r>
    </w:p>
    <w:p>
      <w:pPr>
        <w:numPr>
          <w:ilvl w:val="0"/>
          <w:numId w:val="4"/>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经济效益：城区环卫工作改善了城区人居环境面貌，对我县招商引资打下基础，环卫工人多招收贫困人员增加贫困人员收入，增加就业岗位，直接或间接刺激当地经济发展。满分9分，此项工作得分9分。</w:t>
      </w:r>
    </w:p>
    <w:p>
      <w:pPr>
        <w:numPr>
          <w:ilvl w:val="0"/>
          <w:numId w:val="4"/>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社会效益：街道干净，入厕环境越来越整洁，给人民干净整洁的城区环境，提升人民满意度，为我县社会发展好社会稳定做出贡献。满分9分，此项工作得分9分。</w:t>
      </w:r>
    </w:p>
    <w:p>
      <w:pPr>
        <w:numPr>
          <w:ilvl w:val="0"/>
          <w:numId w:val="4"/>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生态效益：确保城区无积存垃圾、道路无扬尘，避免对环境造成二次污染。满分9分，此项工作得分8分。</w:t>
      </w:r>
    </w:p>
    <w:p>
      <w:pPr>
        <w:numPr>
          <w:ilvl w:val="0"/>
          <w:numId w:val="4"/>
        </w:numPr>
        <w:ind w:left="0" w:leftChars="0" w:firstLine="640" w:firstLineChars="200"/>
        <w:rPr>
          <w:rFonts w:hint="eastAsia" w:ascii="华文仿宋" w:hAnsi="华文仿宋" w:eastAsia="华文仿宋" w:cs="宋体"/>
          <w:sz w:val="32"/>
          <w:szCs w:val="32"/>
        </w:rPr>
      </w:pPr>
      <w:r>
        <w:rPr>
          <w:rFonts w:hint="default" w:ascii="仿宋_GB2312" w:hAnsi="仿宋_GB2312" w:eastAsia="仿宋_GB2312" w:cs="仿宋_GB2312"/>
          <w:sz w:val="32"/>
          <w:szCs w:val="32"/>
          <w:lang w:val="en-US" w:eastAsia="zh-CN"/>
        </w:rPr>
        <w:t>受益群体满意度</w:t>
      </w:r>
      <w:r>
        <w:rPr>
          <w:rFonts w:hint="eastAsia" w:ascii="仿宋_GB2312" w:hAnsi="仿宋_GB2312" w:eastAsia="仿宋_GB2312" w:cs="仿宋_GB2312"/>
          <w:sz w:val="32"/>
          <w:szCs w:val="32"/>
          <w:lang w:val="en-US" w:eastAsia="zh-CN"/>
        </w:rPr>
        <w:t>：</w:t>
      </w:r>
      <w:r>
        <w:rPr>
          <w:rFonts w:hint="eastAsia" w:ascii="华文仿宋" w:hAnsi="华文仿宋" w:eastAsia="华文仿宋" w:cs="宋体"/>
          <w:sz w:val="32"/>
          <w:szCs w:val="32"/>
        </w:rPr>
        <w:t>结合居民调查问卷，满分</w:t>
      </w:r>
      <w:r>
        <w:rPr>
          <w:rFonts w:hint="eastAsia" w:ascii="华文仿宋" w:hAnsi="华文仿宋" w:eastAsia="华文仿宋" w:cs="宋体"/>
          <w:sz w:val="32"/>
          <w:szCs w:val="32"/>
          <w:lang w:val="en-US" w:eastAsia="zh-CN"/>
        </w:rPr>
        <w:t>8</w:t>
      </w:r>
      <w:r>
        <w:rPr>
          <w:rFonts w:hint="eastAsia" w:ascii="华文仿宋" w:hAnsi="华文仿宋" w:eastAsia="华文仿宋" w:cs="宋体"/>
          <w:sz w:val="32"/>
          <w:szCs w:val="32"/>
        </w:rPr>
        <w:t>分，得分</w:t>
      </w:r>
      <w:r>
        <w:rPr>
          <w:rFonts w:hint="eastAsia" w:ascii="华文仿宋" w:hAnsi="华文仿宋" w:eastAsia="华文仿宋" w:cs="宋体"/>
          <w:sz w:val="32"/>
          <w:szCs w:val="32"/>
          <w:lang w:val="en-US" w:eastAsia="zh-CN"/>
        </w:rPr>
        <w:t>7</w:t>
      </w:r>
      <w:r>
        <w:rPr>
          <w:rFonts w:hint="eastAsia" w:ascii="华文仿宋" w:hAnsi="华文仿宋" w:eastAsia="华文仿宋" w:cs="宋体"/>
          <w:sz w:val="32"/>
          <w:szCs w:val="32"/>
        </w:rPr>
        <w:t>分。</w:t>
      </w:r>
    </w:p>
    <w:p>
      <w:pPr>
        <w:numPr>
          <w:ilvl w:val="0"/>
          <w:numId w:val="0"/>
        </w:numPr>
        <w:ind w:firstLine="640" w:firstLineChars="200"/>
        <w:rPr>
          <w:rFonts w:hint="default" w:ascii="华文仿宋" w:hAnsi="华文仿宋" w:eastAsia="华文仿宋" w:cs="宋体"/>
          <w:sz w:val="32"/>
          <w:szCs w:val="32"/>
          <w:lang w:val="en-US" w:eastAsia="zh-CN"/>
        </w:rPr>
      </w:pPr>
      <w:r>
        <w:rPr>
          <w:rFonts w:hint="eastAsia" w:ascii="仿宋_GB2312" w:eastAsia="仿宋_GB2312"/>
          <w:sz w:val="32"/>
          <w:lang w:eastAsia="zh-CN"/>
        </w:rPr>
        <w:t>（五）</w:t>
      </w:r>
      <w:r>
        <w:rPr>
          <w:rFonts w:hint="eastAsia" w:ascii="仿宋_GB2312" w:eastAsia="仿宋_GB2312"/>
          <w:sz w:val="32"/>
        </w:rPr>
        <w:t>综合评</w:t>
      </w:r>
      <w:r>
        <w:rPr>
          <w:rFonts w:hint="eastAsia" w:ascii="仿宋_GB2312" w:eastAsia="仿宋_GB2312"/>
          <w:color w:val="auto"/>
          <w:sz w:val="32"/>
        </w:rPr>
        <w:t>价得分及评价等级。20</w:t>
      </w:r>
      <w:r>
        <w:rPr>
          <w:rFonts w:hint="eastAsia" w:ascii="仿宋_GB2312" w:eastAsia="仿宋_GB2312"/>
          <w:color w:val="auto"/>
          <w:sz w:val="32"/>
          <w:lang w:val="en-US" w:eastAsia="zh-CN"/>
        </w:rPr>
        <w:t>21</w:t>
      </w:r>
      <w:r>
        <w:rPr>
          <w:rFonts w:hint="eastAsia" w:ascii="仿宋_GB2312" w:eastAsia="仿宋_GB2312"/>
          <w:color w:val="auto"/>
          <w:sz w:val="32"/>
        </w:rPr>
        <w:t>年</w:t>
      </w:r>
      <w:r>
        <w:rPr>
          <w:rFonts w:hint="eastAsia" w:ascii="仿宋_GB2312" w:eastAsia="仿宋_GB2312"/>
          <w:color w:val="auto"/>
          <w:sz w:val="32"/>
          <w:lang w:eastAsia="zh-CN"/>
        </w:rPr>
        <w:t>城区环卫服外包专项</w:t>
      </w:r>
      <w:r>
        <w:rPr>
          <w:rFonts w:hint="eastAsia" w:ascii="仿宋_GB2312" w:eastAsia="仿宋_GB2312"/>
          <w:color w:val="auto"/>
          <w:sz w:val="32"/>
        </w:rPr>
        <w:t>经费重点评价得分9</w:t>
      </w:r>
      <w:r>
        <w:rPr>
          <w:rFonts w:hint="eastAsia" w:ascii="仿宋_GB2312" w:eastAsia="仿宋_GB2312"/>
          <w:color w:val="auto"/>
          <w:sz w:val="32"/>
          <w:lang w:val="en-US" w:eastAsia="zh-CN"/>
        </w:rPr>
        <w:t>7.1</w:t>
      </w:r>
      <w:r>
        <w:rPr>
          <w:rFonts w:hint="eastAsia" w:ascii="仿宋_GB2312" w:eastAsia="仿宋_GB2312"/>
          <w:color w:val="auto"/>
          <w:sz w:val="32"/>
        </w:rPr>
        <w:t>分，评价结果为“优”。</w:t>
      </w:r>
    </w:p>
    <w:p>
      <w:pPr>
        <w:spacing w:line="540" w:lineRule="exact"/>
        <w:ind w:firstLine="640" w:firstLineChars="200"/>
        <w:rPr>
          <w:rFonts w:hint="default" w:ascii="仿宋_GB2312" w:hAnsi="微软雅黑" w:eastAsia="仿宋_GB2312" w:cs="仿宋_GB2312"/>
          <w:color w:val="auto"/>
          <w:kern w:val="0"/>
          <w:sz w:val="32"/>
          <w:szCs w:val="32"/>
          <w:shd w:val="clear" w:color="auto" w:fill="FFFFFF"/>
          <w:lang w:val="en-US" w:eastAsia="zh-CN" w:bidi="ar"/>
        </w:rPr>
      </w:pPr>
      <w:r>
        <w:rPr>
          <w:rFonts w:hint="eastAsia" w:ascii="仿宋_GB2312" w:hAnsi="仿宋_GB2312" w:eastAsia="仿宋_GB2312" w:cs="仿宋_GB2312"/>
          <w:color w:val="auto"/>
          <w:sz w:val="32"/>
          <w:szCs w:val="32"/>
        </w:rPr>
        <w:t>通过自评，我单位认为，20</w:t>
      </w:r>
      <w:r>
        <w:rPr>
          <w:rFonts w:hint="eastAsia" w:ascii="仿宋_GB2312" w:hAnsi="仿宋_GB2312" w:eastAsia="仿宋_GB2312" w:cs="仿宋_GB2312"/>
          <w:color w:val="auto"/>
          <w:sz w:val="32"/>
          <w:szCs w:val="32"/>
          <w:lang w:val="en-US" w:eastAsia="zh-CN"/>
        </w:rPr>
        <w:t>21年城区</w:t>
      </w:r>
      <w:r>
        <w:rPr>
          <w:rFonts w:hint="eastAsia" w:ascii="仿宋_GB2312" w:hAnsi="仿宋_GB2312" w:eastAsia="仿宋_GB2312" w:cs="仿宋_GB2312"/>
          <w:color w:val="auto"/>
          <w:sz w:val="32"/>
          <w:szCs w:val="32"/>
          <w:lang w:eastAsia="zh-CN"/>
        </w:rPr>
        <w:t>环卫服务外包专项</w:t>
      </w:r>
      <w:r>
        <w:rPr>
          <w:rFonts w:hint="default" w:ascii="仿宋_GB2312" w:hAnsi="微软雅黑" w:eastAsia="仿宋_GB2312" w:cs="仿宋_GB2312"/>
          <w:color w:val="auto"/>
          <w:kern w:val="0"/>
          <w:sz w:val="32"/>
          <w:szCs w:val="32"/>
          <w:shd w:val="clear" w:color="auto" w:fill="FFFFFF"/>
          <w:lang w:val="en-US" w:eastAsia="zh-CN" w:bidi="ar"/>
        </w:rPr>
        <w:t>该项目运行</w:t>
      </w:r>
      <w:r>
        <w:rPr>
          <w:rFonts w:hint="eastAsia" w:ascii="仿宋_GB2312" w:hAnsi="微软雅黑" w:eastAsia="仿宋_GB2312" w:cs="仿宋_GB2312"/>
          <w:color w:val="auto"/>
          <w:kern w:val="0"/>
          <w:sz w:val="32"/>
          <w:szCs w:val="32"/>
          <w:shd w:val="clear" w:color="auto" w:fill="FFFFFF"/>
          <w:lang w:val="en-US" w:eastAsia="zh-CN" w:bidi="ar"/>
        </w:rPr>
        <w:t>以来</w:t>
      </w:r>
      <w:r>
        <w:rPr>
          <w:rFonts w:hint="default" w:ascii="仿宋_GB2312" w:hAnsi="微软雅黑" w:eastAsia="仿宋_GB2312" w:cs="仿宋_GB2312"/>
          <w:color w:val="auto"/>
          <w:kern w:val="0"/>
          <w:sz w:val="32"/>
          <w:szCs w:val="32"/>
          <w:shd w:val="clear" w:color="auto" w:fill="FFFFFF"/>
          <w:lang w:val="en-US" w:eastAsia="zh-CN" w:bidi="ar"/>
        </w:rPr>
        <w:t>，</w:t>
      </w:r>
      <w:r>
        <w:rPr>
          <w:rFonts w:hint="eastAsia" w:ascii="仿宋_GB2312" w:hAnsi="微软雅黑" w:eastAsia="仿宋_GB2312" w:cs="仿宋_GB2312"/>
          <w:color w:val="auto"/>
          <w:kern w:val="0"/>
          <w:sz w:val="32"/>
          <w:szCs w:val="32"/>
          <w:shd w:val="clear" w:color="auto" w:fill="FFFFFF"/>
          <w:lang w:val="en-US" w:eastAsia="zh-CN" w:bidi="ar"/>
        </w:rPr>
        <w:t>城区服务区域内街道、城中村、城乡结合部，达到“以克论净”的标准。公厕按照运营标准运行，垃圾日产日清，无积存垃圾。</w:t>
      </w:r>
      <w:r>
        <w:rPr>
          <w:rFonts w:hint="default" w:ascii="仿宋_GB2312" w:hAnsi="微软雅黑" w:eastAsia="仿宋_GB2312" w:cs="仿宋_GB2312"/>
          <w:color w:val="auto"/>
          <w:kern w:val="0"/>
          <w:sz w:val="32"/>
          <w:szCs w:val="32"/>
          <w:shd w:val="clear" w:color="auto" w:fill="FFFFFF"/>
          <w:lang w:val="en-US" w:eastAsia="zh-CN" w:bidi="ar"/>
        </w:rPr>
        <w:t>取得的成效有目共睹，深受广大居民好评。</w:t>
      </w:r>
    </w:p>
    <w:p>
      <w:pPr>
        <w:numPr>
          <w:ilvl w:val="0"/>
          <w:numId w:val="1"/>
        </w:numPr>
        <w:spacing w:line="540" w:lineRule="exact"/>
        <w:ind w:left="0" w:leftChars="0" w:firstLine="640" w:firstLineChars="200"/>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工作存在的问题、改进工作的意见及建议</w:t>
      </w:r>
    </w:p>
    <w:p>
      <w:pPr>
        <w:numPr>
          <w:ilvl w:val="0"/>
          <w:numId w:val="5"/>
        </w:numPr>
        <w:spacing w:line="540" w:lineRule="exact"/>
        <w:ind w:firstLine="640" w:firstLineChars="200"/>
        <w:rPr>
          <w:rFonts w:hint="eastAsia" w:ascii="仿宋_GB2312" w:hAnsi="微软雅黑" w:eastAsia="仿宋_GB2312" w:cs="仿宋_GB2312"/>
          <w:color w:val="auto"/>
          <w:kern w:val="0"/>
          <w:sz w:val="32"/>
          <w:szCs w:val="32"/>
          <w:shd w:val="clear" w:color="auto" w:fill="FFFFFF"/>
          <w:lang w:val="en-US" w:eastAsia="zh-CN" w:bidi="ar"/>
        </w:rPr>
      </w:pPr>
      <w:r>
        <w:rPr>
          <w:rFonts w:hint="eastAsia" w:ascii="仿宋_GB2312" w:hAnsi="微软雅黑" w:eastAsia="仿宋_GB2312" w:cs="仿宋_GB2312"/>
          <w:color w:val="auto"/>
          <w:kern w:val="0"/>
          <w:sz w:val="32"/>
          <w:szCs w:val="32"/>
          <w:shd w:val="clear" w:color="auto" w:fill="FFFFFF"/>
          <w:lang w:val="en-US" w:eastAsia="zh-CN" w:bidi="ar"/>
        </w:rPr>
        <w:t>工作中存在问题：个别居民还存在垃圾乱扔、乱倒现象；垃圾分类宣传工作有待加强。</w:t>
      </w:r>
    </w:p>
    <w:p>
      <w:pPr>
        <w:numPr>
          <w:ilvl w:val="0"/>
          <w:numId w:val="5"/>
        </w:numPr>
        <w:spacing w:line="540" w:lineRule="exact"/>
        <w:ind w:firstLine="640" w:firstLineChars="200"/>
        <w:rPr>
          <w:rFonts w:hint="eastAsia" w:ascii="仿宋_GB2312" w:hAnsi="微软雅黑" w:eastAsia="仿宋_GB2312" w:cs="仿宋_GB2312"/>
          <w:color w:val="auto"/>
          <w:kern w:val="0"/>
          <w:sz w:val="32"/>
          <w:szCs w:val="32"/>
          <w:shd w:val="clear" w:color="auto" w:fill="FFFFFF"/>
          <w:lang w:val="en-US" w:eastAsia="zh-CN" w:bidi="ar"/>
        </w:rPr>
      </w:pPr>
      <w:r>
        <w:rPr>
          <w:rFonts w:hint="eastAsia" w:ascii="仿宋_GB2312" w:hAnsi="微软雅黑" w:eastAsia="仿宋_GB2312" w:cs="仿宋_GB2312"/>
          <w:color w:val="auto"/>
          <w:kern w:val="0"/>
          <w:sz w:val="32"/>
          <w:szCs w:val="32"/>
          <w:shd w:val="clear" w:color="auto" w:fill="FFFFFF"/>
          <w:lang w:val="en-US" w:eastAsia="zh-CN" w:bidi="ar"/>
        </w:rPr>
        <w:t>建议电视台、社区进行宣传引导，减少居民乱扔、乱倒现象。</w:t>
      </w:r>
    </w:p>
    <w:p>
      <w:pPr>
        <w:numPr>
          <w:ilvl w:val="0"/>
          <w:numId w:val="0"/>
        </w:numPr>
        <w:spacing w:line="540" w:lineRule="exact"/>
        <w:rPr>
          <w:rFonts w:hint="eastAsia" w:ascii="仿宋_GB2312" w:hAnsi="微软雅黑" w:eastAsia="仿宋_GB2312" w:cs="仿宋_GB2312"/>
          <w:color w:val="auto"/>
          <w:kern w:val="0"/>
          <w:sz w:val="32"/>
          <w:szCs w:val="32"/>
          <w:shd w:val="clear" w:color="auto" w:fill="FFFFFF"/>
          <w:lang w:val="en-US" w:eastAsia="zh-CN" w:bidi="ar"/>
        </w:rPr>
      </w:pPr>
    </w:p>
    <w:p>
      <w:pPr>
        <w:spacing w:line="540" w:lineRule="exact"/>
        <w:ind w:firstLine="640" w:firstLineChars="200"/>
        <w:rPr>
          <w:rFonts w:hint="eastAsia" w:ascii="仿宋_GB2312" w:hAnsi="微软雅黑" w:eastAsia="仿宋_GB2312" w:cs="仿宋_GB2312"/>
          <w:color w:val="auto"/>
          <w:kern w:val="0"/>
          <w:sz w:val="32"/>
          <w:szCs w:val="32"/>
          <w:shd w:val="clear" w:color="auto" w:fill="FFFFFF"/>
          <w:lang w:val="en-US" w:eastAsia="zh-CN" w:bidi="ar"/>
        </w:rPr>
      </w:pPr>
    </w:p>
    <w:p>
      <w:pPr>
        <w:spacing w:line="540" w:lineRule="exact"/>
        <w:ind w:firstLine="640" w:firstLineChars="200"/>
        <w:rPr>
          <w:rFonts w:hint="eastAsia" w:ascii="仿宋_GB2312" w:hAnsi="微软雅黑" w:eastAsia="仿宋_GB2312" w:cs="仿宋_GB2312"/>
          <w:color w:val="auto"/>
          <w:kern w:val="0"/>
          <w:sz w:val="32"/>
          <w:szCs w:val="32"/>
          <w:shd w:val="clear" w:color="auto" w:fill="FFFFFF"/>
          <w:lang w:val="en-US" w:eastAsia="zh-CN" w:bidi="ar"/>
        </w:rPr>
      </w:pPr>
    </w:p>
    <w:p>
      <w:pPr>
        <w:spacing w:line="540" w:lineRule="exact"/>
        <w:ind w:firstLine="640" w:firstLineChars="200"/>
        <w:rPr>
          <w:rFonts w:hint="eastAsia" w:ascii="仿宋_GB2312" w:hAnsi="微软雅黑" w:eastAsia="仿宋_GB2312" w:cs="仿宋_GB2312"/>
          <w:color w:val="auto"/>
          <w:kern w:val="0"/>
          <w:sz w:val="32"/>
          <w:szCs w:val="32"/>
          <w:shd w:val="clear" w:color="auto" w:fill="FFFFFF"/>
          <w:lang w:val="en-US" w:eastAsia="zh-CN" w:bidi="ar"/>
        </w:rPr>
      </w:pPr>
    </w:p>
    <w:p>
      <w:pPr>
        <w:spacing w:line="540" w:lineRule="exact"/>
        <w:ind w:firstLine="640" w:firstLineChars="200"/>
        <w:rPr>
          <w:rFonts w:hint="eastAsia" w:ascii="仿宋_GB2312" w:hAnsi="微软雅黑" w:eastAsia="仿宋_GB2312" w:cs="仿宋_GB2312"/>
          <w:color w:val="auto"/>
          <w:kern w:val="0"/>
          <w:sz w:val="32"/>
          <w:szCs w:val="32"/>
          <w:shd w:val="clear" w:color="auto" w:fill="FFFFFF"/>
          <w:lang w:val="en-US" w:eastAsia="zh-CN" w:bidi="ar"/>
        </w:rPr>
      </w:pPr>
    </w:p>
    <w:p>
      <w:pPr>
        <w:wordWrap w:val="0"/>
        <w:spacing w:line="540" w:lineRule="exact"/>
        <w:ind w:firstLine="640" w:firstLineChars="200"/>
        <w:jc w:val="right"/>
        <w:rPr>
          <w:rFonts w:hint="default" w:ascii="仿宋_GB2312" w:hAnsi="仿宋_GB2312" w:eastAsia="仿宋_GB2312" w:cs="仿宋_GB2312"/>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A78BBF"/>
    <w:multiLevelType w:val="singleLevel"/>
    <w:tmpl w:val="B5A78BBF"/>
    <w:lvl w:ilvl="0" w:tentative="0">
      <w:start w:val="1"/>
      <w:numFmt w:val="chineseCounting"/>
      <w:suff w:val="nothing"/>
      <w:lvlText w:val="（%1）"/>
      <w:lvlJc w:val="left"/>
      <w:rPr>
        <w:rFonts w:hint="eastAsia"/>
      </w:rPr>
    </w:lvl>
  </w:abstractNum>
  <w:abstractNum w:abstractNumId="1">
    <w:nsid w:val="DCF689C2"/>
    <w:multiLevelType w:val="singleLevel"/>
    <w:tmpl w:val="DCF689C2"/>
    <w:lvl w:ilvl="0" w:tentative="0">
      <w:start w:val="2"/>
      <w:numFmt w:val="chineseCounting"/>
      <w:suff w:val="nothing"/>
      <w:lvlText w:val="%1、"/>
      <w:lvlJc w:val="left"/>
      <w:rPr>
        <w:rFonts w:hint="eastAsia"/>
      </w:rPr>
    </w:lvl>
  </w:abstractNum>
  <w:abstractNum w:abstractNumId="2">
    <w:nsid w:val="EA495B80"/>
    <w:multiLevelType w:val="singleLevel"/>
    <w:tmpl w:val="EA495B80"/>
    <w:lvl w:ilvl="0" w:tentative="0">
      <w:start w:val="1"/>
      <w:numFmt w:val="decimal"/>
      <w:suff w:val="nothing"/>
      <w:lvlText w:val="%1、"/>
      <w:lvlJc w:val="left"/>
    </w:lvl>
  </w:abstractNum>
  <w:abstractNum w:abstractNumId="3">
    <w:nsid w:val="36D64974"/>
    <w:multiLevelType w:val="singleLevel"/>
    <w:tmpl w:val="36D64974"/>
    <w:lvl w:ilvl="0" w:tentative="0">
      <w:start w:val="1"/>
      <w:numFmt w:val="chineseCounting"/>
      <w:suff w:val="nothing"/>
      <w:lvlText w:val="（%1）"/>
      <w:lvlJc w:val="left"/>
      <w:rPr>
        <w:rFonts w:hint="eastAsia"/>
      </w:rPr>
    </w:lvl>
  </w:abstractNum>
  <w:abstractNum w:abstractNumId="4">
    <w:nsid w:val="7A968692"/>
    <w:multiLevelType w:val="singleLevel"/>
    <w:tmpl w:val="7A968692"/>
    <w:lvl w:ilvl="0" w:tentative="0">
      <w:start w:val="1"/>
      <w:numFmt w:val="chineseCounting"/>
      <w:suff w:val="nothing"/>
      <w:lvlText w:val="（%1）"/>
      <w:lvlJc w:val="left"/>
      <w:rPr>
        <w:rFonts w:hint="eastAsia"/>
      </w:r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F91B5D"/>
    <w:rsid w:val="05615505"/>
    <w:rsid w:val="061E526A"/>
    <w:rsid w:val="062C5369"/>
    <w:rsid w:val="06392646"/>
    <w:rsid w:val="092E0464"/>
    <w:rsid w:val="0E5325CE"/>
    <w:rsid w:val="15B233D2"/>
    <w:rsid w:val="174416DE"/>
    <w:rsid w:val="1A686BFF"/>
    <w:rsid w:val="1C745E23"/>
    <w:rsid w:val="1D5608C5"/>
    <w:rsid w:val="241A3A9B"/>
    <w:rsid w:val="24F36A99"/>
    <w:rsid w:val="2C2C7927"/>
    <w:rsid w:val="2EC31FB6"/>
    <w:rsid w:val="2FA74E0D"/>
    <w:rsid w:val="340225C1"/>
    <w:rsid w:val="3BE81299"/>
    <w:rsid w:val="3D032F57"/>
    <w:rsid w:val="44D635DB"/>
    <w:rsid w:val="4A776E20"/>
    <w:rsid w:val="515030C5"/>
    <w:rsid w:val="59D77675"/>
    <w:rsid w:val="5B71416E"/>
    <w:rsid w:val="60935CFA"/>
    <w:rsid w:val="6C6F2500"/>
    <w:rsid w:val="6D94478A"/>
    <w:rsid w:val="6DEA429B"/>
    <w:rsid w:val="6FF91B5D"/>
    <w:rsid w:val="76121C7F"/>
    <w:rsid w:val="76E97B2A"/>
    <w:rsid w:val="77BB66E5"/>
    <w:rsid w:val="784928E5"/>
    <w:rsid w:val="798D4C68"/>
    <w:rsid w:val="7B6A53DA"/>
    <w:rsid w:val="7CFE21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2021-03-17T09:12:00Z</dcterms:created>
  <dc:creator>wxxdell</dc:creator>
  <cp:lastModifiedBy>段朋辉</cp:lastModifiedBy>
  <cp:lastPrinted>2021-04-20T01:46:00Z</cp:lastPrinted>
  <dcterms:modified xsi:type="dcterms:W3CDTF">2022-03-24T02:32:46Z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7E448308284A450DA90A5C40BA39729A</vt:lpwstr>
  </property>
</Properties>
</file>