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both"/>
        <w:rPr>
          <w:rFonts w:hint="default" w:asciiTheme="majorAscii" w:hAnsiTheme="majorAscii" w:eastAsiaTheme="minorEastAsia" w:cstheme="minorEastAsia"/>
          <w:b/>
          <w:bCs/>
          <w:kern w:val="0"/>
          <w:sz w:val="44"/>
          <w:szCs w:val="44"/>
          <w:shd w:val="clear" w:color="auto" w:fill="FFFFFF"/>
          <w:lang w:eastAsia="zh-CN"/>
        </w:rPr>
      </w:pPr>
    </w:p>
    <w:p>
      <w:pPr>
        <w:widowControl/>
        <w:spacing w:line="400" w:lineRule="exact"/>
        <w:ind w:firstLine="2650" w:firstLineChars="600"/>
        <w:jc w:val="both"/>
        <w:rPr>
          <w:rFonts w:hint="default" w:asciiTheme="majorAscii" w:hAnsiTheme="majorAscii" w:eastAsiaTheme="minorEastAsia" w:cstheme="minorEastAsia"/>
          <w:b/>
          <w:sz w:val="44"/>
          <w:szCs w:val="44"/>
        </w:rPr>
      </w:pPr>
      <w:r>
        <w:rPr>
          <w:rFonts w:hint="default" w:asciiTheme="majorAscii" w:hAnsiTheme="majorAscii" w:eastAsiaTheme="minorEastAsia" w:cstheme="minorEastAsia"/>
          <w:b/>
          <w:bCs/>
          <w:kern w:val="0"/>
          <w:sz w:val="44"/>
          <w:szCs w:val="44"/>
          <w:shd w:val="clear" w:color="auto" w:fill="FFFFFF"/>
          <w:lang w:eastAsia="zh-CN"/>
        </w:rPr>
        <w:t>威县</w:t>
      </w:r>
      <w:r>
        <w:rPr>
          <w:rFonts w:hint="eastAsia" w:asciiTheme="majorAscii" w:hAnsiTheme="majorAscii" w:cstheme="minorEastAsia"/>
          <w:b/>
          <w:bCs/>
          <w:kern w:val="0"/>
          <w:sz w:val="44"/>
          <w:szCs w:val="44"/>
          <w:shd w:val="clear" w:color="auto" w:fill="FFFFFF"/>
          <w:lang w:eastAsia="zh-CN"/>
        </w:rPr>
        <w:t>人民政府办公室</w:t>
      </w:r>
    </w:p>
    <w:p>
      <w:pPr>
        <w:spacing w:line="480" w:lineRule="exact"/>
        <w:jc w:val="center"/>
        <w:rPr>
          <w:rFonts w:ascii="仿宋" w:hAnsi="仿宋" w:eastAsia="仿宋" w:cs="仿宋"/>
          <w:sz w:val="32"/>
          <w:szCs w:val="32"/>
        </w:rPr>
      </w:pPr>
      <w:r>
        <w:rPr>
          <w:rFonts w:hint="eastAsia" w:ascii="宋体" w:hAnsi="宋体"/>
          <w:b/>
          <w:sz w:val="44"/>
          <w:szCs w:val="44"/>
        </w:rPr>
        <w:t>部门整体支出绩效评价</w:t>
      </w:r>
      <w:r>
        <w:rPr>
          <w:rFonts w:hint="eastAsia" w:ascii="宋体" w:hAnsi="宋体" w:eastAsia="宋体" w:cs="宋体"/>
          <w:b/>
          <w:color w:val="000000"/>
          <w:kern w:val="0"/>
          <w:sz w:val="44"/>
          <w:szCs w:val="44"/>
          <w:shd w:val="clear" w:color="auto" w:fill="FFFFFF"/>
        </w:rPr>
        <w:t>指标体系评分表</w:t>
      </w:r>
    </w:p>
    <w:tbl>
      <w:tblPr>
        <w:tblStyle w:val="11"/>
        <w:tblW w:w="93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9"/>
        <w:gridCol w:w="743"/>
        <w:gridCol w:w="1275"/>
        <w:gridCol w:w="3436"/>
        <w:gridCol w:w="2373"/>
        <w:gridCol w:w="7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9"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rPr>
              <w:t>一级指标</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rPr>
              <w:t>二级指标</w:t>
            </w:r>
          </w:p>
        </w:tc>
        <w:tc>
          <w:tcPr>
            <w:tcW w:w="4711"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三级指标</w:t>
            </w:r>
          </w:p>
        </w:tc>
        <w:tc>
          <w:tcPr>
            <w:tcW w:w="2373"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评分标准</w:t>
            </w:r>
          </w:p>
        </w:tc>
        <w:tc>
          <w:tcPr>
            <w:tcW w:w="764"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b/>
              </w:rPr>
            </w:pPr>
            <w:r>
              <w:rPr>
                <w:rFonts w:ascii="仿宋_GB2312" w:hAnsi="新宋体" w:eastAsia="仿宋_GB2312" w:cs="仿宋_GB2312"/>
                <w:b/>
                <w:kern w:val="0"/>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指标名称</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rPr>
              <w:t>指标解释说明</w:t>
            </w:r>
          </w:p>
        </w:tc>
        <w:tc>
          <w:tcPr>
            <w:tcW w:w="2373"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c>
          <w:tcPr>
            <w:tcW w:w="764"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投入（1</w:t>
            </w:r>
            <w:r>
              <w:rPr>
                <w:rFonts w:hint="eastAsia" w:ascii="仿宋_GB2312" w:hAnsi="新宋体" w:eastAsia="仿宋_GB2312" w:cs="仿宋_GB2312"/>
                <w:kern w:val="0"/>
                <w:szCs w:val="21"/>
              </w:rPr>
              <w:t>0</w:t>
            </w:r>
            <w:r>
              <w:rPr>
                <w:rFonts w:ascii="仿宋_GB2312" w:hAnsi="新宋体" w:eastAsia="仿宋_GB2312" w:cs="仿宋_GB2312"/>
                <w:kern w:val="0"/>
                <w:szCs w:val="21"/>
              </w:rPr>
              <w:t>）</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绩效</w:t>
            </w:r>
            <w:r>
              <w:rPr>
                <w:rFonts w:ascii="仿宋_GB2312" w:hAnsi="新宋体" w:eastAsia="仿宋_GB2312" w:cs="仿宋_GB2312"/>
                <w:kern w:val="0"/>
                <w:szCs w:val="21"/>
              </w:rPr>
              <w:t>目标设定</w:t>
            </w:r>
            <w:r>
              <w:rPr>
                <w:rFonts w:hint="eastAsia" w:ascii="仿宋_GB2312" w:hAnsi="新宋体" w:eastAsia="仿宋_GB2312" w:cs="仿宋_GB2312"/>
                <w:kern w:val="0"/>
                <w:szCs w:val="21"/>
              </w:rPr>
              <w:t>情况</w:t>
            </w:r>
          </w:p>
          <w:p>
            <w:pPr>
              <w:widowControl/>
              <w:spacing w:line="240" w:lineRule="exact"/>
              <w:jc w:val="left"/>
              <w:rPr>
                <w:color w:val="FF0000"/>
                <w:szCs w:val="21"/>
              </w:rPr>
            </w:pP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职责明确（1</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部门的职责设定是否符合“</w:t>
            </w:r>
            <w:bookmarkStart w:id="0" w:name="_GoBack"/>
            <w:bookmarkEnd w:id="0"/>
            <w:r>
              <w:rPr>
                <w:rFonts w:ascii="仿宋_GB2312" w:hAnsi="新宋体" w:eastAsia="仿宋_GB2312" w:cs="仿宋_GB2312"/>
                <w:kern w:val="0"/>
                <w:szCs w:val="21"/>
              </w:rPr>
              <w:t>三定”方案中所赋予的职责，用以反映和评价部门工作的目的性与计划性。</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符合（1）；</w:t>
            </w:r>
          </w:p>
          <w:p>
            <w:pPr>
              <w:widowControl/>
              <w:spacing w:line="240" w:lineRule="exact"/>
              <w:jc w:val="left"/>
              <w:rPr>
                <w:szCs w:val="21"/>
              </w:rPr>
            </w:pPr>
            <w:r>
              <w:rPr>
                <w:rFonts w:ascii="仿宋_GB2312" w:hAnsi="新宋体" w:eastAsia="仿宋_GB2312" w:cs="仿宋_GB2312"/>
                <w:kern w:val="0"/>
                <w:szCs w:val="21"/>
              </w:rPr>
              <w:t>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3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活动合规性（2</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部门的活动是否在职责范围之内并符合部门中长期规划，用以反映和评价部门活动目标与部门履职、年度工作任务的相符性情况。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1.部门活动的设定在部门所确定的职责范围之内；</w:t>
            </w:r>
          </w:p>
          <w:p>
            <w:pPr>
              <w:widowControl/>
              <w:spacing w:line="240" w:lineRule="exact"/>
              <w:jc w:val="left"/>
              <w:rPr>
                <w:szCs w:val="21"/>
              </w:rPr>
            </w:pPr>
            <w:r>
              <w:rPr>
                <w:rFonts w:ascii="仿宋_GB2312" w:hAnsi="新宋体" w:eastAsia="仿宋_GB2312" w:cs="仿宋_GB2312"/>
                <w:kern w:val="0"/>
                <w:szCs w:val="21"/>
              </w:rPr>
              <w:t>2.部门活动符合</w:t>
            </w:r>
            <w:r>
              <w:rPr>
                <w:rFonts w:hint="eastAsia" w:ascii="仿宋_GB2312" w:hAnsi="新宋体" w:eastAsia="仿宋_GB2312" w:cs="仿宋_GB2312"/>
                <w:kern w:val="0"/>
                <w:szCs w:val="21"/>
              </w:rPr>
              <w:t>市</w:t>
            </w:r>
            <w:r>
              <w:rPr>
                <w:rFonts w:ascii="仿宋_GB2312" w:hAnsi="新宋体" w:eastAsia="仿宋_GB2312" w:cs="仿宋_GB2312"/>
                <w:kern w:val="0"/>
                <w:szCs w:val="21"/>
              </w:rPr>
              <w:t>委、</w:t>
            </w:r>
            <w:r>
              <w:rPr>
                <w:rFonts w:hint="eastAsia" w:ascii="仿宋_GB2312" w:hAnsi="新宋体" w:eastAsia="仿宋_GB2312" w:cs="仿宋_GB2312"/>
                <w:kern w:val="0"/>
                <w:szCs w:val="21"/>
              </w:rPr>
              <w:t>市</w:t>
            </w:r>
            <w:r>
              <w:rPr>
                <w:rFonts w:ascii="仿宋_GB2312" w:hAnsi="新宋体" w:eastAsia="仿宋_GB2312" w:cs="仿宋_GB2312"/>
                <w:kern w:val="0"/>
                <w:szCs w:val="21"/>
              </w:rPr>
              <w:t>政府的发展规划及本部门的年度工作安排与发展规划。</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全部符合（2）；</w:t>
            </w:r>
          </w:p>
          <w:p>
            <w:pPr>
              <w:widowControl/>
              <w:spacing w:line="240" w:lineRule="exact"/>
              <w:jc w:val="left"/>
              <w:rPr>
                <w:szCs w:val="21"/>
              </w:rPr>
            </w:pPr>
            <w:r>
              <w:rPr>
                <w:rFonts w:ascii="仿宋_GB2312" w:hAnsi="新宋体" w:eastAsia="仿宋_GB2312" w:cs="仿宋_GB2312"/>
                <w:kern w:val="0"/>
                <w:szCs w:val="21"/>
              </w:rPr>
              <w:t>其中一项不符合（0）。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活动合理性（2</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部门所设立的活动是否明确合理、活动的关键性指标设置是否可衡量，用以反映和评价部门活动目标设定的合理性。</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1.活动目标的设定是可量化的，可通过清晰、可衡量的关键指标值予以体现；</w:t>
            </w:r>
          </w:p>
          <w:p>
            <w:pPr>
              <w:widowControl/>
              <w:spacing w:line="240" w:lineRule="exact"/>
              <w:jc w:val="left"/>
              <w:rPr>
                <w:szCs w:val="21"/>
              </w:rPr>
            </w:pPr>
            <w:r>
              <w:rPr>
                <w:rFonts w:ascii="仿宋_GB2312" w:hAnsi="新宋体" w:eastAsia="仿宋_GB2312" w:cs="仿宋_GB2312"/>
                <w:kern w:val="0"/>
                <w:szCs w:val="21"/>
              </w:rPr>
              <w:t>2.在活动目标设定时，将关键指标明细分解为具体的达成目标与工作任务。</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全部符合（2）；</w:t>
            </w:r>
          </w:p>
          <w:p>
            <w:pPr>
              <w:widowControl/>
              <w:spacing w:line="240" w:lineRule="exact"/>
              <w:jc w:val="left"/>
              <w:rPr>
                <w:szCs w:val="21"/>
              </w:rPr>
            </w:pPr>
            <w:r>
              <w:rPr>
                <w:rFonts w:ascii="仿宋_GB2312" w:hAnsi="新宋体" w:eastAsia="仿宋_GB2312" w:cs="仿宋_GB2312"/>
                <w:kern w:val="0"/>
                <w:szCs w:val="21"/>
              </w:rPr>
              <w:t>其中一项不符合（0）。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restart"/>
            <w:tcBorders>
              <w:top w:val="single" w:color="000000" w:sz="4" w:space="0"/>
              <w:left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预算配置</w:t>
            </w:r>
            <w:r>
              <w:rPr>
                <w:rFonts w:hint="eastAsia" w:ascii="仿宋_GB2312" w:hAnsi="新宋体" w:eastAsia="仿宋_GB2312" w:cs="仿宋_GB2312"/>
                <w:kern w:val="0"/>
                <w:szCs w:val="21"/>
              </w:rPr>
              <w:t>情况</w:t>
            </w:r>
            <w:r>
              <w:rPr>
                <w:rFonts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在职人员控制率（</w:t>
            </w:r>
            <w:r>
              <w:rPr>
                <w:rFonts w:hint="eastAsia" w:ascii="仿宋_GB2312" w:hAnsi="新宋体" w:eastAsia="仿宋_GB2312" w:cs="仿宋_GB2312"/>
                <w:kern w:val="0"/>
                <w:szCs w:val="21"/>
              </w:rPr>
              <w:t>1分</w:t>
            </w:r>
            <w:r>
              <w:rPr>
                <w:rFonts w:ascii="仿宋_GB2312" w:hAnsi="新宋体" w:eastAsia="仿宋_GB2312" w:cs="仿宋_GB2312"/>
                <w:kern w:val="0"/>
                <w:szCs w:val="21"/>
              </w:rPr>
              <w:t>）</w:t>
            </w:r>
          </w:p>
        </w:tc>
        <w:tc>
          <w:tcPr>
            <w:tcW w:w="3436"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部门本年度实际在职人员数与编制数的比率，用以反映和评价部门对人员成本的控制程度。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在职人员控制率=（在职人员数/编制数）×100%。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在职人员数：部门实际在职人数，以财政部确定的部门决算编制口径为准，由编制部门和人劳部门批复同意的临聘人员除外。</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编制数：机构编制部门核定批复的部门人员编制数。</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1.在职人员控制率小于或等于100%的，得满分；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2.在职人员控制率大于或等于115%的，得0分；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3.在职人员控制率在100%-115%之间的，在0分和满分之间计算确定：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得分=[max（在职人员控制率）－某部门在职人员控制率]/[max（在职人员控制率）－min（在职人员控制率）]×该指标分值。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79" w:type="dxa"/>
            <w:vMerge w:val="restart"/>
            <w:tcBorders>
              <w:top w:val="single" w:color="000000" w:sz="4" w:space="0"/>
              <w:left w:val="single" w:color="000000" w:sz="4" w:space="0"/>
              <w:right w:val="single" w:color="000000" w:sz="4" w:space="0"/>
            </w:tcBorders>
            <w:vAlign w:val="center"/>
          </w:tcPr>
          <w:p>
            <w:pPr>
              <w:spacing w:line="240" w:lineRule="exact"/>
              <w:rPr>
                <w:rFonts w:ascii="宋体"/>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“三公经费”变动率（2分）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部门本年度“三公经费”预算数与上年度“三公经费”预算数的变动比率，用以反映和考核部门对控制重点行政成本的努力程度。“三公经费”变动率=[（本年度“三公经费”总额-上年度“三公经费”总额）/上年度“三公经费”总额]×100%。</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“三公经费”：年度预算安排的因公出国（境）费、公务车辆购置及运行费和公务招待费。</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小于或等于</w:t>
            </w:r>
            <w:r>
              <w:rPr>
                <w:rFonts w:hint="eastAsia" w:ascii="仿宋_GB2312" w:hAnsi="新宋体" w:eastAsia="仿宋_GB2312" w:cs="仿宋_GB2312"/>
                <w:kern w:val="0"/>
                <w:szCs w:val="21"/>
              </w:rPr>
              <w:t>-5</w:t>
            </w:r>
            <w:r>
              <w:rPr>
                <w:rFonts w:ascii="仿宋_GB2312" w:hAnsi="新宋体" w:eastAsia="仿宋_GB2312" w:cs="仿宋_GB2312"/>
                <w:kern w:val="0"/>
                <w:szCs w:val="21"/>
              </w:rPr>
              <w:t>%的，得满分；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大于或等于1</w:t>
            </w:r>
            <w:r>
              <w:rPr>
                <w:rFonts w:hint="eastAsia" w:ascii="仿宋_GB2312" w:hAnsi="新宋体" w:eastAsia="仿宋_GB2312" w:cs="仿宋_GB2312"/>
                <w:kern w:val="0"/>
                <w:szCs w:val="21"/>
              </w:rPr>
              <w:t>0</w:t>
            </w:r>
            <w:r>
              <w:rPr>
                <w:rFonts w:ascii="仿宋_GB2312" w:hAnsi="新宋体" w:eastAsia="仿宋_GB2312" w:cs="仿宋_GB2312"/>
                <w:kern w:val="0"/>
                <w:szCs w:val="21"/>
              </w:rPr>
              <w:t>%的，得0分；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3.在职人员控制率在</w:t>
            </w:r>
            <w:r>
              <w:rPr>
                <w:rFonts w:hint="eastAsia" w:ascii="仿宋_GB2312" w:hAnsi="新宋体" w:eastAsia="仿宋_GB2312" w:cs="仿宋_GB2312"/>
                <w:kern w:val="0"/>
                <w:szCs w:val="21"/>
              </w:rPr>
              <w:t>-5</w:t>
            </w:r>
            <w:r>
              <w:rPr>
                <w:rFonts w:ascii="仿宋_GB2312" w:hAnsi="新宋体" w:eastAsia="仿宋_GB2312" w:cs="仿宋_GB2312"/>
                <w:kern w:val="0"/>
                <w:szCs w:val="21"/>
              </w:rPr>
              <w:t>%-</w:t>
            </w:r>
            <w:r>
              <w:rPr>
                <w:rFonts w:hint="eastAsia" w:ascii="仿宋_GB2312" w:hAnsi="新宋体" w:eastAsia="仿宋_GB2312" w:cs="仿宋_GB2312"/>
                <w:kern w:val="0"/>
                <w:szCs w:val="21"/>
              </w:rPr>
              <w:t>10</w:t>
            </w:r>
            <w:r>
              <w:rPr>
                <w:rFonts w:ascii="仿宋_GB2312" w:hAnsi="新宋体" w:eastAsia="仿宋_GB2312" w:cs="仿宋_GB2312"/>
                <w:kern w:val="0"/>
                <w:szCs w:val="21"/>
              </w:rPr>
              <w:t>%之间的，在0分和满分之间计算确定：</w:t>
            </w:r>
          </w:p>
          <w:p>
            <w:pPr>
              <w:widowControl/>
              <w:spacing w:line="240" w:lineRule="exact"/>
              <w:jc w:val="left"/>
              <w:textAlignment w:val="center"/>
              <w:rPr>
                <w:rFonts w:ascii="仿宋" w:hAnsi="仿宋" w:eastAsia="仿宋" w:cs="仿宋"/>
                <w:kern w:val="0"/>
                <w:szCs w:val="21"/>
              </w:rPr>
            </w:pPr>
            <w:r>
              <w:rPr>
                <w:rFonts w:ascii="仿宋_GB2312" w:hAnsi="新宋体" w:eastAsia="仿宋_GB2312" w:cs="仿宋_GB2312"/>
                <w:kern w:val="0"/>
                <w:szCs w:val="21"/>
              </w:rPr>
              <w:t>得分=[max（</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]/[max（</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）－min（</w:t>
            </w:r>
            <w:r>
              <w:rPr>
                <w:rFonts w:hint="eastAsia" w:ascii="仿宋" w:hAnsi="仿宋" w:eastAsia="仿宋" w:cs="仿宋"/>
                <w:color w:val="000000"/>
                <w:kern w:val="0"/>
                <w:szCs w:val="21"/>
              </w:rPr>
              <w:t>“三公经费”变动率</w:t>
            </w:r>
            <w:r>
              <w:rPr>
                <w:rFonts w:ascii="仿宋_GB2312" w:hAnsi="新宋体" w:eastAsia="仿宋_GB2312" w:cs="仿宋_GB2312"/>
                <w:kern w:val="0"/>
                <w:szCs w:val="21"/>
              </w:rPr>
              <w:t>）]×该指标分值。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79"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left w:val="single" w:color="000000" w:sz="4" w:space="0"/>
              <w:bottom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重点支出安排率（2分）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ascii="仿宋" w:hAnsi="仿宋" w:eastAsia="仿宋" w:cs="仿宋"/>
                <w:kern w:val="0"/>
                <w:szCs w:val="21"/>
              </w:rPr>
            </w:pPr>
            <w:r>
              <w:rPr>
                <w:rFonts w:hint="eastAsia" w:ascii="仿宋" w:hAnsi="仿宋" w:eastAsia="仿宋" w:cs="仿宋"/>
                <w:color w:val="000000"/>
                <w:kern w:val="0"/>
                <w:szCs w:val="21"/>
              </w:rPr>
              <w:t>部门本年度预算安排的重点项目支出与部门项目总支出的比率，用以反映和考核部门对履行主要职责或完成重点任务的保障程度。重点支出安排率=（重点项目支出/项目总支出）×100%。</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重点项目支出：部门（单位）年度预算安排的，与本部门履职和发展密切相关、具有明显社会和经济影响、党委政府关心或社会比较关注的项目支出总额。</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项目总支出：部门（单位）年度预算安排的项目支出总额。</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在85%-95%之间的，在0分和满分之间计算确定：</w:t>
            </w:r>
          </w:p>
          <w:p>
            <w:pPr>
              <w:widowControl/>
              <w:spacing w:line="240" w:lineRule="exact"/>
              <w:jc w:val="left"/>
              <w:textAlignment w:val="center"/>
              <w:rPr>
                <w:rFonts w:ascii="仿宋" w:hAnsi="仿宋" w:eastAsia="仿宋" w:cs="仿宋"/>
                <w:kern w:val="0"/>
                <w:szCs w:val="21"/>
              </w:rPr>
            </w:pPr>
            <w:r>
              <w:rPr>
                <w:rFonts w:ascii="仿宋_GB2312" w:hAnsi="新宋体" w:eastAsia="仿宋_GB2312" w:cs="仿宋_GB2312"/>
                <w:kern w:val="0"/>
                <w:szCs w:val="21"/>
              </w:rPr>
              <w:t>得分=[某部门</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-min（</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）]/[max（</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）－min（</w:t>
            </w:r>
            <w:r>
              <w:rPr>
                <w:rFonts w:hint="eastAsia" w:ascii="仿宋" w:hAnsi="仿宋" w:eastAsia="仿宋" w:cs="仿宋"/>
                <w:color w:val="000000"/>
                <w:kern w:val="0"/>
                <w:szCs w:val="21"/>
              </w:rPr>
              <w:t>重点支出安排率</w:t>
            </w:r>
            <w:r>
              <w:rPr>
                <w:rFonts w:ascii="仿宋_GB2312" w:hAnsi="新宋体" w:eastAsia="仿宋_GB2312" w:cs="仿宋_GB2312"/>
                <w:kern w:val="0"/>
                <w:szCs w:val="21"/>
              </w:rPr>
              <w:t>）]×该指标分值。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过程(</w:t>
            </w:r>
            <w:r>
              <w:rPr>
                <w:rFonts w:hint="eastAsia" w:ascii="仿宋_GB2312" w:hAnsi="新宋体" w:eastAsia="仿宋_GB2312" w:cs="仿宋_GB2312"/>
                <w:kern w:val="0"/>
                <w:szCs w:val="21"/>
              </w:rPr>
              <w:t>45分</w:t>
            </w:r>
            <w:r>
              <w:rPr>
                <w:rFonts w:ascii="仿宋_GB2312" w:hAnsi="新宋体" w:eastAsia="仿宋_GB2312" w:cs="仿宋_GB2312"/>
                <w:kern w:val="0"/>
                <w:szCs w:val="21"/>
              </w:rPr>
              <w:t>)</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预算执行</w:t>
            </w:r>
            <w:r>
              <w:rPr>
                <w:rFonts w:hint="eastAsia" w:ascii="仿宋_GB2312" w:hAnsi="新宋体" w:eastAsia="仿宋_GB2312" w:cs="仿宋_GB2312"/>
                <w:kern w:val="0"/>
                <w:szCs w:val="21"/>
              </w:rPr>
              <w:t>情况</w:t>
            </w:r>
            <w:r>
              <w:rPr>
                <w:rFonts w:ascii="仿宋_GB2312" w:hAnsi="新宋体" w:eastAsia="仿宋_GB2312" w:cs="仿宋_GB2312"/>
                <w:kern w:val="0"/>
                <w:szCs w:val="21"/>
              </w:rPr>
              <w:t>(</w:t>
            </w:r>
            <w:r>
              <w:rPr>
                <w:rFonts w:hint="eastAsia" w:ascii="仿宋_GB2312" w:hAnsi="新宋体" w:eastAsia="仿宋_GB2312" w:cs="仿宋_GB2312"/>
                <w:kern w:val="0"/>
                <w:szCs w:val="21"/>
              </w:rPr>
              <w:t>25分</w:t>
            </w:r>
            <w:r>
              <w:rPr>
                <w:rFonts w:ascii="仿宋_GB2312" w:hAnsi="新宋体" w:eastAsia="仿宋_GB2312" w:cs="仿宋_GB2312"/>
                <w:kern w:val="0"/>
                <w:szCs w:val="21"/>
              </w:rPr>
              <w:t>)</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预算完成率（5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通过对部门本年度预算完成数与预算数的比较，反映和评价部门预算的完成程度。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预算完成率=（预算完成数/预算数）×100%。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1.预算完成率大于或等于95%的，得满分；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2.预算完成率小于或等于85%的，得0分；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3.预算完成率在85%-95%之间的，在0分和满分之间计算确定：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得分=[某部门预算完成率-min（预算完成率）]/[max（预算完成率）－min（预算完成率）]×该指标分值。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预算调整率（</w:t>
            </w:r>
            <w:r>
              <w:rPr>
                <w:rFonts w:hint="eastAsia" w:ascii="仿宋_GB2312" w:hAnsi="新宋体" w:eastAsia="仿宋_GB2312" w:cs="仿宋_GB2312"/>
                <w:kern w:val="0"/>
                <w:szCs w:val="21"/>
              </w:rPr>
              <w:t>3分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部门本年度预算调整数与预算数的比率，用以反映和评价部门预算的调整程度。</w:t>
            </w:r>
          </w:p>
          <w:p>
            <w:pPr>
              <w:widowControl/>
              <w:spacing w:line="240" w:lineRule="exact"/>
              <w:jc w:val="left"/>
              <w:rPr>
                <w:szCs w:val="21"/>
              </w:rPr>
            </w:pPr>
            <w:r>
              <w:rPr>
                <w:rFonts w:ascii="仿宋_GB2312" w:hAnsi="新宋体" w:eastAsia="仿宋_GB2312" w:cs="仿宋_GB2312"/>
                <w:kern w:val="0"/>
                <w:szCs w:val="21"/>
              </w:rPr>
              <w:t>预算调整率=（预算调整数/预算数）×100%。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 xml:space="preserve">1.预算调整率等于0的，得满分； </w:t>
            </w:r>
          </w:p>
          <w:p>
            <w:pPr>
              <w:widowControl/>
              <w:spacing w:line="240" w:lineRule="exact"/>
              <w:jc w:val="left"/>
              <w:rPr>
                <w:szCs w:val="21"/>
              </w:rPr>
            </w:pPr>
            <w:r>
              <w:rPr>
                <w:rFonts w:ascii="仿宋_GB2312" w:hAnsi="新宋体" w:eastAsia="仿宋_GB2312" w:cs="仿宋_GB2312"/>
                <w:kern w:val="0"/>
                <w:szCs w:val="21"/>
              </w:rPr>
              <w:t>2.预算调整率大于或等于10%的，得0分；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3.预算调整率在0-10%之间的，在0分和满分之间确定：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得分=［max（预算调整率）-某部门预算调整率］/［max（预算调整率）-min（预算调整率）］×该指标分值。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4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color w:val="000000"/>
                <w:kern w:val="0"/>
                <w:szCs w:val="21"/>
              </w:rPr>
              <w:t>支付进度率</w:t>
            </w:r>
            <w:r>
              <w:rPr>
                <w:rFonts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度支付数与</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度任务数的比率，用以反映和评价部门预算执行的及时和均衡程度。</w:t>
            </w:r>
          </w:p>
          <w:p>
            <w:pPr>
              <w:widowControl/>
              <w:spacing w:line="240" w:lineRule="exact"/>
              <w:jc w:val="left"/>
              <w:rPr>
                <w:szCs w:val="21"/>
              </w:rPr>
            </w:pPr>
            <w:r>
              <w:rPr>
                <w:rFonts w:ascii="仿宋_GB2312" w:hAnsi="新宋体" w:eastAsia="仿宋_GB2312" w:cs="仿宋_GB2312"/>
                <w:kern w:val="0"/>
                <w:szCs w:val="21"/>
              </w:rPr>
              <w:t>支付进度率=（</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度支付数/</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度任务数）×100%。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按</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度的执行情况进行打分</w:t>
            </w:r>
            <w:r>
              <w:rPr>
                <w:rFonts w:hint="eastAsia" w:ascii="仿宋_GB2312" w:hAnsi="新宋体" w:eastAsia="仿宋_GB2312" w:cs="仿宋_GB2312"/>
                <w:kern w:val="0"/>
                <w:szCs w:val="21"/>
              </w:rPr>
              <w:t>。</w:t>
            </w:r>
            <w:r>
              <w:rPr>
                <w:rFonts w:ascii="仿宋_GB2312" w:hAnsi="新宋体" w:eastAsia="仿宋_GB2312" w:cs="仿宋_GB2312"/>
                <w:kern w:val="0"/>
                <w:szCs w:val="21"/>
              </w:rPr>
              <w:t>得分=</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度支付数/</w:t>
            </w:r>
            <w:r>
              <w:rPr>
                <w:rFonts w:hint="eastAsia" w:ascii="仿宋_GB2312" w:hAnsi="新宋体" w:eastAsia="仿宋_GB2312" w:cs="仿宋_GB2312"/>
                <w:kern w:val="0"/>
                <w:szCs w:val="21"/>
              </w:rPr>
              <w:t>年</w:t>
            </w:r>
            <w:r>
              <w:rPr>
                <w:rFonts w:ascii="仿宋_GB2312" w:hAnsi="新宋体" w:eastAsia="仿宋_GB2312" w:cs="仿宋_GB2312"/>
                <w:kern w:val="0"/>
                <w:szCs w:val="21"/>
              </w:rPr>
              <w:t>度任务数×该指标分值。</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7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结转结余率（4</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通过对部门本年度结转结余总额与支出预算数的比较，反映和评价部门对本年度结转结余资金的实际控制程度。</w:t>
            </w:r>
          </w:p>
          <w:p>
            <w:pPr>
              <w:widowControl/>
              <w:spacing w:line="240" w:lineRule="exact"/>
              <w:jc w:val="left"/>
              <w:rPr>
                <w:szCs w:val="21"/>
              </w:rPr>
            </w:pPr>
            <w:r>
              <w:rPr>
                <w:rFonts w:ascii="仿宋_GB2312" w:hAnsi="新宋体" w:eastAsia="仿宋_GB2312" w:cs="仿宋_GB2312"/>
                <w:kern w:val="0"/>
                <w:szCs w:val="21"/>
              </w:rPr>
              <w:t>结转结余率=（结转结余总额/支出预算数）×100%。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1.结转结余率等于0的，得满分；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2.结转结余率大于或等于50%的，得0分；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3.结转结余率在0-50%之间的，在0和满分之间计算确定：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得分=[max（结转结余率）－某部门结转结余率]/[max（结转结余率）－min（结转结余率）]×该指标分值。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1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公用经费控制率（</w:t>
            </w:r>
            <w:r>
              <w:rPr>
                <w:rFonts w:hint="eastAsia" w:ascii="仿宋_GB2312" w:hAnsi="新宋体" w:eastAsia="仿宋_GB2312" w:cs="仿宋_GB2312"/>
                <w:kern w:val="0"/>
                <w:szCs w:val="21"/>
              </w:rPr>
              <w:t>4分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通过对部门本年度实际支出的公用经费总额与预算安排的公用经费总额的比率，反映和评价部门对机构运转成本的实际控制程度。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公用经费控制率=（实际支出公用经费总额/预算安排公用经费总额）×100%。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1.公用经费控制率小于或等于100%的，得满分；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2.公用经费控制率大于或等于105%的，得0分；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3.公用经费控制率在100%-105%之间的，在0和满分之间计算确定：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得分=［max（公用经费控制率）-某部门公用经费控制率］/［max（公用经费控制率）-min（公用经费控制率）］×该指标分值。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0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政府采购执行率（</w:t>
            </w:r>
            <w:r>
              <w:rPr>
                <w:rFonts w:hint="eastAsia" w:ascii="仿宋_GB2312" w:hAnsi="新宋体" w:eastAsia="仿宋_GB2312" w:cs="仿宋_GB2312"/>
                <w:kern w:val="0"/>
                <w:szCs w:val="21"/>
              </w:rPr>
              <w:t>4分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通过对部门本年度实际政府采购预算项目个数与政府采购预算项目个数的比较，反映和评价部门政府采购预算执行情况。</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政府采购执行率=（实际政府采购预算项目个数/政府采购预算项目个数）×100%。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政府采购项目中非预算内安排的项目除外。</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1.政府采购执行率等于100%的，得满分；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2.政府采购执行率小于或等于90%的，0分；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3.政府采购执行率在90%-100%之间的，在0和满分之间计算确定：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得分=［某部门政府采购执行率-min（政府采购执行率）］/［max（政府采购执行率）-min（政府采购执行率）］×该指标分值。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预算管理</w:t>
            </w:r>
            <w:r>
              <w:rPr>
                <w:rFonts w:hint="eastAsia" w:ascii="仿宋_GB2312" w:hAnsi="新宋体" w:eastAsia="仿宋_GB2312" w:cs="仿宋_GB2312"/>
                <w:kern w:val="0"/>
                <w:szCs w:val="21"/>
              </w:rPr>
              <w:t>情况</w:t>
            </w:r>
          </w:p>
          <w:p>
            <w:pPr>
              <w:widowControl/>
              <w:spacing w:line="240" w:lineRule="exact"/>
              <w:jc w:val="left"/>
              <w:rPr>
                <w:szCs w:val="21"/>
              </w:rPr>
            </w:pPr>
            <w:r>
              <w:rPr>
                <w:rFonts w:ascii="仿宋_GB2312" w:hAnsi="新宋体" w:eastAsia="仿宋_GB2312" w:cs="仿宋_GB2312"/>
                <w:kern w:val="0"/>
                <w:szCs w:val="21"/>
              </w:rPr>
              <w:t>（15）</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资金使用合规性（8</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部门使用预算资金是否符合相关的预算财务管理制度的规定，反映和评价部门预算资金的规范运行情况。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1.符合国家财经法规和财务管理制度规定以及有关部门资金管理办法的规定；</w:t>
            </w:r>
          </w:p>
          <w:p>
            <w:pPr>
              <w:widowControl/>
              <w:spacing w:line="240" w:lineRule="exact"/>
              <w:jc w:val="left"/>
              <w:rPr>
                <w:szCs w:val="21"/>
              </w:rPr>
            </w:pPr>
            <w:r>
              <w:rPr>
                <w:rFonts w:ascii="仿宋_GB2312" w:hAnsi="新宋体" w:eastAsia="仿宋_GB2312" w:cs="仿宋_GB2312"/>
                <w:kern w:val="0"/>
                <w:szCs w:val="21"/>
              </w:rPr>
              <w:t>2.资金的拨付有完整的审批过程和手续；</w:t>
            </w:r>
          </w:p>
          <w:p>
            <w:pPr>
              <w:widowControl/>
              <w:spacing w:line="240" w:lineRule="exact"/>
              <w:jc w:val="left"/>
              <w:rPr>
                <w:szCs w:val="21"/>
              </w:rPr>
            </w:pPr>
            <w:r>
              <w:rPr>
                <w:rFonts w:ascii="仿宋_GB2312" w:hAnsi="新宋体" w:eastAsia="仿宋_GB2312" w:cs="仿宋_GB2312"/>
                <w:kern w:val="0"/>
                <w:szCs w:val="21"/>
              </w:rPr>
              <w:t>3.项目的重大开支经过评估论证；</w:t>
            </w:r>
          </w:p>
          <w:p>
            <w:pPr>
              <w:widowControl/>
              <w:spacing w:line="240" w:lineRule="exact"/>
              <w:jc w:val="left"/>
              <w:rPr>
                <w:szCs w:val="21"/>
              </w:rPr>
            </w:pPr>
            <w:r>
              <w:rPr>
                <w:rFonts w:ascii="仿宋_GB2312" w:hAnsi="新宋体" w:eastAsia="仿宋_GB2312" w:cs="仿宋_GB2312"/>
                <w:kern w:val="0"/>
                <w:szCs w:val="21"/>
              </w:rPr>
              <w:t>4.符合部门预算批复的用途；</w:t>
            </w:r>
          </w:p>
          <w:p>
            <w:pPr>
              <w:widowControl/>
              <w:spacing w:line="240" w:lineRule="exact"/>
              <w:jc w:val="left"/>
              <w:rPr>
                <w:szCs w:val="21"/>
              </w:rPr>
            </w:pPr>
            <w:r>
              <w:rPr>
                <w:rFonts w:ascii="仿宋_GB2312" w:hAnsi="新宋体" w:eastAsia="仿宋_GB2312" w:cs="仿宋_GB2312"/>
                <w:kern w:val="0"/>
                <w:szCs w:val="21"/>
              </w:rPr>
              <w:t>5.不存在截留情况；</w:t>
            </w:r>
          </w:p>
          <w:p>
            <w:pPr>
              <w:widowControl/>
              <w:spacing w:line="240" w:lineRule="exact"/>
              <w:jc w:val="left"/>
              <w:rPr>
                <w:szCs w:val="21"/>
              </w:rPr>
            </w:pPr>
            <w:r>
              <w:rPr>
                <w:rFonts w:ascii="仿宋_GB2312" w:hAnsi="新宋体" w:eastAsia="仿宋_GB2312" w:cs="仿宋_GB2312"/>
                <w:kern w:val="0"/>
                <w:szCs w:val="21"/>
              </w:rPr>
              <w:t>6.不存在挤占情况；</w:t>
            </w:r>
          </w:p>
          <w:p>
            <w:pPr>
              <w:widowControl/>
              <w:spacing w:line="240" w:lineRule="exact"/>
              <w:jc w:val="left"/>
              <w:rPr>
                <w:szCs w:val="21"/>
              </w:rPr>
            </w:pPr>
            <w:r>
              <w:rPr>
                <w:rFonts w:ascii="仿宋_GB2312" w:hAnsi="新宋体" w:eastAsia="仿宋_GB2312" w:cs="仿宋_GB2312"/>
                <w:kern w:val="0"/>
                <w:szCs w:val="21"/>
              </w:rPr>
              <w:t>7.不存在挪用情况；</w:t>
            </w:r>
          </w:p>
          <w:p>
            <w:pPr>
              <w:widowControl/>
              <w:spacing w:line="240" w:lineRule="exact"/>
              <w:jc w:val="left"/>
              <w:rPr>
                <w:szCs w:val="21"/>
              </w:rPr>
            </w:pPr>
            <w:r>
              <w:rPr>
                <w:rFonts w:ascii="仿宋_GB2312" w:hAnsi="新宋体" w:eastAsia="仿宋_GB2312" w:cs="仿宋_GB2312"/>
                <w:kern w:val="0"/>
                <w:szCs w:val="21"/>
              </w:rPr>
              <w:t>8.不存在虚列支出情况。</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全部符合（8）；</w:t>
            </w:r>
          </w:p>
          <w:p>
            <w:pPr>
              <w:widowControl/>
              <w:spacing w:line="240" w:lineRule="exact"/>
              <w:jc w:val="left"/>
              <w:rPr>
                <w:szCs w:val="21"/>
              </w:rPr>
            </w:pPr>
            <w:r>
              <w:rPr>
                <w:rFonts w:ascii="仿宋_GB2312" w:hAnsi="新宋体" w:eastAsia="仿宋_GB2312" w:cs="仿宋_GB2312"/>
                <w:kern w:val="0"/>
                <w:szCs w:val="21"/>
              </w:rPr>
              <w:t>符合其中七项（6）；</w:t>
            </w:r>
          </w:p>
          <w:p>
            <w:pPr>
              <w:widowControl/>
              <w:spacing w:line="240" w:lineRule="exact"/>
              <w:jc w:val="left"/>
              <w:rPr>
                <w:szCs w:val="21"/>
              </w:rPr>
            </w:pPr>
            <w:r>
              <w:rPr>
                <w:rFonts w:ascii="仿宋_GB2312" w:hAnsi="新宋体" w:eastAsia="仿宋_GB2312" w:cs="仿宋_GB2312"/>
                <w:kern w:val="0"/>
                <w:szCs w:val="21"/>
              </w:rPr>
              <w:t>符合其中六项（4）；</w:t>
            </w:r>
          </w:p>
          <w:p>
            <w:pPr>
              <w:widowControl/>
              <w:spacing w:line="240" w:lineRule="exact"/>
              <w:jc w:val="left"/>
              <w:rPr>
                <w:szCs w:val="21"/>
              </w:rPr>
            </w:pPr>
            <w:r>
              <w:rPr>
                <w:rFonts w:ascii="仿宋_GB2312" w:hAnsi="新宋体" w:eastAsia="仿宋_GB2312" w:cs="仿宋_GB2312"/>
                <w:kern w:val="0"/>
                <w:szCs w:val="21"/>
              </w:rPr>
              <w:t>符合其中五项（2）；</w:t>
            </w:r>
          </w:p>
          <w:p>
            <w:pPr>
              <w:widowControl/>
              <w:spacing w:line="240" w:lineRule="exact"/>
              <w:jc w:val="left"/>
              <w:rPr>
                <w:szCs w:val="21"/>
              </w:rPr>
            </w:pPr>
            <w:r>
              <w:rPr>
                <w:rFonts w:ascii="仿宋_GB2312" w:hAnsi="新宋体" w:eastAsia="仿宋_GB2312" w:cs="仿宋_GB2312"/>
                <w:kern w:val="0"/>
                <w:szCs w:val="21"/>
              </w:rPr>
              <w:t>符合其中四项及以下（0）。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预决算信息公开性（3</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部门是否按照政府信息公开有关规定公开相关预决算信息，用以反映和评价部门预决算管理的公开透明情况。</w:t>
            </w:r>
          </w:p>
          <w:p>
            <w:pPr>
              <w:widowControl/>
              <w:spacing w:line="240" w:lineRule="exact"/>
              <w:jc w:val="left"/>
              <w:rPr>
                <w:szCs w:val="21"/>
              </w:rPr>
            </w:pPr>
            <w:r>
              <w:rPr>
                <w:rFonts w:ascii="仿宋_GB2312" w:hAnsi="新宋体" w:eastAsia="仿宋_GB2312" w:cs="仿宋_GB2312"/>
                <w:kern w:val="0"/>
                <w:szCs w:val="21"/>
              </w:rPr>
              <w:t>预决算信息是指与部门预算、执行、决算、监督、绩效等管理相关的信息。</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1.公开预决算信息；</w:t>
            </w:r>
          </w:p>
          <w:p>
            <w:pPr>
              <w:widowControl/>
              <w:spacing w:line="240" w:lineRule="exact"/>
              <w:jc w:val="left"/>
              <w:rPr>
                <w:szCs w:val="21"/>
              </w:rPr>
            </w:pPr>
            <w:r>
              <w:rPr>
                <w:rFonts w:ascii="仿宋_GB2312" w:hAnsi="新宋体" w:eastAsia="仿宋_GB2312" w:cs="仿宋_GB2312"/>
                <w:kern w:val="0"/>
                <w:szCs w:val="21"/>
              </w:rPr>
              <w:t>2.按规定内容公开预决算信息；</w:t>
            </w:r>
          </w:p>
          <w:p>
            <w:pPr>
              <w:widowControl/>
              <w:spacing w:line="240" w:lineRule="exact"/>
              <w:jc w:val="left"/>
              <w:rPr>
                <w:szCs w:val="21"/>
              </w:rPr>
            </w:pPr>
            <w:r>
              <w:rPr>
                <w:rFonts w:ascii="仿宋_GB2312" w:hAnsi="新宋体" w:eastAsia="仿宋_GB2312" w:cs="仿宋_GB2312"/>
                <w:kern w:val="0"/>
                <w:szCs w:val="21"/>
              </w:rPr>
              <w:t>3.按规定时限公开预决算信息。</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全部符合（3）；</w:t>
            </w:r>
          </w:p>
          <w:p>
            <w:pPr>
              <w:widowControl/>
              <w:spacing w:line="240" w:lineRule="exact"/>
              <w:jc w:val="left"/>
              <w:rPr>
                <w:szCs w:val="21"/>
              </w:rPr>
            </w:pPr>
            <w:r>
              <w:rPr>
                <w:rFonts w:ascii="仿宋_GB2312" w:hAnsi="新宋体" w:eastAsia="仿宋_GB2312" w:cs="仿宋_GB2312"/>
                <w:kern w:val="0"/>
                <w:szCs w:val="21"/>
              </w:rPr>
              <w:t>符合其中两项（2）</w:t>
            </w:r>
          </w:p>
          <w:p>
            <w:pPr>
              <w:widowControl/>
              <w:spacing w:line="240" w:lineRule="exact"/>
              <w:jc w:val="left"/>
              <w:rPr>
                <w:szCs w:val="21"/>
              </w:rPr>
            </w:pPr>
            <w:r>
              <w:rPr>
                <w:rFonts w:ascii="仿宋_GB2312" w:hAnsi="新宋体" w:eastAsia="仿宋_GB2312" w:cs="仿宋_GB2312"/>
                <w:kern w:val="0"/>
                <w:szCs w:val="21"/>
              </w:rPr>
              <w:t>符合其中一项及以下（0）。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color w:val="000000"/>
                <w:kern w:val="0"/>
                <w:szCs w:val="21"/>
              </w:rPr>
              <w:t>基础信息完善性</w:t>
            </w:r>
            <w:r>
              <w:rPr>
                <w:rFonts w:ascii="仿宋_GB2312" w:hAnsi="新宋体" w:eastAsia="仿宋_GB2312" w:cs="仿宋_GB2312"/>
                <w:kern w:val="0"/>
                <w:szCs w:val="21"/>
              </w:rPr>
              <w:t>（4</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部门基础信息是否完善，用以反映和评价基础信息对预算管理工作的支撑情况。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1.基本财务管理制度健全；</w:t>
            </w:r>
          </w:p>
          <w:p>
            <w:pPr>
              <w:widowControl/>
              <w:spacing w:line="240" w:lineRule="exact"/>
              <w:jc w:val="left"/>
              <w:rPr>
                <w:szCs w:val="21"/>
              </w:rPr>
            </w:pPr>
            <w:r>
              <w:rPr>
                <w:rFonts w:ascii="仿宋_GB2312" w:hAnsi="新宋体" w:eastAsia="仿宋_GB2312" w:cs="仿宋_GB2312"/>
                <w:kern w:val="0"/>
                <w:szCs w:val="21"/>
              </w:rPr>
              <w:t>2.基础数据信息和会计信息资料真实；</w:t>
            </w:r>
          </w:p>
          <w:p>
            <w:pPr>
              <w:widowControl/>
              <w:spacing w:line="240" w:lineRule="exact"/>
              <w:jc w:val="left"/>
              <w:rPr>
                <w:szCs w:val="21"/>
              </w:rPr>
            </w:pPr>
            <w:r>
              <w:rPr>
                <w:rFonts w:ascii="仿宋_GB2312" w:hAnsi="新宋体" w:eastAsia="仿宋_GB2312" w:cs="仿宋_GB2312"/>
                <w:kern w:val="0"/>
                <w:szCs w:val="21"/>
              </w:rPr>
              <w:t>3.基础数据信息和会计信息资料完整；</w:t>
            </w:r>
          </w:p>
          <w:p>
            <w:pPr>
              <w:widowControl/>
              <w:spacing w:line="240" w:lineRule="exact"/>
              <w:jc w:val="left"/>
              <w:rPr>
                <w:szCs w:val="21"/>
              </w:rPr>
            </w:pPr>
            <w:r>
              <w:rPr>
                <w:rFonts w:ascii="仿宋_GB2312" w:hAnsi="新宋体" w:eastAsia="仿宋_GB2312" w:cs="仿宋_GB2312"/>
                <w:kern w:val="0"/>
                <w:szCs w:val="21"/>
              </w:rPr>
              <w:t>4.基础数据信息和会计信息资料准确。</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符合全部四项（4）；</w:t>
            </w:r>
          </w:p>
          <w:p>
            <w:pPr>
              <w:widowControl/>
              <w:spacing w:line="240" w:lineRule="exact"/>
              <w:jc w:val="left"/>
              <w:rPr>
                <w:szCs w:val="21"/>
              </w:rPr>
            </w:pPr>
            <w:r>
              <w:rPr>
                <w:rFonts w:ascii="仿宋_GB2312" w:hAnsi="新宋体" w:eastAsia="仿宋_GB2312" w:cs="仿宋_GB2312"/>
                <w:kern w:val="0"/>
                <w:szCs w:val="21"/>
              </w:rPr>
              <w:t>符合其中三项（2）；</w:t>
            </w:r>
          </w:p>
          <w:p>
            <w:pPr>
              <w:widowControl/>
              <w:spacing w:line="240" w:lineRule="exact"/>
              <w:jc w:val="left"/>
              <w:rPr>
                <w:szCs w:val="21"/>
              </w:rPr>
            </w:pPr>
            <w:r>
              <w:rPr>
                <w:rFonts w:ascii="仿宋_GB2312" w:hAnsi="新宋体" w:eastAsia="仿宋_GB2312" w:cs="仿宋_GB2312"/>
                <w:kern w:val="0"/>
                <w:szCs w:val="21"/>
              </w:rPr>
              <w:t>符合其中两项（1）；</w:t>
            </w:r>
          </w:p>
          <w:p>
            <w:pPr>
              <w:widowControl/>
              <w:spacing w:line="240" w:lineRule="exact"/>
              <w:jc w:val="left"/>
              <w:rPr>
                <w:szCs w:val="21"/>
              </w:rPr>
            </w:pPr>
            <w:r>
              <w:rPr>
                <w:rFonts w:ascii="仿宋_GB2312" w:hAnsi="新宋体" w:eastAsia="仿宋_GB2312" w:cs="仿宋_GB2312"/>
                <w:kern w:val="0"/>
                <w:szCs w:val="21"/>
              </w:rPr>
              <w:t>符合其中一项及以下（0）。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资产管理</w:t>
            </w:r>
            <w:r>
              <w:rPr>
                <w:rFonts w:hint="eastAsia" w:ascii="仿宋_GB2312" w:hAnsi="新宋体" w:eastAsia="仿宋_GB2312" w:cs="仿宋_GB2312"/>
                <w:kern w:val="0"/>
                <w:szCs w:val="21"/>
              </w:rPr>
              <w:t>情况</w:t>
            </w:r>
            <w:r>
              <w:rPr>
                <w:rFonts w:ascii="仿宋_GB2312" w:hAnsi="新宋体" w:eastAsia="仿宋_GB2312" w:cs="仿宋_GB2312"/>
                <w:kern w:val="0"/>
                <w:szCs w:val="21"/>
              </w:rPr>
              <w:t>（</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1275"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资产管理完整性（</w:t>
            </w:r>
            <w:r>
              <w:rPr>
                <w:rFonts w:hint="eastAsia" w:ascii="仿宋_GB2312" w:hAnsi="新宋体" w:eastAsia="仿宋_GB2312" w:cs="仿宋_GB2312"/>
                <w:kern w:val="0"/>
                <w:szCs w:val="21"/>
              </w:rPr>
              <w:t>2分</w:t>
            </w:r>
            <w:r>
              <w:rPr>
                <w:rFonts w:ascii="仿宋_GB2312" w:hAnsi="新宋体" w:eastAsia="仿宋_GB2312" w:cs="仿宋_GB2312"/>
                <w:kern w:val="0"/>
                <w:szCs w:val="21"/>
              </w:rPr>
              <w:t>）</w:t>
            </w:r>
          </w:p>
        </w:tc>
        <w:tc>
          <w:tcPr>
            <w:tcW w:w="3436"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部门的资产是否保存完整、使用合规、收入及时足额上缴，用以反映和评价部门资产运行情况。</w:t>
            </w:r>
          </w:p>
          <w:p>
            <w:pPr>
              <w:widowControl/>
              <w:spacing w:line="240" w:lineRule="exact"/>
              <w:jc w:val="left"/>
              <w:rPr>
                <w:szCs w:val="21"/>
              </w:rPr>
            </w:pPr>
            <w:r>
              <w:rPr>
                <w:rFonts w:ascii="仿宋_GB2312" w:hAnsi="新宋体" w:eastAsia="仿宋_GB2312" w:cs="仿宋_GB2312"/>
                <w:kern w:val="0"/>
                <w:szCs w:val="21"/>
              </w:rPr>
              <w:t>评价要点：</w:t>
            </w:r>
          </w:p>
          <w:p>
            <w:pPr>
              <w:widowControl/>
              <w:spacing w:line="240" w:lineRule="exact"/>
              <w:jc w:val="left"/>
              <w:rPr>
                <w:szCs w:val="21"/>
              </w:rPr>
            </w:pPr>
            <w:r>
              <w:rPr>
                <w:rFonts w:ascii="仿宋_GB2312" w:hAnsi="新宋体" w:eastAsia="仿宋_GB2312" w:cs="仿宋_GB2312"/>
                <w:kern w:val="0"/>
                <w:szCs w:val="21"/>
              </w:rPr>
              <w:t>1.资产保存完整；</w:t>
            </w:r>
          </w:p>
          <w:p>
            <w:pPr>
              <w:widowControl/>
              <w:spacing w:line="240" w:lineRule="exact"/>
              <w:jc w:val="left"/>
              <w:rPr>
                <w:szCs w:val="21"/>
              </w:rPr>
            </w:pPr>
            <w:r>
              <w:rPr>
                <w:rFonts w:ascii="仿宋_GB2312" w:hAnsi="新宋体" w:eastAsia="仿宋_GB2312" w:cs="仿宋_GB2312"/>
                <w:kern w:val="0"/>
                <w:szCs w:val="21"/>
              </w:rPr>
              <w:t>2.资产账务管理是否合规，帐实相符；</w:t>
            </w:r>
          </w:p>
          <w:p>
            <w:pPr>
              <w:widowControl/>
              <w:spacing w:line="240" w:lineRule="exact"/>
              <w:jc w:val="left"/>
              <w:rPr>
                <w:szCs w:val="21"/>
              </w:rPr>
            </w:pPr>
            <w:r>
              <w:rPr>
                <w:rFonts w:ascii="仿宋_GB2312" w:hAnsi="新宋体" w:eastAsia="仿宋_GB2312" w:cs="仿宋_GB2312"/>
                <w:kern w:val="0"/>
                <w:szCs w:val="21"/>
              </w:rPr>
              <w:t>3.资产有偿使用及处置收入及时足额上缴。</w:t>
            </w:r>
          </w:p>
        </w:tc>
        <w:tc>
          <w:tcPr>
            <w:tcW w:w="2373"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符合全部三项（3）；</w:t>
            </w:r>
          </w:p>
          <w:p>
            <w:pPr>
              <w:widowControl/>
              <w:spacing w:line="240" w:lineRule="exact"/>
              <w:jc w:val="left"/>
              <w:rPr>
                <w:szCs w:val="21"/>
              </w:rPr>
            </w:pPr>
            <w:r>
              <w:rPr>
                <w:rFonts w:ascii="仿宋_GB2312" w:hAnsi="新宋体" w:eastAsia="仿宋_GB2312" w:cs="仿宋_GB2312"/>
                <w:kern w:val="0"/>
                <w:szCs w:val="21"/>
              </w:rPr>
              <w:t>符合其中两项（2）；</w:t>
            </w:r>
          </w:p>
          <w:p>
            <w:pPr>
              <w:widowControl/>
              <w:spacing w:line="240" w:lineRule="exact"/>
              <w:jc w:val="left"/>
              <w:rPr>
                <w:szCs w:val="21"/>
              </w:rPr>
            </w:pPr>
            <w:r>
              <w:rPr>
                <w:rFonts w:ascii="仿宋_GB2312" w:hAnsi="新宋体" w:eastAsia="仿宋_GB2312" w:cs="仿宋_GB2312"/>
                <w:kern w:val="0"/>
                <w:szCs w:val="21"/>
              </w:rPr>
              <w:t>符合其中一项（1）；</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符合零项（0）。</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固定资产利用率（</w:t>
            </w:r>
            <w:r>
              <w:rPr>
                <w:rFonts w:hint="eastAsia" w:ascii="仿宋_GB2312" w:hAnsi="新宋体" w:eastAsia="仿宋_GB2312" w:cs="仿宋_GB2312"/>
                <w:kern w:val="0"/>
                <w:szCs w:val="21"/>
              </w:rPr>
              <w:t>3分</w:t>
            </w:r>
            <w:r>
              <w:rPr>
                <w:rFonts w:ascii="仿宋_GB2312" w:hAnsi="新宋体" w:eastAsia="仿宋_GB2312" w:cs="仿宋_GB2312"/>
                <w:kern w:val="0"/>
                <w:szCs w:val="21"/>
              </w:rPr>
              <w:t>）</w:t>
            </w:r>
          </w:p>
        </w:tc>
        <w:tc>
          <w:tcPr>
            <w:tcW w:w="3436"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部门实际在用固定资产总额与所有固定资产总额的比率，用以反映和评价部门固定资产使用效率。</w:t>
            </w:r>
          </w:p>
          <w:p>
            <w:pPr>
              <w:widowControl/>
              <w:spacing w:line="240" w:lineRule="exact"/>
              <w:jc w:val="left"/>
              <w:rPr>
                <w:szCs w:val="21"/>
              </w:rPr>
            </w:pPr>
            <w:r>
              <w:rPr>
                <w:rFonts w:ascii="仿宋_GB2312" w:hAnsi="新宋体" w:eastAsia="仿宋_GB2312" w:cs="仿宋_GB2312"/>
                <w:kern w:val="0"/>
                <w:szCs w:val="21"/>
              </w:rPr>
              <w:t>固定资产利用率=（实际在用固定资产总额/所有固定资产总额）×100%。</w:t>
            </w:r>
          </w:p>
        </w:tc>
        <w:tc>
          <w:tcPr>
            <w:tcW w:w="2373" w:type="dxa"/>
            <w:tcBorders>
              <w:top w:val="single" w:color="auto"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1.固定资产利用率大于或等于95%的，得满分；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2.固定资产利用率小于或等于85%的，得0分；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3.固定资产利用率在85%-95%之间的，在0和满分之间计算确定：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得分=［某部门固定资产利用率-min（固定资产利用率）］/［max（固定资产利用率）-min（固定资产利用率）］×该指标分值。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产出(2</w:t>
            </w:r>
            <w:r>
              <w:rPr>
                <w:rFonts w:hint="eastAsia" w:ascii="仿宋_GB2312" w:hAnsi="新宋体" w:eastAsia="仿宋_GB2312" w:cs="仿宋_GB2312"/>
                <w:kern w:val="0"/>
                <w:szCs w:val="21"/>
              </w:rPr>
              <w:t>5分</w:t>
            </w:r>
            <w:r>
              <w:rPr>
                <w:rFonts w:ascii="仿宋_GB2312" w:hAnsi="新宋体" w:eastAsia="仿宋_GB2312" w:cs="仿宋_GB2312"/>
                <w:kern w:val="0"/>
                <w:szCs w:val="21"/>
              </w:rPr>
              <w:t>)</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职责履行</w:t>
            </w:r>
            <w:r>
              <w:rPr>
                <w:rFonts w:hint="eastAsia" w:ascii="仿宋_GB2312" w:hAnsi="新宋体" w:eastAsia="仿宋_GB2312" w:cs="仿宋_GB2312"/>
                <w:kern w:val="0"/>
                <w:szCs w:val="21"/>
              </w:rPr>
              <w:t>情况</w:t>
            </w:r>
            <w:r>
              <w:rPr>
                <w:rFonts w:ascii="仿宋_GB2312" w:hAnsi="新宋体" w:eastAsia="仿宋_GB2312" w:cs="仿宋_GB2312"/>
                <w:kern w:val="0"/>
                <w:szCs w:val="21"/>
              </w:rPr>
              <w:t>（2</w:t>
            </w:r>
            <w:r>
              <w:rPr>
                <w:rFonts w:hint="eastAsia" w:ascii="仿宋_GB2312" w:hAnsi="新宋体" w:eastAsia="仿宋_GB2312" w:cs="仿宋_GB2312"/>
                <w:kern w:val="0"/>
                <w:szCs w:val="21"/>
              </w:rPr>
              <w:t>5</w:t>
            </w:r>
            <w:r>
              <w:rPr>
                <w:rFonts w:ascii="仿宋_GB2312" w:hAnsi="新宋体" w:eastAsia="仿宋_GB2312" w:cs="仿宋_GB2312"/>
                <w:kern w:val="0"/>
                <w:szCs w:val="21"/>
              </w:rPr>
              <w:t>）</w:t>
            </w: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履职完成情况</w:t>
            </w:r>
            <w:r>
              <w:rPr>
                <w:rFonts w:ascii="仿宋_GB2312" w:hAnsi="新宋体" w:eastAsia="仿宋_GB2312" w:cs="仿宋_GB2312"/>
                <w:kern w:val="0"/>
                <w:szCs w:val="21"/>
              </w:rPr>
              <w:t>（</w:t>
            </w:r>
            <w:r>
              <w:rPr>
                <w:rFonts w:hint="eastAsia" w:ascii="仿宋_GB2312" w:hAnsi="新宋体" w:eastAsia="仿宋_GB2312" w:cs="仿宋_GB2312"/>
                <w:kern w:val="0"/>
                <w:szCs w:val="21"/>
              </w:rPr>
              <w:t>10分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rPr>
              <w:t>根据年度主要任务分解表的的具体任务，逐项评价任务量化指标完成情况、实施效果和责任制建立情况。用以反映和考核部门（单位）履职工作任务目标的完成情况。评价要点：</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1.每项任务是否已制定了明确、具体、可量化、可衡量的绩效指标；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2.每项任务绩效指标的完成情况，是全部完成、基本完成、未完成，还是未实施；</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3.每项任务实施效果情况，是优秀、良好、一般，还是无效果；</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4.每项任务是否建立了目标责任制，是否落实到具体部门和人员负责。</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rPr>
              <w:t>根据不同部门履职的内容和特点，具体测算部门履职工作任务目标的完成情况。</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9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rPr>
              <w:t>项目</w:t>
            </w:r>
            <w:r>
              <w:rPr>
                <w:rFonts w:hint="eastAsia" w:ascii="仿宋_GB2312" w:hAnsi="新宋体" w:eastAsia="仿宋_GB2312" w:cs="仿宋_GB2312"/>
                <w:kern w:val="0"/>
                <w:szCs w:val="21"/>
              </w:rPr>
              <w:t>完成</w:t>
            </w:r>
            <w:r>
              <w:rPr>
                <w:rFonts w:ascii="仿宋_GB2312" w:hAnsi="新宋体" w:eastAsia="仿宋_GB2312" w:cs="仿宋_GB2312"/>
                <w:kern w:val="0"/>
                <w:szCs w:val="21"/>
              </w:rPr>
              <w:t>质量达标率（</w:t>
            </w:r>
            <w:r>
              <w:rPr>
                <w:rFonts w:hint="eastAsia" w:ascii="仿宋_GB2312" w:hAnsi="新宋体" w:eastAsia="仿宋_GB2312" w:cs="仿宋_GB2312"/>
                <w:kern w:val="0"/>
                <w:szCs w:val="21"/>
              </w:rPr>
              <w:t>15</w:t>
            </w:r>
            <w:r>
              <w:rPr>
                <w:rFonts w:ascii="仿宋_GB2312" w:hAnsi="新宋体" w:eastAsia="仿宋_GB2312" w:cs="仿宋_GB2312"/>
                <w:kern w:val="0"/>
                <w:szCs w:val="21"/>
              </w:rPr>
              <w:t>）</w:t>
            </w:r>
          </w:p>
        </w:tc>
        <w:tc>
          <w:tcPr>
            <w:tcW w:w="3436"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部门已完成项目中质量达标项目个数占已完成项目个数的比率,用以反映和评价部门履职质量目标的实现程度。</w:t>
            </w:r>
          </w:p>
          <w:p>
            <w:pPr>
              <w:widowControl/>
              <w:spacing w:line="240" w:lineRule="exact"/>
              <w:jc w:val="left"/>
              <w:rPr>
                <w:szCs w:val="21"/>
              </w:rPr>
            </w:pPr>
            <w:r>
              <w:rPr>
                <w:rFonts w:ascii="仿宋_GB2312" w:hAnsi="新宋体" w:eastAsia="仿宋_GB2312" w:cs="仿宋_GB2312"/>
                <w:kern w:val="0"/>
                <w:szCs w:val="21"/>
              </w:rPr>
              <w:t>项目质量达标率=（已完成项目中质量达标项目个数/已完成项目个数）×100%。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项目质量达标是指项目决算验收合格。</w:t>
            </w:r>
          </w:p>
        </w:tc>
        <w:tc>
          <w:tcPr>
            <w:tcW w:w="2373"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1.项目质量达标率等于100%的，得满分；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2.项目质量达标率小于或等于99%的，得0分；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 xml:space="preserve">3.项目质量达标率在99%-100%之间的，在0和满分之间计算确定： </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rPr>
              <w:t>得分=［某部门项目质量达标率-min（项目质量达标率）］/［max（项目质量达标率）-min（项目质量达标率）］×该指标分值。</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rPr>
              <w:t>效果（</w:t>
            </w:r>
            <w:r>
              <w:rPr>
                <w:rFonts w:hint="eastAsia" w:ascii="仿宋_GB2312" w:hAnsi="新宋体" w:eastAsia="仿宋_GB2312" w:cs="仿宋_GB2312"/>
                <w:kern w:val="0"/>
                <w:szCs w:val="21"/>
              </w:rPr>
              <w:t>2</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743" w:type="dxa"/>
            <w:vMerge w:val="restart"/>
            <w:tcBorders>
              <w:top w:val="single" w:color="auto" w:sz="4" w:space="0"/>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p>
            <w:pPr>
              <w:widowControl/>
              <w:spacing w:line="240" w:lineRule="exact"/>
              <w:jc w:val="left"/>
              <w:rPr>
                <w:rFonts w:ascii="仿宋_GB2312" w:hAnsi="新宋体" w:eastAsia="仿宋_GB2312" w:cs="仿宋_GB2312"/>
                <w:kern w:val="0"/>
                <w:szCs w:val="21"/>
              </w:rPr>
            </w:pPr>
            <w:r>
              <w:rPr>
                <w:rFonts w:hint="eastAsia" w:ascii="仿宋_GB2312" w:hAnsi="新宋体" w:eastAsia="仿宋_GB2312" w:cs="仿宋_GB2312"/>
                <w:kern w:val="0"/>
                <w:szCs w:val="21"/>
              </w:rPr>
              <w:t>履职效益情况</w:t>
            </w:r>
          </w:p>
          <w:p>
            <w:pPr>
              <w:widowControl/>
              <w:spacing w:line="240" w:lineRule="exact"/>
              <w:jc w:val="left"/>
              <w:rPr>
                <w:rFonts w:ascii="仿宋_GB2312" w:hAnsi="新宋体" w:eastAsia="仿宋_GB2312" w:cs="仿宋_GB2312"/>
                <w:kern w:val="0"/>
                <w:szCs w:val="21"/>
              </w:rPr>
            </w:pPr>
            <w:r>
              <w:rPr>
                <w:rFonts w:ascii="仿宋_GB2312" w:hAnsi="新宋体" w:eastAsia="仿宋_GB2312" w:cs="仿宋_GB2312"/>
                <w:kern w:val="0"/>
                <w:szCs w:val="21"/>
              </w:rPr>
              <w:t>（</w:t>
            </w:r>
            <w:r>
              <w:rPr>
                <w:rFonts w:hint="eastAsia" w:ascii="仿宋_GB2312" w:hAnsi="新宋体" w:eastAsia="仿宋_GB2312" w:cs="仿宋_GB2312"/>
                <w:kern w:val="0"/>
                <w:szCs w:val="21"/>
              </w:rPr>
              <w:t>2</w:t>
            </w:r>
            <w:r>
              <w:rPr>
                <w:rFonts w:ascii="仿宋_GB2312" w:hAnsi="新宋体" w:eastAsia="仿宋_GB2312" w:cs="仿宋_GB2312"/>
                <w:kern w:val="0"/>
                <w:szCs w:val="21"/>
              </w:rPr>
              <w:t>0</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color w:val="000000"/>
                <w:kern w:val="0"/>
                <w:szCs w:val="21"/>
              </w:rPr>
              <w:t>经济效益</w:t>
            </w:r>
            <w:r>
              <w:rPr>
                <w:rFonts w:ascii="仿宋_GB2312" w:hAnsi="新宋体" w:eastAsia="仿宋_GB2312" w:cs="仿宋_GB2312"/>
                <w:kern w:val="0"/>
                <w:szCs w:val="21"/>
              </w:rPr>
              <w:t>（5</w:t>
            </w:r>
            <w:r>
              <w:rPr>
                <w:rFonts w:hint="eastAsia" w:ascii="仿宋_GB2312" w:hAnsi="新宋体" w:eastAsia="仿宋_GB2312" w:cs="仿宋_GB2312"/>
                <w:kern w:val="0"/>
                <w:szCs w:val="21"/>
              </w:rPr>
              <w:t>分</w:t>
            </w:r>
            <w:r>
              <w:rPr>
                <w:rFonts w:ascii="仿宋_GB2312" w:hAnsi="新宋体" w:eastAsia="仿宋_GB2312" w:cs="仿宋_GB2312"/>
                <w:kern w:val="0"/>
                <w:szCs w:val="21"/>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部门及所属二级单位通过履行职责和预算安排支出项目的实施，对我市带来的经济影响。</w:t>
            </w:r>
          </w:p>
          <w:p>
            <w:pPr>
              <w:widowControl/>
              <w:spacing w:line="240" w:lineRule="exact"/>
              <w:jc w:val="left"/>
              <w:textAlignment w:val="center"/>
              <w:rPr>
                <w:rFonts w:ascii="仿宋" w:hAnsi="仿宋" w:eastAsia="仿宋" w:cs="仿宋"/>
                <w:szCs w:val="21"/>
              </w:rPr>
            </w:pPr>
            <w:r>
              <w:rPr>
                <w:rFonts w:hint="eastAsia" w:ascii="仿宋" w:hAnsi="仿宋" w:eastAsia="仿宋" w:cs="仿宋"/>
                <w:color w:val="000000"/>
                <w:kern w:val="0"/>
                <w:szCs w:val="21"/>
              </w:rPr>
              <w:t>评价要点：</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1.通过部门所属企事业单位改革，促进了企事业单位效益增长情况；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2.通过预算支出项目的实施，促进了行业生产能力增长，从而带动行业经济效益增长；</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3.通过预算支出项目的实施，有效提高劳动效率，节约成本费用；</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4.通过预算支出项目的实施，降低了损耗，从而提高了生产效益；</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5.通过预算支出项目的实施，完善了突发情况的监测预警，保障了生产安全，降低了生产损失。</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根据不同部门履职的内容和特点，具体测算部门履职产生的经济效益。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社会效益（5分）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部门及所属二级单位履行职责对社会发展所带来的直接或间接影响。</w:t>
            </w:r>
          </w:p>
          <w:p>
            <w:pPr>
              <w:widowControl/>
              <w:spacing w:line="240" w:lineRule="exact"/>
              <w:textAlignment w:val="center"/>
              <w:rPr>
                <w:rFonts w:ascii="仿宋" w:hAnsi="仿宋" w:eastAsia="仿宋" w:cs="仿宋"/>
                <w:color w:val="000000"/>
                <w:kern w:val="0"/>
                <w:szCs w:val="21"/>
              </w:rPr>
            </w:pPr>
            <w:r>
              <w:rPr>
                <w:rFonts w:hint="eastAsia" w:ascii="仿宋" w:hAnsi="仿宋" w:eastAsia="仿宋" w:cs="仿宋"/>
                <w:color w:val="000000"/>
                <w:kern w:val="0"/>
                <w:szCs w:val="21"/>
              </w:rPr>
              <w:t>评价要点：</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1.通过部门所属企事业单位的改革，促进了企事业单位可持续发展，带动就业增长情况；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2.通过预算支出项目的实施，是否明显促进了行业精神文明建设；</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3.通过部门履职是否明显提高城乡居民生活水平，满足了人们日益增长的物质与文化生活需求；</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4.通过预算项目的实施，是否提高了劳动生产率，降低了劳动强度，促进了劳动人民的身心健康；</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5.通过部门履职行业形象是否得到了大大提升了，增强了部门影响力。</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ascii="仿宋" w:hAnsi="仿宋" w:eastAsia="仿宋" w:cs="仿宋"/>
                <w:szCs w:val="21"/>
              </w:rPr>
            </w:pPr>
            <w:r>
              <w:rPr>
                <w:rFonts w:hint="eastAsia" w:ascii="仿宋" w:hAnsi="仿宋" w:eastAsia="仿宋" w:cs="仿宋"/>
                <w:color w:val="000000"/>
                <w:kern w:val="0"/>
                <w:szCs w:val="21"/>
              </w:rPr>
              <w:t>根据不同部门履职的内容和特点，具体测算部门履职产生的社会效益。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color w:val="000000"/>
                <w:kern w:val="0"/>
                <w:szCs w:val="21"/>
              </w:rPr>
            </w:pPr>
            <w:r>
              <w:rPr>
                <w:rFonts w:hint="eastAsia" w:ascii="仿宋_GB2312" w:hAnsi="新宋体" w:eastAsia="仿宋_GB2312" w:cs="仿宋_GB2312"/>
                <w:color w:val="000000"/>
                <w:kern w:val="0"/>
                <w:szCs w:val="21"/>
              </w:rPr>
              <w:t>生态效益（5分）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部门及所属二级单位履行职责对生态环境所带来的直接或间接影响。</w:t>
            </w:r>
          </w:p>
          <w:p>
            <w:pPr>
              <w:widowControl/>
              <w:spacing w:line="240" w:lineRule="exact"/>
              <w:jc w:val="left"/>
              <w:textAlignment w:val="center"/>
              <w:rPr>
                <w:rFonts w:ascii="仿宋" w:hAnsi="仿宋" w:eastAsia="仿宋" w:cs="仿宋"/>
                <w:color w:val="000000"/>
                <w:kern w:val="0"/>
                <w:szCs w:val="21"/>
              </w:rPr>
            </w:pPr>
            <w:r>
              <w:rPr>
                <w:rFonts w:hint="eastAsia" w:ascii="仿宋" w:hAnsi="仿宋" w:eastAsia="仿宋" w:cs="仿宋"/>
                <w:color w:val="000000"/>
                <w:kern w:val="0"/>
                <w:szCs w:val="21"/>
              </w:rPr>
              <w:t>评价要点：</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1.通过预算支出项目的实施，绿色、节能环保新技术的应用和推广，明显带动各环节的节能减排，也具有一定的环境效益；</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2.通过履职有效地控制虚假、伪劣、霉变等劣质产品进入市场，影响了人民生活质量，净化地市场环境；</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3.通过预算支出项目的实施，是否达到减少污染物排放；</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4.通过预算支出项目的实施，周围环境得到了整治，面貌得到了改善。</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rPr>
              <w:t>根据不同部门履职的内容和特点，具体测算部门履职产生的生态效益。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rPr>
              <w:t>服务对象</w:t>
            </w:r>
            <w:r>
              <w:rPr>
                <w:rFonts w:ascii="仿宋_GB2312" w:hAnsi="新宋体" w:eastAsia="仿宋_GB2312" w:cs="仿宋_GB2312"/>
                <w:kern w:val="0"/>
                <w:szCs w:val="21"/>
              </w:rPr>
              <w:t>满意度（5）</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hint="eastAsia" w:ascii="仿宋_GB2312" w:hAnsi="新宋体" w:eastAsia="仿宋_GB2312" w:cs="仿宋_GB2312"/>
                <w:kern w:val="0"/>
                <w:szCs w:val="21"/>
              </w:rPr>
              <w:t>通过对部门（单位）的服务对象对部门履职效果的满意程度调查，反映和考核社会公众或服务对象对部门履职的满意度。</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ascii="仿宋" w:hAnsi="仿宋" w:eastAsia="仿宋" w:cs="宋体"/>
                <w:kern w:val="0"/>
                <w:szCs w:val="21"/>
              </w:rPr>
            </w:pPr>
            <w:r>
              <w:rPr>
                <w:rFonts w:ascii="仿宋" w:hAnsi="仿宋" w:eastAsia="仿宋" w:cs="Arial"/>
                <w:kern w:val="0"/>
                <w:szCs w:val="21"/>
              </w:rPr>
              <w:t>按照满意度调查的优秀、良好、合格、不合格给予该项指标打分：</w:t>
            </w:r>
          </w:p>
          <w:p>
            <w:pPr>
              <w:widowControl/>
              <w:spacing w:line="240" w:lineRule="exact"/>
              <w:rPr>
                <w:szCs w:val="21"/>
              </w:rPr>
            </w:pPr>
            <w:r>
              <w:rPr>
                <w:rFonts w:ascii="仿宋" w:hAnsi="仿宋" w:eastAsia="仿宋" w:cs="Arial"/>
                <w:kern w:val="0"/>
                <w:szCs w:val="21"/>
              </w:rPr>
              <w:t>优秀（</w:t>
            </w:r>
            <w:r>
              <w:rPr>
                <w:rFonts w:hint="eastAsia" w:ascii="仿宋" w:hAnsi="仿宋" w:eastAsia="仿宋" w:cs="Arial"/>
                <w:kern w:val="0"/>
                <w:szCs w:val="21"/>
              </w:rPr>
              <w:t>5</w:t>
            </w:r>
            <w:r>
              <w:rPr>
                <w:rFonts w:ascii="仿宋" w:hAnsi="仿宋" w:eastAsia="仿宋" w:cs="Arial"/>
                <w:kern w:val="0"/>
                <w:szCs w:val="21"/>
              </w:rPr>
              <w:t>）；良好（</w:t>
            </w:r>
            <w:r>
              <w:rPr>
                <w:rFonts w:hint="eastAsia" w:ascii="仿宋" w:hAnsi="仿宋" w:eastAsia="仿宋" w:cs="Arial"/>
                <w:kern w:val="0"/>
                <w:szCs w:val="21"/>
              </w:rPr>
              <w:t>3</w:t>
            </w:r>
            <w:r>
              <w:rPr>
                <w:rFonts w:ascii="仿宋" w:hAnsi="仿宋" w:eastAsia="仿宋" w:cs="Arial"/>
                <w:kern w:val="0"/>
                <w:szCs w:val="21"/>
              </w:rPr>
              <w:t>）；合格（</w:t>
            </w:r>
            <w:r>
              <w:rPr>
                <w:rFonts w:hint="eastAsia" w:ascii="仿宋" w:hAnsi="仿宋" w:eastAsia="仿宋" w:cs="Arial"/>
                <w:kern w:val="0"/>
                <w:szCs w:val="21"/>
              </w:rPr>
              <w:t>1</w:t>
            </w:r>
            <w:r>
              <w:rPr>
                <w:rFonts w:ascii="仿宋" w:hAnsi="仿宋" w:eastAsia="仿宋" w:cs="Arial"/>
                <w:kern w:val="0"/>
                <w:szCs w:val="21"/>
              </w:rPr>
              <w:t>）；不合格（</w:t>
            </w:r>
            <w:r>
              <w:rPr>
                <w:rFonts w:hint="eastAsia" w:ascii="仿宋" w:hAnsi="仿宋" w:eastAsia="仿宋" w:cs="Arial"/>
                <w:kern w:val="0"/>
                <w:szCs w:val="21"/>
              </w:rPr>
              <w:t>0</w:t>
            </w:r>
            <w:r>
              <w:rPr>
                <w:rFonts w:ascii="仿宋" w:hAnsi="仿宋" w:eastAsia="仿宋" w:cs="Arial"/>
                <w:kern w:val="0"/>
                <w:szCs w:val="21"/>
              </w:rPr>
              <w:t>）。</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eastAsia"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04" w:hRule="atLeast"/>
        </w:trPr>
        <w:tc>
          <w:tcPr>
            <w:tcW w:w="779" w:type="dxa"/>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r>
              <w:rPr>
                <w:rFonts w:hint="eastAsia" w:ascii="宋体"/>
                <w:szCs w:val="21"/>
              </w:rPr>
              <w:t>合计</w:t>
            </w:r>
          </w:p>
        </w:tc>
        <w:tc>
          <w:tcPr>
            <w:tcW w:w="743" w:type="dxa"/>
            <w:tcBorders>
              <w:left w:val="single" w:color="000000" w:sz="4" w:space="0"/>
              <w:bottom w:val="single" w:color="auto" w:sz="4" w:space="0"/>
              <w:right w:val="single" w:color="000000" w:sz="4" w:space="0"/>
            </w:tcBorders>
            <w:vAlign w:val="center"/>
          </w:tcPr>
          <w:p>
            <w:pPr>
              <w:widowControl/>
              <w:spacing w:line="240" w:lineRule="exact"/>
              <w:jc w:val="left"/>
              <w:rPr>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kern w:val="0"/>
                <w:szCs w:val="21"/>
              </w:rPr>
            </w:pP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rFonts w:ascii="仿宋_GB2312" w:hAnsi="新宋体" w:eastAsia="仿宋_GB2312" w:cs="仿宋_GB2312"/>
                <w:kern w:val="0"/>
                <w:szCs w:val="21"/>
              </w:rPr>
            </w:pP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ascii="仿宋" w:hAnsi="仿宋" w:eastAsia="仿宋" w:cs="Arial"/>
                <w:kern w:val="0"/>
                <w:szCs w:val="21"/>
              </w:rPr>
            </w:pP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left"/>
              <w:rPr>
                <w:rFonts w:hint="default" w:eastAsiaTheme="minorEastAsia"/>
                <w:szCs w:val="21"/>
                <w:lang w:val="en-US" w:eastAsia="zh-CN"/>
              </w:rPr>
            </w:pPr>
            <w:r>
              <w:rPr>
                <w:rFonts w:hint="eastAsia"/>
                <w:szCs w:val="21"/>
                <w:lang w:val="en-US" w:eastAsia="zh-CN"/>
              </w:rPr>
              <w:t>98</w:t>
            </w:r>
          </w:p>
        </w:tc>
      </w:tr>
    </w:tbl>
    <w:p>
      <w:pPr>
        <w:spacing w:line="240" w:lineRule="exact"/>
        <w:rPr>
          <w:rFonts w:ascii="仿宋" w:hAnsi="仿宋" w:eastAsia="仿宋" w:cs="仿宋"/>
          <w:sz w:val="32"/>
          <w:szCs w:val="32"/>
        </w:rPr>
      </w:pPr>
    </w:p>
    <w:p>
      <w:pPr>
        <w:spacing w:line="240" w:lineRule="exact"/>
        <w:rPr>
          <w:rFonts w:ascii="仿宋" w:hAnsi="仿宋" w:eastAsia="仿宋" w:cs="仿宋"/>
          <w:sz w:val="32"/>
          <w:szCs w:val="32"/>
        </w:rPr>
      </w:pPr>
    </w:p>
    <w:p>
      <w:pPr>
        <w:spacing w:line="240" w:lineRule="exact"/>
        <w:rPr>
          <w:rFonts w:ascii="仿宋" w:hAnsi="仿宋" w:eastAsia="仿宋" w:cs="仿宋"/>
          <w:sz w:val="32"/>
          <w:szCs w:val="32"/>
        </w:rPr>
      </w:pPr>
    </w:p>
    <w:sectPr>
      <w:footerReference r:id="rId3" w:type="default"/>
      <w:footerReference r:id="rId4" w:type="even"/>
      <w:pgSz w:w="11906" w:h="16838"/>
      <w:pgMar w:top="1985" w:right="1418" w:bottom="1985" w:left="1418" w:header="851" w:footer="1701" w:gutter="0"/>
      <w:cols w:space="425"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Fonts w:ascii="宋体" w:hAnsi="宋体" w:eastAsia="宋体"/>
        <w:sz w:val="28"/>
        <w:szCs w:val="28"/>
      </w:rPr>
    </w:pPr>
    <w:r>
      <w:rPr>
        <w:rStyle w:val="10"/>
        <w:rFonts w:hint="eastAsia" w:ascii="宋体" w:hAnsi="宋体" w:eastAsia="宋体"/>
        <w:sz w:val="28"/>
        <w:szCs w:val="28"/>
      </w:rPr>
      <w:t>-</w:t>
    </w:r>
    <w:r>
      <w:rPr>
        <w:rStyle w:val="10"/>
        <w:rFonts w:ascii="宋体" w:hAnsi="宋体" w:eastAsia="宋体"/>
        <w:sz w:val="28"/>
        <w:szCs w:val="28"/>
      </w:rPr>
      <w:fldChar w:fldCharType="begin"/>
    </w:r>
    <w:r>
      <w:rPr>
        <w:rStyle w:val="10"/>
        <w:rFonts w:ascii="宋体" w:hAnsi="宋体" w:eastAsia="宋体"/>
        <w:sz w:val="28"/>
        <w:szCs w:val="28"/>
      </w:rPr>
      <w:instrText xml:space="preserve">PAGE  </w:instrText>
    </w:r>
    <w:r>
      <w:rPr>
        <w:rStyle w:val="10"/>
        <w:rFonts w:ascii="宋体" w:hAnsi="宋体" w:eastAsia="宋体"/>
        <w:sz w:val="28"/>
        <w:szCs w:val="28"/>
      </w:rPr>
      <w:fldChar w:fldCharType="separate"/>
    </w:r>
    <w:r>
      <w:rPr>
        <w:rStyle w:val="10"/>
        <w:rFonts w:ascii="宋体" w:hAnsi="宋体" w:eastAsia="宋体"/>
        <w:sz w:val="28"/>
        <w:szCs w:val="28"/>
      </w:rPr>
      <w:t>1</w:t>
    </w:r>
    <w:r>
      <w:rPr>
        <w:rStyle w:val="10"/>
        <w:rFonts w:ascii="宋体" w:hAnsi="宋体" w:eastAsia="宋体"/>
        <w:sz w:val="28"/>
        <w:szCs w:val="28"/>
      </w:rPr>
      <w:fldChar w:fldCharType="end"/>
    </w:r>
    <w:r>
      <w:rPr>
        <w:rStyle w:val="10"/>
        <w:rFonts w:hint="eastAsia" w:ascii="宋体" w:hAnsi="宋体" w:eastAsia="宋体"/>
        <w:sz w:val="28"/>
        <w:szCs w:val="28"/>
      </w:rPr>
      <w:t>-</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31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42933"/>
    <w:rsid w:val="00002F2C"/>
    <w:rsid w:val="000070A8"/>
    <w:rsid w:val="00016CA4"/>
    <w:rsid w:val="000324AE"/>
    <w:rsid w:val="00042933"/>
    <w:rsid w:val="0008033E"/>
    <w:rsid w:val="0008759D"/>
    <w:rsid w:val="00094F2B"/>
    <w:rsid w:val="000B0A83"/>
    <w:rsid w:val="000B6322"/>
    <w:rsid w:val="000C2CC1"/>
    <w:rsid w:val="000E4A5A"/>
    <w:rsid w:val="00103547"/>
    <w:rsid w:val="0017068B"/>
    <w:rsid w:val="00185A3C"/>
    <w:rsid w:val="00192D5A"/>
    <w:rsid w:val="001C59B3"/>
    <w:rsid w:val="001E0886"/>
    <w:rsid w:val="001F7E31"/>
    <w:rsid w:val="002071BC"/>
    <w:rsid w:val="00225AE6"/>
    <w:rsid w:val="00235F0F"/>
    <w:rsid w:val="00255783"/>
    <w:rsid w:val="00290BA1"/>
    <w:rsid w:val="002A6AEA"/>
    <w:rsid w:val="002F2268"/>
    <w:rsid w:val="003C50C2"/>
    <w:rsid w:val="0041099F"/>
    <w:rsid w:val="00436A1D"/>
    <w:rsid w:val="004379D7"/>
    <w:rsid w:val="004A68B1"/>
    <w:rsid w:val="004B64F3"/>
    <w:rsid w:val="004E3B64"/>
    <w:rsid w:val="005020C5"/>
    <w:rsid w:val="00567FE6"/>
    <w:rsid w:val="0058162A"/>
    <w:rsid w:val="005B3616"/>
    <w:rsid w:val="005E12FA"/>
    <w:rsid w:val="00683167"/>
    <w:rsid w:val="006A5056"/>
    <w:rsid w:val="006E64C9"/>
    <w:rsid w:val="007048FF"/>
    <w:rsid w:val="00712100"/>
    <w:rsid w:val="0071700D"/>
    <w:rsid w:val="00742652"/>
    <w:rsid w:val="00772600"/>
    <w:rsid w:val="007D5D41"/>
    <w:rsid w:val="007F01F9"/>
    <w:rsid w:val="00856BA1"/>
    <w:rsid w:val="00867620"/>
    <w:rsid w:val="008709E0"/>
    <w:rsid w:val="008A6A10"/>
    <w:rsid w:val="008A6A31"/>
    <w:rsid w:val="00904AF4"/>
    <w:rsid w:val="00905542"/>
    <w:rsid w:val="00917700"/>
    <w:rsid w:val="00956F74"/>
    <w:rsid w:val="009B0B5F"/>
    <w:rsid w:val="009C04DA"/>
    <w:rsid w:val="009C4C62"/>
    <w:rsid w:val="009E3627"/>
    <w:rsid w:val="009F53E7"/>
    <w:rsid w:val="00A11BF8"/>
    <w:rsid w:val="00A14A33"/>
    <w:rsid w:val="00A6449D"/>
    <w:rsid w:val="00A768DB"/>
    <w:rsid w:val="00AA09C8"/>
    <w:rsid w:val="00AD5F30"/>
    <w:rsid w:val="00B0681D"/>
    <w:rsid w:val="00B9023F"/>
    <w:rsid w:val="00BC1FDC"/>
    <w:rsid w:val="00BD0FD8"/>
    <w:rsid w:val="00C433A8"/>
    <w:rsid w:val="00C44804"/>
    <w:rsid w:val="00C6362A"/>
    <w:rsid w:val="00C81363"/>
    <w:rsid w:val="00CB27A5"/>
    <w:rsid w:val="00CD55ED"/>
    <w:rsid w:val="00CD63C0"/>
    <w:rsid w:val="00CE62A0"/>
    <w:rsid w:val="00D21F0C"/>
    <w:rsid w:val="00D366C1"/>
    <w:rsid w:val="00D877F7"/>
    <w:rsid w:val="00DB2D43"/>
    <w:rsid w:val="00E266F1"/>
    <w:rsid w:val="00EB16A8"/>
    <w:rsid w:val="00EC7904"/>
    <w:rsid w:val="00F72E93"/>
    <w:rsid w:val="00F87A11"/>
    <w:rsid w:val="00FB7E01"/>
    <w:rsid w:val="00FE5F4C"/>
    <w:rsid w:val="00FF39F6"/>
    <w:rsid w:val="00FF6BA5"/>
    <w:rsid w:val="05374814"/>
    <w:rsid w:val="0C8F0285"/>
    <w:rsid w:val="0F8F6BFC"/>
    <w:rsid w:val="107166F3"/>
    <w:rsid w:val="1C841DE7"/>
    <w:rsid w:val="3791647A"/>
    <w:rsid w:val="3C766BED"/>
    <w:rsid w:val="455969D8"/>
    <w:rsid w:val="48725571"/>
    <w:rsid w:val="4BDB04ED"/>
    <w:rsid w:val="526A3656"/>
    <w:rsid w:val="53CD5365"/>
    <w:rsid w:val="5D643D56"/>
    <w:rsid w:val="64283056"/>
    <w:rsid w:val="6790224F"/>
    <w:rsid w:val="69BD0A47"/>
    <w:rsid w:val="71A911C9"/>
    <w:rsid w:val="7793669D"/>
    <w:rsid w:val="7CCC21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spacing w:before="100" w:beforeAutospacing="1" w:after="100" w:afterAutospacing="1"/>
      <w:jc w:val="left"/>
      <w:outlineLvl w:val="0"/>
    </w:pPr>
    <w:rPr>
      <w:rFonts w:hint="eastAsia" w:ascii="宋体" w:hAnsi="宋体" w:eastAsia="宋体" w:cs="宋体"/>
      <w:b/>
      <w:kern w:val="44"/>
      <w:sz w:val="48"/>
      <w:szCs w:val="48"/>
    </w:rPr>
  </w:style>
  <w:style w:type="character" w:default="1" w:styleId="8">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qFormat/>
    <w:uiPriority w:val="99"/>
    <w:pPr>
      <w:autoSpaceDE w:val="0"/>
      <w:autoSpaceDN w:val="0"/>
      <w:adjustRightInd w:val="0"/>
      <w:snapToGrid w:val="0"/>
      <w:spacing w:line="588" w:lineRule="atLeast"/>
    </w:pPr>
    <w:rPr>
      <w:rFonts w:ascii="宋体" w:hAnsi="宋体" w:eastAsia="仿宋_GB2312"/>
      <w:spacing w:val="-2"/>
      <w:sz w:val="32"/>
      <w:szCs w:val="24"/>
    </w:rPr>
  </w:style>
  <w:style w:type="paragraph" w:styleId="4">
    <w:name w:val="Plain Text"/>
    <w:basedOn w:val="1"/>
    <w:link w:val="14"/>
    <w:qFormat/>
    <w:uiPriority w:val="0"/>
    <w:rPr>
      <w:rFonts w:ascii="宋体" w:hAnsi="Courier New" w:eastAsia="宋体" w:cs="Courier New"/>
      <w:szCs w:val="21"/>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page number"/>
    <w:basedOn w:val="8"/>
    <w:semiHidden/>
    <w:unhideWhenUsed/>
    <w:qFormat/>
    <w:uiPriority w:val="99"/>
  </w:style>
  <w:style w:type="character" w:customStyle="1" w:styleId="12">
    <w:name w:val="页眉 Char"/>
    <w:basedOn w:val="8"/>
    <w:link w:val="6"/>
    <w:qFormat/>
    <w:uiPriority w:val="99"/>
    <w:rPr>
      <w:sz w:val="18"/>
      <w:szCs w:val="18"/>
    </w:rPr>
  </w:style>
  <w:style w:type="character" w:customStyle="1" w:styleId="13">
    <w:name w:val="页脚 Char"/>
    <w:basedOn w:val="8"/>
    <w:link w:val="5"/>
    <w:qFormat/>
    <w:uiPriority w:val="99"/>
    <w:rPr>
      <w:sz w:val="18"/>
      <w:szCs w:val="18"/>
    </w:rPr>
  </w:style>
  <w:style w:type="character" w:customStyle="1" w:styleId="14">
    <w:name w:val="纯文本 Char"/>
    <w:basedOn w:val="8"/>
    <w:link w:val="4"/>
    <w:qFormat/>
    <w:uiPriority w:val="0"/>
    <w:rPr>
      <w:rFonts w:ascii="宋体" w:hAnsi="Courier New" w:eastAsia="宋体" w:cs="Courier New"/>
      <w:szCs w:val="21"/>
    </w:rPr>
  </w:style>
  <w:style w:type="character" w:customStyle="1" w:styleId="15">
    <w:name w:val="标题 1 Char"/>
    <w:basedOn w:val="8"/>
    <w:link w:val="2"/>
    <w:qFormat/>
    <w:uiPriority w:val="9"/>
    <w:rPr>
      <w:rFonts w:ascii="宋体" w:hAnsi="宋体" w:eastAsia="宋体" w:cs="宋体"/>
      <w:b/>
      <w:kern w:val="44"/>
      <w:sz w:val="48"/>
      <w:szCs w:val="48"/>
    </w:rPr>
  </w:style>
  <w:style w:type="character" w:customStyle="1" w:styleId="16">
    <w:name w:val="font31"/>
    <w:basedOn w:val="8"/>
    <w:qFormat/>
    <w:uiPriority w:val="0"/>
    <w:rPr>
      <w:rFonts w:hint="eastAsia" w:ascii="宋体" w:hAnsi="宋体" w:eastAsia="宋体" w:cs="宋体"/>
      <w:b/>
      <w:color w:val="000000"/>
      <w:sz w:val="36"/>
      <w:szCs w:val="3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837</Words>
  <Characters>4771</Characters>
  <Lines>39</Lines>
  <Paragraphs>11</Paragraphs>
  <TotalTime>8</TotalTime>
  <ScaleCrop>false</ScaleCrop>
  <LinksUpToDate>false</LinksUpToDate>
  <CharactersWithSpaces>5597</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2016-02-22T07:07:00Z</dcterms:created>
  <dc:creator>Administrator</dc:creator>
  <cp:lastModifiedBy>Administrator</cp:lastModifiedBy>
  <cp:lastPrinted>2022-04-01T02:11:00Z</cp:lastPrinted>
  <dcterms:modified xsi:type="dcterms:W3CDTF">2022-04-13T01:50:44Z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y fmtid="{D5CDD505-2E9C-101B-9397-08002B2CF9AE}" pid="3" name="ICV">
    <vt:lpwstr>B56CCDF9A20648E3B152868D8A7C9C71</vt:lpwstr>
  </property>
</Properties>
</file>