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p>
    <w:p>
      <w:pPr>
        <w:widowControl/>
        <w:spacing w:line="48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附件4：</w:t>
      </w:r>
    </w:p>
    <w:p>
      <w:pPr>
        <w:rPr>
          <w:rFonts w:ascii="黑体" w:hAnsi="黑体" w:eastAsia="黑体" w:cs="黑体"/>
          <w:b/>
          <w:bCs/>
          <w:sz w:val="30"/>
          <w:szCs w:val="30"/>
        </w:rPr>
      </w:pPr>
      <w:r>
        <w:rPr>
          <w:rFonts w:hint="eastAsia" w:ascii="黑体" w:hAnsi="黑体" w:eastAsia="黑体" w:cs="黑体"/>
          <w:b/>
          <w:bCs/>
          <w:sz w:val="30"/>
          <w:szCs w:val="30"/>
        </w:rPr>
        <w:t>一、部门整体支出绩效评价提交单独word文档报告主要内容包括：</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基本概况。包括部门主要职责职能，组织架构、人员及资产情况、部门履职总体目标、年度整体绩效目标、工作任务，预算资金安排及资金支出情况。</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预算绩效管理开展及整体绩效实现情况。包括部门开展预算绩效管理情况、工作履行活动完成情况、实施履职活动产生的效果及社会公众或服务对象满意程度。</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绩效评价的组织实施情况。包括评价对象绩效目标、绩效指标、评价标准和评价方法。</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各项绩效目标的实现程度及差异性原因分析。</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存在问题、采取的纠偏措施及改进绩效管理建议。</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其他需要说明的问题。</w:t>
      </w:r>
    </w:p>
    <w:p>
      <w:pPr>
        <w:spacing w:line="480" w:lineRule="exact"/>
        <w:rPr>
          <w:rFonts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rPr>
          <w:rFonts w:hint="eastAsia" w:ascii="宋体" w:hAnsi="宋体"/>
          <w:b/>
          <w:sz w:val="44"/>
          <w:szCs w:val="44"/>
        </w:rPr>
      </w:pPr>
    </w:p>
    <w:p>
      <w:pPr>
        <w:spacing w:line="480" w:lineRule="exact"/>
        <w:jc w:val="center"/>
        <w:rPr>
          <w:rFonts w:hint="eastAsia" w:ascii="宋体" w:hAnsi="宋体"/>
          <w:b/>
          <w:sz w:val="44"/>
          <w:szCs w:val="44"/>
          <w:lang w:val="en-US" w:eastAsia="zh-CN"/>
        </w:rPr>
      </w:pPr>
    </w:p>
    <w:p>
      <w:pPr>
        <w:spacing w:line="480" w:lineRule="exact"/>
        <w:jc w:val="center"/>
        <w:rPr>
          <w:rFonts w:hint="eastAsia" w:ascii="宋体" w:hAnsi="宋体"/>
          <w:b/>
          <w:sz w:val="44"/>
          <w:szCs w:val="44"/>
          <w:lang w:val="en-US" w:eastAsia="zh-CN"/>
        </w:rPr>
      </w:pPr>
      <w:bookmarkStart w:id="0" w:name="_GoBack"/>
      <w:bookmarkEnd w:id="0"/>
      <w:r>
        <w:rPr>
          <w:rFonts w:hint="eastAsia" w:ascii="宋体" w:hAnsi="宋体"/>
          <w:b/>
          <w:sz w:val="44"/>
          <w:szCs w:val="44"/>
          <w:lang w:val="en-US" w:eastAsia="zh-CN"/>
        </w:rPr>
        <w:t>威县农业农村局</w:t>
      </w:r>
    </w:p>
    <w:p>
      <w:pPr>
        <w:spacing w:line="480" w:lineRule="exact"/>
        <w:jc w:val="center"/>
        <w:rPr>
          <w:rFonts w:ascii="仿宋" w:hAnsi="仿宋" w:eastAsia="仿宋" w:cs="仿宋"/>
          <w:sz w:val="32"/>
          <w:szCs w:val="32"/>
        </w:rPr>
      </w:pPr>
      <w:r>
        <w:rPr>
          <w:rFonts w:hint="eastAsia" w:ascii="宋体" w:hAnsi="宋体"/>
          <w:b/>
          <w:sz w:val="44"/>
          <w:szCs w:val="44"/>
        </w:rPr>
        <w:t>整体支出绩效评价</w:t>
      </w:r>
      <w:r>
        <w:rPr>
          <w:rFonts w:hint="eastAsia" w:ascii="宋体" w:hAnsi="宋体" w:eastAsia="宋体" w:cs="宋体"/>
          <w:b/>
          <w:color w:val="000000"/>
          <w:kern w:val="0"/>
          <w:sz w:val="44"/>
          <w:szCs w:val="44"/>
          <w:shd w:val="clear" w:color="auto" w:fill="FFFFFF"/>
        </w:rPr>
        <w:t>指标体系评分表</w:t>
      </w:r>
    </w:p>
    <w:tbl>
      <w:tblPr>
        <w:tblStyle w:val="8"/>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投入（1</w:t>
            </w:r>
            <w:r>
              <w:rPr>
                <w:rFonts w:hint="eastAsia" w:ascii="仿宋_GB2312" w:hAnsi="新宋体" w:eastAsia="仿宋_GB2312" w:cs="仿宋_GB2312"/>
                <w:kern w:val="0"/>
                <w:szCs w:val="21"/>
              </w:rPr>
              <w:t>0</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绩效</w:t>
            </w:r>
            <w:r>
              <w:rPr>
                <w:rFonts w:ascii="仿宋_GB2312" w:hAnsi="新宋体" w:eastAsia="仿宋_GB2312" w:cs="仿宋_GB2312"/>
                <w:kern w:val="0"/>
                <w:szCs w:val="21"/>
              </w:rPr>
              <w:t>目标设定</w:t>
            </w:r>
            <w:r>
              <w:rPr>
                <w:rFonts w:hint="eastAsia" w:ascii="仿宋_GB2312" w:hAnsi="新宋体" w:eastAsia="仿宋_GB2312" w:cs="仿宋_GB2312"/>
                <w:kern w:val="0"/>
                <w:szCs w:val="21"/>
              </w:rPr>
              <w:t>情况</w:t>
            </w:r>
          </w:p>
          <w:p>
            <w:pPr>
              <w:widowControl/>
              <w:spacing w:line="240" w:lineRule="exact"/>
              <w:jc w:val="left"/>
              <w:rPr>
                <w:color w:val="FF0000"/>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职责明确（1</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部门的职责设定是否符合“三定”方案中所赋予的职责，用以反映和评价部门工作的目的性与计划性。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符合（1）；</w:t>
            </w:r>
          </w:p>
          <w:p>
            <w:pPr>
              <w:widowControl/>
              <w:spacing w:line="240" w:lineRule="exact"/>
              <w:jc w:val="left"/>
              <w:rPr>
                <w:szCs w:val="21"/>
              </w:rPr>
            </w:pPr>
            <w:r>
              <w:rPr>
                <w:rFonts w:ascii="仿宋_GB2312" w:hAnsi="新宋体" w:eastAsia="仿宋_GB2312" w:cs="仿宋_GB2312"/>
                <w:kern w:val="0"/>
                <w:szCs w:val="21"/>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活动合规性（2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rPr>
              <w:t>2.部门活动符合</w:t>
            </w:r>
            <w:r>
              <w:rPr>
                <w:rFonts w:hint="eastAsia" w:ascii="仿宋_GB2312" w:hAnsi="新宋体" w:eastAsia="仿宋_GB2312" w:cs="仿宋_GB2312"/>
                <w:kern w:val="0"/>
                <w:szCs w:val="21"/>
              </w:rPr>
              <w:t>市</w:t>
            </w:r>
            <w:r>
              <w:rPr>
                <w:rFonts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ascii="仿宋_GB2312" w:hAnsi="新宋体" w:eastAsia="仿宋_GB2312" w:cs="仿宋_GB2312"/>
                <w:kern w:val="0"/>
                <w:szCs w:val="21"/>
              </w:rPr>
              <w:t>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活动合理性（2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szCs w:val="21"/>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ascii="仿宋_GB2312" w:hAnsi="新宋体" w:eastAsia="仿宋_GB2312" w:cs="仿宋_GB2312"/>
                <w:kern w:val="0"/>
                <w:szCs w:val="21"/>
              </w:rPr>
              <w:t>）</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“三公经费”变动率（2分）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三公经费”预算数与上年度“三公经费”预算数的变动比率，用以反映和考核部门对控制重点行政成本的努力程度。“三公经费”变动率=[（本年度“三公经费”总额-上年度“三公经费”总额）/上年度“三公经费”总额]×100%。</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ascii="仿宋_GB2312" w:hAnsi="新宋体" w:eastAsia="仿宋_GB2312" w:cs="仿宋_GB2312"/>
                <w:kern w:val="0"/>
                <w:szCs w:val="21"/>
              </w:rPr>
              <w:t>%的，得满分；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ascii="仿宋_GB2312" w:hAnsi="新宋体" w:eastAsia="仿宋_GB2312" w:cs="仿宋_GB2312"/>
                <w:kern w:val="0"/>
                <w:szCs w:val="21"/>
              </w:rPr>
              <w:t>%的，得0分；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r>
              <w:rPr>
                <w:rFonts w:hint="eastAsia" w:ascii="仿宋_GB2312" w:hAnsi="新宋体" w:eastAsia="仿宋_GB2312" w:cs="仿宋_GB2312"/>
                <w:kern w:val="0"/>
                <w:szCs w:val="21"/>
              </w:rPr>
              <w:t>10</w:t>
            </w:r>
            <w:r>
              <w:rPr>
                <w:rFonts w:ascii="仿宋_GB2312" w:hAnsi="新宋体" w:eastAsia="仿宋_GB2312" w:cs="仿宋_GB2312"/>
                <w:kern w:val="0"/>
                <w:szCs w:val="21"/>
              </w:rPr>
              <w:t>%之间的，在0分和满分之间计算确定：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得分=[max（</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]/[max（</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）－min（</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重点支出安排率（2分）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在85%-95%之间的，在0分和满分之间计算确定：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预算完成率（5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预算调整率（</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部门本年度预算调整数与预算数的比率，用以反映和评价部门预算的调整程度。</w:t>
            </w:r>
          </w:p>
          <w:p>
            <w:pPr>
              <w:widowControl/>
              <w:spacing w:line="240" w:lineRule="exact"/>
              <w:jc w:val="left"/>
              <w:rPr>
                <w:szCs w:val="21"/>
              </w:rPr>
            </w:pPr>
            <w:r>
              <w:rPr>
                <w:rFonts w:ascii="仿宋_GB2312" w:hAnsi="新宋体" w:eastAsia="仿宋_GB2312" w:cs="仿宋_GB2312"/>
                <w:kern w:val="0"/>
                <w:szCs w:val="21"/>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 xml:space="preserve">1.预算调整率等于0的，得满分； </w:t>
            </w:r>
          </w:p>
          <w:p>
            <w:pPr>
              <w:widowControl/>
              <w:spacing w:line="240" w:lineRule="exact"/>
              <w:jc w:val="left"/>
              <w:rPr>
                <w:szCs w:val="21"/>
              </w:rPr>
            </w:pPr>
            <w:r>
              <w:rPr>
                <w:rFonts w:ascii="仿宋_GB2312" w:hAnsi="新宋体" w:eastAsia="仿宋_GB2312" w:cs="仿宋_GB2312"/>
                <w:kern w:val="0"/>
                <w:szCs w:val="21"/>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rPr>
              <w:t>支付进度率</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度任务数的比率，用以反映和评价部门预算执行的及时和均衡程度。</w:t>
            </w:r>
          </w:p>
          <w:p>
            <w:pPr>
              <w:widowControl/>
              <w:spacing w:line="240" w:lineRule="exact"/>
              <w:jc w:val="left"/>
              <w:rPr>
                <w:szCs w:val="21"/>
              </w:rPr>
            </w:pPr>
            <w:r>
              <w:rPr>
                <w:rFonts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结转结余率（4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szCs w:val="21"/>
              </w:rPr>
            </w:pPr>
            <w:r>
              <w:rPr>
                <w:rFonts w:ascii="仿宋_GB2312" w:hAnsi="新宋体" w:eastAsia="仿宋_GB2312" w:cs="仿宋_GB2312"/>
                <w:kern w:val="0"/>
                <w:szCs w:val="21"/>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公用经费控制率（</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政府采购执行率（</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资金使用合规性（8</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rPr>
              <w:t>2.资金的拨付有完整的审批过程和手续；</w:t>
            </w:r>
          </w:p>
          <w:p>
            <w:pPr>
              <w:widowControl/>
              <w:spacing w:line="240" w:lineRule="exact"/>
              <w:jc w:val="left"/>
              <w:rPr>
                <w:szCs w:val="21"/>
              </w:rPr>
            </w:pPr>
            <w:r>
              <w:rPr>
                <w:rFonts w:ascii="仿宋_GB2312" w:hAnsi="新宋体" w:eastAsia="仿宋_GB2312" w:cs="仿宋_GB2312"/>
                <w:kern w:val="0"/>
                <w:szCs w:val="21"/>
              </w:rPr>
              <w:t>3.项目的重大开支经过评估论证；</w:t>
            </w:r>
          </w:p>
          <w:p>
            <w:pPr>
              <w:widowControl/>
              <w:spacing w:line="240" w:lineRule="exact"/>
              <w:jc w:val="left"/>
              <w:rPr>
                <w:szCs w:val="21"/>
              </w:rPr>
            </w:pPr>
            <w:r>
              <w:rPr>
                <w:rFonts w:ascii="仿宋_GB2312" w:hAnsi="新宋体" w:eastAsia="仿宋_GB2312" w:cs="仿宋_GB2312"/>
                <w:kern w:val="0"/>
                <w:szCs w:val="21"/>
              </w:rPr>
              <w:t>4.符合部门预算批复的用途；</w:t>
            </w:r>
          </w:p>
          <w:p>
            <w:pPr>
              <w:widowControl/>
              <w:spacing w:line="240" w:lineRule="exact"/>
              <w:jc w:val="left"/>
              <w:rPr>
                <w:szCs w:val="21"/>
              </w:rPr>
            </w:pPr>
            <w:r>
              <w:rPr>
                <w:rFonts w:ascii="仿宋_GB2312" w:hAnsi="新宋体" w:eastAsia="仿宋_GB2312" w:cs="仿宋_GB2312"/>
                <w:kern w:val="0"/>
                <w:szCs w:val="21"/>
              </w:rPr>
              <w:t>5.不存在截留情况；</w:t>
            </w:r>
          </w:p>
          <w:p>
            <w:pPr>
              <w:widowControl/>
              <w:spacing w:line="240" w:lineRule="exact"/>
              <w:jc w:val="left"/>
              <w:rPr>
                <w:szCs w:val="21"/>
              </w:rPr>
            </w:pPr>
            <w:r>
              <w:rPr>
                <w:rFonts w:ascii="仿宋_GB2312" w:hAnsi="新宋体" w:eastAsia="仿宋_GB2312" w:cs="仿宋_GB2312"/>
                <w:kern w:val="0"/>
                <w:szCs w:val="21"/>
              </w:rPr>
              <w:t>6.不存在挤占情况；</w:t>
            </w:r>
          </w:p>
          <w:p>
            <w:pPr>
              <w:widowControl/>
              <w:spacing w:line="240" w:lineRule="exact"/>
              <w:jc w:val="left"/>
              <w:rPr>
                <w:szCs w:val="21"/>
              </w:rPr>
            </w:pPr>
            <w:r>
              <w:rPr>
                <w:rFonts w:ascii="仿宋_GB2312" w:hAnsi="新宋体" w:eastAsia="仿宋_GB2312" w:cs="仿宋_GB2312"/>
                <w:kern w:val="0"/>
                <w:szCs w:val="21"/>
              </w:rPr>
              <w:t>7.不存在挪用情况；</w:t>
            </w:r>
          </w:p>
          <w:p>
            <w:pPr>
              <w:widowControl/>
              <w:spacing w:line="240" w:lineRule="exact"/>
              <w:jc w:val="left"/>
              <w:rPr>
                <w:szCs w:val="21"/>
              </w:rPr>
            </w:pPr>
            <w:r>
              <w:rPr>
                <w:rFonts w:ascii="仿宋_GB2312" w:hAnsi="新宋体" w:eastAsia="仿宋_GB2312" w:cs="仿宋_GB2312"/>
                <w:kern w:val="0"/>
                <w:szCs w:val="21"/>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全部符合（8）；</w:t>
            </w:r>
          </w:p>
          <w:p>
            <w:pPr>
              <w:widowControl/>
              <w:spacing w:line="240" w:lineRule="exact"/>
              <w:jc w:val="left"/>
              <w:rPr>
                <w:szCs w:val="21"/>
              </w:rPr>
            </w:pPr>
            <w:r>
              <w:rPr>
                <w:rFonts w:ascii="仿宋_GB2312" w:hAnsi="新宋体" w:eastAsia="仿宋_GB2312" w:cs="仿宋_GB2312"/>
                <w:kern w:val="0"/>
                <w:szCs w:val="21"/>
              </w:rPr>
              <w:t>符合其中七项（6）；</w:t>
            </w:r>
          </w:p>
          <w:p>
            <w:pPr>
              <w:widowControl/>
              <w:spacing w:line="240" w:lineRule="exact"/>
              <w:jc w:val="left"/>
              <w:rPr>
                <w:szCs w:val="21"/>
              </w:rPr>
            </w:pPr>
            <w:r>
              <w:rPr>
                <w:rFonts w:ascii="仿宋_GB2312" w:hAnsi="新宋体" w:eastAsia="仿宋_GB2312" w:cs="仿宋_GB2312"/>
                <w:kern w:val="0"/>
                <w:szCs w:val="21"/>
              </w:rPr>
              <w:t>符合其中六项（4）；</w:t>
            </w:r>
          </w:p>
          <w:p>
            <w:pPr>
              <w:widowControl/>
              <w:spacing w:line="240" w:lineRule="exact"/>
              <w:jc w:val="left"/>
              <w:rPr>
                <w:szCs w:val="21"/>
              </w:rPr>
            </w:pPr>
            <w:r>
              <w:rPr>
                <w:rFonts w:ascii="仿宋_GB2312" w:hAnsi="新宋体" w:eastAsia="仿宋_GB2312" w:cs="仿宋_GB2312"/>
                <w:kern w:val="0"/>
                <w:szCs w:val="21"/>
              </w:rPr>
              <w:t>符合其中五项（2）；</w:t>
            </w:r>
          </w:p>
          <w:p>
            <w:pPr>
              <w:widowControl/>
              <w:spacing w:line="240" w:lineRule="exact"/>
              <w:jc w:val="left"/>
              <w:rPr>
                <w:szCs w:val="21"/>
              </w:rPr>
            </w:pPr>
            <w:r>
              <w:rPr>
                <w:rFonts w:ascii="仿宋_GB2312" w:hAnsi="新宋体" w:eastAsia="仿宋_GB2312" w:cs="仿宋_GB2312"/>
                <w:kern w:val="0"/>
                <w:szCs w:val="21"/>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预决算信息公开性（3</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szCs w:val="21"/>
              </w:rPr>
            </w:pPr>
            <w:r>
              <w:rPr>
                <w:rFonts w:ascii="仿宋_GB2312" w:hAnsi="新宋体" w:eastAsia="仿宋_GB2312" w:cs="仿宋_GB2312"/>
                <w:kern w:val="0"/>
                <w:szCs w:val="21"/>
              </w:rPr>
              <w:t>预决算信息是指与部门预算、执行、决算、监督、绩效等管理相关的信息。</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1.公开预决算信息；</w:t>
            </w:r>
          </w:p>
          <w:p>
            <w:pPr>
              <w:widowControl/>
              <w:spacing w:line="240" w:lineRule="exact"/>
              <w:jc w:val="left"/>
              <w:rPr>
                <w:szCs w:val="21"/>
              </w:rPr>
            </w:pPr>
            <w:r>
              <w:rPr>
                <w:rFonts w:ascii="仿宋_GB2312" w:hAnsi="新宋体" w:eastAsia="仿宋_GB2312" w:cs="仿宋_GB2312"/>
                <w:kern w:val="0"/>
                <w:szCs w:val="21"/>
              </w:rPr>
              <w:t>2.按规定内容公开预决算信息；</w:t>
            </w:r>
          </w:p>
          <w:p>
            <w:pPr>
              <w:widowControl/>
              <w:spacing w:line="240" w:lineRule="exact"/>
              <w:jc w:val="left"/>
              <w:rPr>
                <w:szCs w:val="21"/>
              </w:rPr>
            </w:pPr>
            <w:r>
              <w:rPr>
                <w:rFonts w:ascii="仿宋_GB2312" w:hAnsi="新宋体" w:eastAsia="仿宋_GB2312" w:cs="仿宋_GB2312"/>
                <w:kern w:val="0"/>
                <w:szCs w:val="21"/>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rPr>
              <w:t>基础信息完善性</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部门基础信息是否完善，用以反映和评价基础信息对预算管理工作的支撑情况。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1.基本财务管理制度健全；</w:t>
            </w:r>
          </w:p>
          <w:p>
            <w:pPr>
              <w:widowControl/>
              <w:spacing w:line="240" w:lineRule="exact"/>
              <w:jc w:val="left"/>
              <w:rPr>
                <w:szCs w:val="21"/>
              </w:rPr>
            </w:pPr>
            <w:r>
              <w:rPr>
                <w:rFonts w:ascii="仿宋_GB2312" w:hAnsi="新宋体" w:eastAsia="仿宋_GB2312" w:cs="仿宋_GB2312"/>
                <w:kern w:val="0"/>
                <w:szCs w:val="21"/>
              </w:rPr>
              <w:t>2.基础数据信息和会计信息资料真实；</w:t>
            </w:r>
          </w:p>
          <w:p>
            <w:pPr>
              <w:widowControl/>
              <w:spacing w:line="240" w:lineRule="exact"/>
              <w:jc w:val="left"/>
              <w:rPr>
                <w:szCs w:val="21"/>
              </w:rPr>
            </w:pPr>
            <w:r>
              <w:rPr>
                <w:rFonts w:ascii="仿宋_GB2312" w:hAnsi="新宋体" w:eastAsia="仿宋_GB2312" w:cs="仿宋_GB2312"/>
                <w:kern w:val="0"/>
                <w:szCs w:val="21"/>
              </w:rPr>
              <w:t>3.基础数据信息和会计信息资料完整；</w:t>
            </w:r>
          </w:p>
          <w:p>
            <w:pPr>
              <w:widowControl/>
              <w:spacing w:line="240" w:lineRule="exact"/>
              <w:jc w:val="left"/>
              <w:rPr>
                <w:szCs w:val="21"/>
              </w:rPr>
            </w:pPr>
            <w:r>
              <w:rPr>
                <w:rFonts w:ascii="仿宋_GB2312" w:hAnsi="新宋体" w:eastAsia="仿宋_GB2312" w:cs="仿宋_GB2312"/>
                <w:kern w:val="0"/>
                <w:szCs w:val="21"/>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符合全部四项（4）；</w:t>
            </w:r>
          </w:p>
          <w:p>
            <w:pPr>
              <w:widowControl/>
              <w:spacing w:line="240" w:lineRule="exact"/>
              <w:jc w:val="left"/>
              <w:rPr>
                <w:szCs w:val="21"/>
              </w:rPr>
            </w:pPr>
            <w:r>
              <w:rPr>
                <w:rFonts w:ascii="仿宋_GB2312" w:hAnsi="新宋体" w:eastAsia="仿宋_GB2312" w:cs="仿宋_GB2312"/>
                <w:kern w:val="0"/>
                <w:szCs w:val="21"/>
              </w:rPr>
              <w:t>符合其中三项（2）；</w:t>
            </w:r>
          </w:p>
          <w:p>
            <w:pPr>
              <w:widowControl/>
              <w:spacing w:line="240" w:lineRule="exact"/>
              <w:jc w:val="left"/>
              <w:rPr>
                <w:szCs w:val="21"/>
              </w:rPr>
            </w:pPr>
            <w:r>
              <w:rPr>
                <w:rFonts w:ascii="仿宋_GB2312" w:hAnsi="新宋体" w:eastAsia="仿宋_GB2312" w:cs="仿宋_GB2312"/>
                <w:kern w:val="0"/>
                <w:szCs w:val="21"/>
              </w:rPr>
              <w:t>符合其中两项（1）；</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资产管理完整性（</w:t>
            </w:r>
            <w:r>
              <w:rPr>
                <w:rFonts w:hint="eastAsia" w:ascii="仿宋_GB2312" w:hAnsi="新宋体" w:eastAsia="仿宋_GB2312" w:cs="仿宋_GB2312"/>
                <w:kern w:val="0"/>
                <w:szCs w:val="21"/>
              </w:rPr>
              <w:t>2分</w:t>
            </w:r>
            <w:r>
              <w:rPr>
                <w:rFonts w:ascii="仿宋_GB2312" w:hAnsi="新宋体" w:eastAsia="仿宋_GB2312" w:cs="仿宋_GB2312"/>
                <w:kern w:val="0"/>
                <w:szCs w:val="21"/>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部门的资产是否保存完整、使用合规、收入及时足额上缴，用以反映和评价部门资产运行情况。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1.资产保存完整；</w:t>
            </w:r>
          </w:p>
          <w:p>
            <w:pPr>
              <w:widowControl/>
              <w:spacing w:line="240" w:lineRule="exact"/>
              <w:jc w:val="left"/>
              <w:rPr>
                <w:szCs w:val="21"/>
              </w:rPr>
            </w:pPr>
            <w:r>
              <w:rPr>
                <w:rFonts w:ascii="仿宋_GB2312" w:hAnsi="新宋体" w:eastAsia="仿宋_GB2312" w:cs="仿宋_GB2312"/>
                <w:kern w:val="0"/>
                <w:szCs w:val="21"/>
              </w:rPr>
              <w:t>2.资产账务管理是否合规，帐实相符；</w:t>
            </w:r>
          </w:p>
          <w:p>
            <w:pPr>
              <w:widowControl/>
              <w:spacing w:line="240" w:lineRule="exact"/>
              <w:jc w:val="left"/>
              <w:rPr>
                <w:szCs w:val="21"/>
              </w:rPr>
            </w:pPr>
            <w:r>
              <w:rPr>
                <w:rFonts w:ascii="仿宋_GB2312" w:hAnsi="新宋体" w:eastAsia="仿宋_GB2312" w:cs="仿宋_GB2312"/>
                <w:kern w:val="0"/>
                <w:szCs w:val="21"/>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符合全部三项（3）；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固定资产利用率（</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部门实际在用固定资产总额与所有固定资产总额的比率，用以反映和评价部门固定资产使用效率。</w:t>
            </w:r>
          </w:p>
          <w:p>
            <w:pPr>
              <w:widowControl/>
              <w:spacing w:line="240" w:lineRule="exact"/>
              <w:jc w:val="left"/>
              <w:rPr>
                <w:szCs w:val="21"/>
              </w:rPr>
            </w:pPr>
            <w:r>
              <w:rPr>
                <w:rFonts w:ascii="仿宋_GB2312" w:hAnsi="新宋体" w:eastAsia="仿宋_GB2312" w:cs="仿宋_GB2312"/>
                <w:kern w:val="0"/>
                <w:szCs w:val="21"/>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（2</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履职完成情况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根据年度主要任务分解表的的具体任务，逐项评价任务量化指标完成情况、实施效果和责任制建立情况。用以反映和考核部门（单位）履职工作任务目标的完成情况。评价要点：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1.每项任务是否已制定了明确、具体、可量化、可衡量的绩效指标；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2.每项任务绩效指标的完成情况，是全部完成、基本完成、未完成，还是未实施；</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3.每项任务实施效果情况，是优秀、良好、一般，还是无效果；</w:t>
            </w:r>
          </w:p>
          <w:p>
            <w:pPr>
              <w:widowControl/>
              <w:spacing w:line="240" w:lineRule="exact"/>
              <w:jc w:val="left"/>
              <w:textAlignment w:val="center"/>
              <w:rPr>
                <w:szCs w:val="21"/>
              </w:rPr>
            </w:pPr>
            <w:r>
              <w:rPr>
                <w:rFonts w:hint="eastAsia" w:ascii="仿宋" w:hAnsi="仿宋" w:eastAsia="仿宋" w:cs="仿宋"/>
                <w:color w:val="000000"/>
                <w:kern w:val="0"/>
                <w:szCs w:val="21"/>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szCs w:val="21"/>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项目</w:t>
            </w:r>
            <w:r>
              <w:rPr>
                <w:rFonts w:hint="eastAsia" w:ascii="仿宋_GB2312" w:hAnsi="新宋体" w:eastAsia="仿宋_GB2312" w:cs="仿宋_GB2312"/>
                <w:kern w:val="0"/>
                <w:szCs w:val="21"/>
              </w:rPr>
              <w:t>完成</w:t>
            </w:r>
            <w:r>
              <w:rPr>
                <w:rFonts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ascii="仿宋_GB2312" w:hAnsi="新宋体" w:eastAsia="仿宋_GB2312" w:cs="仿宋_GB2312"/>
                <w:kern w:val="0"/>
                <w:szCs w:val="21"/>
              </w:rPr>
              <w:t>）</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部门已完成项目中质量达标项目个数占已完成项目个数的比率,用以反映和评价部门履职质量目标的实现程度。</w:t>
            </w:r>
          </w:p>
          <w:p>
            <w:pPr>
              <w:widowControl/>
              <w:spacing w:line="240" w:lineRule="exact"/>
              <w:jc w:val="left"/>
              <w:rPr>
                <w:szCs w:val="21"/>
              </w:rPr>
            </w:pPr>
            <w:r>
              <w:rPr>
                <w:rFonts w:ascii="仿宋_GB2312" w:hAnsi="新宋体" w:eastAsia="仿宋_GB2312" w:cs="仿宋_GB2312"/>
                <w:kern w:val="0"/>
                <w:szCs w:val="21"/>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项目质量达标是指项目决算验收合格。</w:t>
            </w:r>
          </w:p>
        </w:tc>
        <w:tc>
          <w:tcPr>
            <w:tcW w:w="237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szCs w:val="21"/>
              </w:rPr>
            </w:pPr>
            <w:r>
              <w:rPr>
                <w:rFonts w:hint="eastAsia"/>
                <w:szCs w:val="21"/>
                <w:lang w:val="en-US" w:eastAsia="zh-CN"/>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rPr>
              <w:t>经济效益</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1.通过部门所属企事业单位改革，促进了企事业单位效益增长情况；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2.通过预算支出项目的实施，促进了行业生产能力增长，从而带动行业经济效益增长；</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3.通过预算支出项目的实施，有效提高劳动效率，节约成本费用；</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4.通过预算支出项目的实施，降低了损耗，从而提高了生产效益；</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1.通过部门所属企事业单位的改革，促进了企事业单位可持续发展，带动就业增长情况；          </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2.通过预算支出项目的实施，是否明显促进了行业精神文明建设；</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3.通过部门履职是否明显提高城乡居民生活水平，满足了人们日益增长的物质与文化生活需求；</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4.通过预算项目的实施，是否提高了劳动生产率，降低了劳动强度，促进了劳动人民的身心健康；</w:t>
            </w:r>
          </w:p>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2.通过履职有效地控制虚假、伪劣、霉变等劣质产品进入市场，影响了人民生活质量，净化地市场环境；</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3.通过预算支出项目的实施，是否达到减少污染物排放；</w:t>
            </w:r>
          </w:p>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服务对象</w:t>
            </w:r>
            <w:r>
              <w:rPr>
                <w:rFonts w:ascii="仿宋_GB2312" w:hAnsi="新宋体" w:eastAsia="仿宋_GB2312" w:cs="仿宋_GB2312"/>
                <w:kern w:val="0"/>
                <w:szCs w:val="21"/>
              </w:rPr>
              <w:t>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宋体"/>
                <w:kern w:val="0"/>
                <w:szCs w:val="21"/>
              </w:rPr>
            </w:pPr>
            <w:r>
              <w:rPr>
                <w:rFonts w:ascii="仿宋" w:hAnsi="仿宋" w:eastAsia="仿宋" w:cs="Arial"/>
                <w:kern w:val="0"/>
                <w:szCs w:val="21"/>
              </w:rPr>
              <w:t>按照满意度调查的优秀、良好、合格、不合格给予该项指标打分：</w:t>
            </w:r>
          </w:p>
          <w:p>
            <w:pPr>
              <w:widowControl/>
              <w:spacing w:line="240" w:lineRule="exact"/>
              <w:rPr>
                <w:szCs w:val="21"/>
              </w:rPr>
            </w:pPr>
            <w:r>
              <w:rPr>
                <w:rFonts w:ascii="仿宋" w:hAnsi="仿宋" w:eastAsia="仿宋" w:cs="Arial"/>
                <w:kern w:val="0"/>
                <w:szCs w:val="21"/>
              </w:rPr>
              <w:t>优秀（</w:t>
            </w:r>
            <w:r>
              <w:rPr>
                <w:rFonts w:hint="eastAsia" w:ascii="仿宋" w:hAnsi="仿宋" w:eastAsia="仿宋" w:cs="Arial"/>
                <w:kern w:val="0"/>
                <w:szCs w:val="21"/>
              </w:rPr>
              <w:t>5</w:t>
            </w:r>
            <w:r>
              <w:rPr>
                <w:rFonts w:ascii="仿宋" w:hAnsi="仿宋" w:eastAsia="仿宋" w:cs="Arial"/>
                <w:kern w:val="0"/>
                <w:szCs w:val="21"/>
              </w:rPr>
              <w:t>）；良好（</w:t>
            </w:r>
            <w:r>
              <w:rPr>
                <w:rFonts w:hint="eastAsia" w:ascii="仿宋" w:hAnsi="仿宋" w:eastAsia="仿宋" w:cs="Arial"/>
                <w:kern w:val="0"/>
                <w:szCs w:val="21"/>
              </w:rPr>
              <w:t>3</w:t>
            </w:r>
            <w:r>
              <w:rPr>
                <w:rFonts w:ascii="仿宋" w:hAnsi="仿宋" w:eastAsia="仿宋" w:cs="Arial"/>
                <w:kern w:val="0"/>
                <w:szCs w:val="21"/>
              </w:rPr>
              <w:t>）；合格（</w:t>
            </w:r>
            <w:r>
              <w:rPr>
                <w:rFonts w:hint="eastAsia" w:ascii="仿宋" w:hAnsi="仿宋" w:eastAsia="仿宋" w:cs="Arial"/>
                <w:kern w:val="0"/>
                <w:szCs w:val="21"/>
              </w:rPr>
              <w:t>1</w:t>
            </w:r>
            <w:r>
              <w:rPr>
                <w:rFonts w:ascii="仿宋" w:hAnsi="仿宋" w:eastAsia="仿宋" w:cs="Arial"/>
                <w:kern w:val="0"/>
                <w:szCs w:val="21"/>
              </w:rPr>
              <w:t>）；不合格（</w:t>
            </w:r>
            <w:r>
              <w:rPr>
                <w:rFonts w:hint="eastAsia" w:ascii="仿宋" w:hAnsi="仿宋" w:eastAsia="仿宋" w:cs="Arial"/>
                <w:kern w:val="0"/>
                <w:szCs w:val="21"/>
              </w:rPr>
              <w:t>0</w:t>
            </w:r>
            <w:r>
              <w:rPr>
                <w:rFonts w:ascii="仿宋" w:hAnsi="仿宋" w:eastAsia="仿宋" w:cs="Arial"/>
                <w:kern w:val="0"/>
                <w:szCs w:val="21"/>
              </w:rPr>
              <w:t>）。</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szCs w:val="21"/>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4" w:hRule="atLeast"/>
        </w:trPr>
        <w:tc>
          <w:tcPr>
            <w:tcW w:w="779"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r>
              <w:rPr>
                <w:rFonts w:hint="eastAsia" w:ascii="宋体"/>
                <w:szCs w:val="21"/>
              </w:rPr>
              <w:t>合计</w:t>
            </w:r>
          </w:p>
        </w:tc>
        <w:tc>
          <w:tcPr>
            <w:tcW w:w="743" w:type="dxa"/>
            <w:tcBorders>
              <w:left w:val="single" w:color="000000" w:sz="4" w:space="0"/>
              <w:bottom w:val="single" w:color="auto" w:sz="4" w:space="0"/>
              <w:right w:val="single" w:color="000000" w:sz="4" w:space="0"/>
            </w:tcBorders>
            <w:vAlign w:val="center"/>
          </w:tcPr>
          <w:p>
            <w:pPr>
              <w:widowControl/>
              <w:spacing w:line="240" w:lineRule="exact"/>
              <w:jc w:val="left"/>
              <w:rPr>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新宋体" w:eastAsia="仿宋_GB2312" w:cs="仿宋_GB2312"/>
                <w:kern w:val="0"/>
                <w:szCs w:val="21"/>
              </w:rPr>
            </w:pP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Arial"/>
                <w:kern w:val="0"/>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96.5</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eastAsia="宋体"/>
        <w:sz w:val="28"/>
        <w:szCs w:val="28"/>
      </w:rPr>
    </w:pPr>
    <w:r>
      <w:rPr>
        <w:rStyle w:val="11"/>
        <w:rFonts w:hint="eastAsia" w:ascii="宋体" w:hAnsi="宋体" w:eastAsia="宋体"/>
        <w:sz w:val="28"/>
        <w:szCs w:val="28"/>
      </w:rPr>
      <w:t>-</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1</w:t>
    </w:r>
    <w:r>
      <w:rPr>
        <w:rStyle w:val="11"/>
        <w:rFonts w:ascii="宋体" w:hAnsi="宋体" w:eastAsia="宋体"/>
        <w:sz w:val="28"/>
        <w:szCs w:val="28"/>
      </w:rPr>
      <w:fldChar w:fldCharType="end"/>
    </w:r>
    <w:r>
      <w:rPr>
        <w:rStyle w:val="11"/>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EDEA68"/>
    <w:multiLevelType w:val="singleLevel"/>
    <w:tmpl w:val="41EDEA6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2933"/>
    <w:rsid w:val="00002F2C"/>
    <w:rsid w:val="000070A8"/>
    <w:rsid w:val="00016CA4"/>
    <w:rsid w:val="000324AE"/>
    <w:rsid w:val="00042933"/>
    <w:rsid w:val="0008033E"/>
    <w:rsid w:val="0008759D"/>
    <w:rsid w:val="00094F2B"/>
    <w:rsid w:val="000B0A83"/>
    <w:rsid w:val="000B6322"/>
    <w:rsid w:val="000C2CC1"/>
    <w:rsid w:val="000E4A5A"/>
    <w:rsid w:val="00103547"/>
    <w:rsid w:val="0017068B"/>
    <w:rsid w:val="00185A3C"/>
    <w:rsid w:val="00192D5A"/>
    <w:rsid w:val="001C59B3"/>
    <w:rsid w:val="001E0886"/>
    <w:rsid w:val="001F7E31"/>
    <w:rsid w:val="002071BC"/>
    <w:rsid w:val="00225AE6"/>
    <w:rsid w:val="00235F0F"/>
    <w:rsid w:val="00255783"/>
    <w:rsid w:val="00290BA1"/>
    <w:rsid w:val="002A6AEA"/>
    <w:rsid w:val="002F2268"/>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48FF"/>
    <w:rsid w:val="00712100"/>
    <w:rsid w:val="0071700D"/>
    <w:rsid w:val="00742652"/>
    <w:rsid w:val="00772600"/>
    <w:rsid w:val="007D5D41"/>
    <w:rsid w:val="007F01F9"/>
    <w:rsid w:val="00856BA1"/>
    <w:rsid w:val="00867620"/>
    <w:rsid w:val="008709E0"/>
    <w:rsid w:val="008A6A10"/>
    <w:rsid w:val="008A6A31"/>
    <w:rsid w:val="00904AF4"/>
    <w:rsid w:val="00905542"/>
    <w:rsid w:val="00917700"/>
    <w:rsid w:val="00956F74"/>
    <w:rsid w:val="009B0B5F"/>
    <w:rsid w:val="009C04DA"/>
    <w:rsid w:val="009C4C62"/>
    <w:rsid w:val="009E3627"/>
    <w:rsid w:val="009F53E7"/>
    <w:rsid w:val="00A11BF8"/>
    <w:rsid w:val="00A14A33"/>
    <w:rsid w:val="00A6449D"/>
    <w:rsid w:val="00A768DB"/>
    <w:rsid w:val="00AA09C8"/>
    <w:rsid w:val="00AD5F30"/>
    <w:rsid w:val="00B0681D"/>
    <w:rsid w:val="00B9023F"/>
    <w:rsid w:val="00BC1FDC"/>
    <w:rsid w:val="00BD0FD8"/>
    <w:rsid w:val="00C433A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0FF6BA5"/>
    <w:rsid w:val="05374814"/>
    <w:rsid w:val="0C8F0285"/>
    <w:rsid w:val="0F8F6BFC"/>
    <w:rsid w:val="107166F3"/>
    <w:rsid w:val="1C841DE7"/>
    <w:rsid w:val="28A22A5E"/>
    <w:rsid w:val="29440877"/>
    <w:rsid w:val="3791647A"/>
    <w:rsid w:val="455969D8"/>
    <w:rsid w:val="48725571"/>
    <w:rsid w:val="4BDB04ED"/>
    <w:rsid w:val="526A3656"/>
    <w:rsid w:val="53CD5365"/>
    <w:rsid w:val="5D643D56"/>
    <w:rsid w:val="64283056"/>
    <w:rsid w:val="69BD0A47"/>
    <w:rsid w:val="71A911C9"/>
    <w:rsid w:val="7793669D"/>
    <w:rsid w:val="7CCC21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纯文本 Char"/>
    <w:basedOn w:val="9"/>
    <w:link w:val="4"/>
    <w:qFormat/>
    <w:uiPriority w:val="0"/>
    <w:rPr>
      <w:rFonts w:ascii="宋体" w:hAnsi="Courier New" w:eastAsia="宋体" w:cs="Courier New"/>
      <w:szCs w:val="21"/>
    </w:rPr>
  </w:style>
  <w:style w:type="character" w:customStyle="1" w:styleId="15">
    <w:name w:val="标题 1 Char"/>
    <w:basedOn w:val="9"/>
    <w:link w:val="2"/>
    <w:qFormat/>
    <w:uiPriority w:val="9"/>
    <w:rPr>
      <w:rFonts w:ascii="宋体" w:hAnsi="宋体" w:eastAsia="宋体" w:cs="宋体"/>
      <w:b/>
      <w:kern w:val="44"/>
      <w:sz w:val="48"/>
      <w:szCs w:val="48"/>
    </w:rPr>
  </w:style>
  <w:style w:type="character" w:customStyle="1" w:styleId="16">
    <w:name w:val="font31"/>
    <w:basedOn w:val="9"/>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4973</Words>
  <Characters>5304</Characters>
  <Lines>39</Lines>
  <Paragraphs>11</Paragraphs>
  <TotalTime>3</TotalTime>
  <ScaleCrop>false</ScaleCrop>
  <LinksUpToDate>false</LinksUpToDate>
  <CharactersWithSpaces>5337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dell</cp:lastModifiedBy>
  <cp:lastPrinted>2018-11-29T03:23:00Z</cp:lastPrinted>
  <dcterms:modified xsi:type="dcterms:W3CDTF">2022-03-31T07:43:28Z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7EE7E6E07B9B4220B8B4909D9903E03C</vt:lpwstr>
  </property>
</Properties>
</file>