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2200" w:firstLineChars="500"/>
        <w:jc w:val="both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威县</w:t>
      </w:r>
      <w:r>
        <w:rPr>
          <w:rFonts w:hint="eastAsia" w:ascii="黑体" w:hAnsi="黑体" w:eastAsia="黑体" w:cs="黑体"/>
          <w:bCs/>
          <w:color w:val="000000"/>
          <w:sz w:val="44"/>
          <w:szCs w:val="44"/>
        </w:rPr>
        <w:t>市场监督管理局</w:t>
      </w:r>
    </w:p>
    <w:p>
      <w:pPr>
        <w:spacing w:line="640" w:lineRule="exact"/>
        <w:jc w:val="center"/>
        <w:rPr>
          <w:rFonts w:hint="eastAsia" w:ascii="黑体" w:hAnsi="黑体" w:eastAsia="黑体" w:cs="黑体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Cs/>
          <w:color w:val="000000"/>
          <w:sz w:val="44"/>
          <w:szCs w:val="44"/>
        </w:rPr>
        <w:t>行政处罚决定书</w:t>
      </w:r>
    </w:p>
    <w:p>
      <w:pPr>
        <w:spacing w:line="520" w:lineRule="exact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威市监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罚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1030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号</w:t>
      </w:r>
    </w:p>
    <w:p>
      <w:pPr>
        <w:spacing w:before="104" w:line="300" w:lineRule="auto"/>
        <w:ind w:left="35" w:right="16" w:firstLine="33"/>
        <w:jc w:val="left"/>
        <w:rPr>
          <w:rFonts w:hint="eastAsia" w:ascii="仿宋_GB2312" w:hAnsi="仿宋_GB2312" w:eastAsia="仿宋_GB2312" w:cs="仿宋_GB2312"/>
          <w:spacing w:val="2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8"/>
          <w:w w:val="89"/>
          <w:sz w:val="32"/>
          <w:szCs w:val="32"/>
        </w:rPr>
        <w:t>当事人：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>威县</w:t>
      </w:r>
      <w:r>
        <w:rPr>
          <w:rFonts w:hint="eastAsia" w:ascii="仿宋_GB2312" w:hAnsi="仿宋_GB2312" w:eastAsia="仿宋_GB2312" w:cs="仿宋_GB2312"/>
          <w:bCs/>
          <w:kern w:val="1"/>
          <w:sz w:val="30"/>
          <w:szCs w:val="30"/>
          <w:u w:val="single"/>
          <w:lang w:val="en-US" w:eastAsia="zh-CN"/>
        </w:rPr>
        <w:t>邱记餐饮店（邱金锁）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 xml:space="preserve"> </w:t>
      </w:r>
    </w:p>
    <w:p>
      <w:pPr>
        <w:spacing w:before="104" w:line="300" w:lineRule="auto"/>
        <w:ind w:left="35" w:right="16" w:firstLine="33"/>
        <w:jc w:val="left"/>
        <w:rPr>
          <w:rFonts w:hint="eastAsia" w:ascii="仿宋_GB2312" w:hAnsi="仿宋_GB2312" w:eastAsia="仿宋_GB2312" w:cs="仿宋_GB2312"/>
          <w:spacing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主体资格证照名称：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  <w:lang w:val="en-US" w:eastAsia="zh-CN"/>
        </w:rPr>
        <w:t>营业执照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8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  <w:lang w:eastAsia="zh-CN"/>
        </w:rPr>
        <w:t>92130533MAC9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  <w:lang w:val="en-US" w:eastAsia="zh-CN"/>
        </w:rPr>
        <w:t>******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住所（住址</w:t>
      </w:r>
      <w:r>
        <w:rPr>
          <w:rFonts w:hint="eastAsia" w:ascii="仿宋_GB2312" w:hAnsi="仿宋_GB2312" w:eastAsia="仿宋_GB2312" w:cs="仿宋_GB2312"/>
          <w:spacing w:val="-131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邢台市威县洺州镇燕山路美食街东段路南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法定代表人（负责人、经营者</w:t>
      </w:r>
      <w:r>
        <w:rPr>
          <w:rFonts w:hint="eastAsia" w:ascii="仿宋_GB2312" w:hAnsi="仿宋_GB2312" w:eastAsia="仿宋_GB2312" w:cs="仿宋_GB2312"/>
          <w:spacing w:val="-96"/>
          <w:w w:val="67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</w:t>
      </w:r>
      <w:r>
        <w:rPr>
          <w:rFonts w:hint="eastAsia" w:ascii="仿宋_GB2312" w:hAnsi="仿宋_GB2312" w:eastAsia="仿宋_GB2312" w:cs="仿宋_GB2312"/>
          <w:bCs/>
          <w:kern w:val="1"/>
          <w:sz w:val="30"/>
          <w:szCs w:val="30"/>
          <w:u w:val="single"/>
          <w:lang w:val="en-US" w:eastAsia="zh-CN"/>
        </w:rPr>
        <w:t xml:space="preserve"> 邱金锁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u w:val="single" w:color="auto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21"/>
          <w:sz w:val="32"/>
          <w:szCs w:val="32"/>
        </w:rPr>
        <w:t xml:space="preserve"> </w:t>
      </w:r>
    </w:p>
    <w:p>
      <w:pPr>
        <w:spacing w:line="500" w:lineRule="exact"/>
        <w:ind w:left="140" w:hanging="140"/>
        <w:rPr>
          <w:rFonts w:hint="eastAsia" w:ascii="仿宋_GB2312" w:hAnsi="仿宋_GB2312" w:eastAsia="仿宋_GB2312" w:cs="仿宋_GB2312"/>
          <w:bCs/>
          <w:kern w:val="1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31"/>
          <w:w w:val="98"/>
          <w:sz w:val="32"/>
          <w:szCs w:val="32"/>
        </w:rPr>
        <w:t>身份证件号码：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 w:color="auto"/>
        </w:rPr>
        <w:t xml:space="preserve"> </w:t>
      </w:r>
      <w:r>
        <w:rPr>
          <w:rFonts w:hint="eastAsia" w:ascii="仿宋_GB2312" w:hAnsi="仿宋_GB2312" w:eastAsia="仿宋_GB2312" w:cs="仿宋_GB2312"/>
          <w:kern w:val="1"/>
          <w:sz w:val="30"/>
          <w:szCs w:val="30"/>
          <w:u w:val="single"/>
          <w:lang w:val="en-US" w:eastAsia="zh-CN"/>
        </w:rPr>
        <w:t>13053319******6618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 xml:space="preserve">                       </w:t>
      </w:r>
    </w:p>
    <w:p>
      <w:pPr>
        <w:spacing w:line="520" w:lineRule="exact"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0"/>
          <w:szCs w:val="30"/>
          <w:u w:val="single"/>
          <w:lang w:val="en-US" w:eastAsia="zh-CN"/>
        </w:rPr>
        <w:t>案件来源及调查经过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u w:val="singl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>4月5日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>,我局执法人员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eastAsia="zh-CN"/>
        </w:rPr>
        <w:t>对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  <w:lang w:eastAsia="zh-CN"/>
        </w:rPr>
        <w:t>威县邱记餐饮店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eastAsia="zh-CN"/>
        </w:rPr>
        <w:t>进行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>检查时发现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eastAsia="zh-CN"/>
        </w:rPr>
        <w:t>该饭店货架上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>摆放着无防伪标记疑似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eastAsia="zh-CN"/>
        </w:rPr>
        <w:t>侵犯商标专用权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>牛栏山白酒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12瓶，生产批号产批号：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202203032，01-A3-71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；同日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北京顺鑫农业股份有限公司牛栏山酒厂产品鉴定证明，生产批号：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202203032，01-A3-71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>牛栏山白酒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共12瓶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  <w:lang w:val="en-US" w:eastAsia="zh-CN"/>
        </w:rPr>
        <w:t>侵犯了该酒厂“牛栏山”商标的专用权属产品。同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日对上述物品实施扣押，并向当事人送达强制措施决定书（威市监强制〔2023〕1030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号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）。</w:t>
      </w:r>
    </w:p>
    <w:p>
      <w:pPr>
        <w:spacing w:line="360" w:lineRule="auto"/>
        <w:ind w:firstLine="602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CN"/>
        </w:rPr>
        <w:t>违法事实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本案于20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4月5日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提交立案申请，同日经主管领导审查批准立案，由我局两名执法人员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方德旺、林琳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调查询问人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>经调查</w:t>
      </w:r>
      <w:r>
        <w:rPr>
          <w:rFonts w:hint="eastAsia" w:ascii="仿宋_GB2312" w:hAnsi="仿宋_GB2312" w:eastAsia="仿宋_GB2312" w:cs="仿宋_GB2312"/>
          <w:color w:val="000000"/>
          <w:sz w:val="32"/>
          <w:u w:val="single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>该酒是当事人的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父亲2023年1月在农村的一个超市购买的，现金购买的12瓶，每瓶12元。2023年2月开餐饮店就把这酒放到柜台上销售。但没有销售出去。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  <w:lang w:eastAsia="zh-CN"/>
        </w:rPr>
        <w:t>邱记餐饮店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  <w:lang w:val="en-US" w:eastAsia="zh-CN"/>
        </w:rPr>
        <w:t>上述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>行为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构成了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  <w:lang w:eastAsia="zh-CN"/>
        </w:rPr>
        <w:t>销售侵犯商标专用权牛栏山白酒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>的行为</w:t>
      </w:r>
      <w:r>
        <w:rPr>
          <w:rFonts w:hint="eastAsia" w:ascii="仿宋_GB2312" w:hAnsi="仿宋_GB2312" w:eastAsia="仿宋_GB2312" w:cs="仿宋_GB2312"/>
          <w:spacing w:val="5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。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上述事实，主要有以下证据证明：</w:t>
      </w:r>
    </w:p>
    <w:p>
      <w:pPr>
        <w:numPr>
          <w:ilvl w:val="0"/>
          <w:numId w:val="0"/>
        </w:num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  <w:lang w:eastAsia="zh-CN"/>
        </w:rPr>
        <w:t>邱记餐饮店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>的营业执照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，证明了其主体资格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</w:t>
      </w:r>
    </w:p>
    <w:p>
      <w:pPr>
        <w:numPr>
          <w:ilvl w:val="0"/>
          <w:numId w:val="0"/>
        </w:num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2、食</w:t>
      </w:r>
      <w:r>
        <w:rPr>
          <w:rFonts w:hint="eastAsia" w:ascii="仿宋_GB2312" w:hAnsi="仿宋_GB2312" w:eastAsia="仿宋_GB2312" w:cs="仿宋_GB2312"/>
          <w:sz w:val="30"/>
          <w:szCs w:val="30"/>
          <w:u w:val="single" w:color="auto"/>
          <w:lang w:val="en-US" w:eastAsia="zh-CN"/>
        </w:rPr>
        <w:t>品</w:t>
      </w:r>
      <w:r>
        <w:rPr>
          <w:rFonts w:hint="eastAsia" w:ascii="仿宋_GB2312" w:hAnsi="仿宋_GB2312" w:eastAsia="仿宋_GB2312" w:cs="仿宋_GB2312"/>
          <w:b w:val="0"/>
          <w:bCs w:val="0"/>
          <w:spacing w:val="-7"/>
          <w:sz w:val="32"/>
          <w:szCs w:val="32"/>
          <w:highlight w:val="none"/>
          <w:u w:val="single" w:color="auto"/>
          <w:lang w:val="en-US" w:eastAsia="zh-CN"/>
        </w:rPr>
        <w:t>经营许可证明其经营的</w:t>
      </w:r>
      <w:r>
        <w:rPr>
          <w:rFonts w:hint="eastAsia" w:ascii="仿宋_GB2312" w:hAnsi="仿宋_GB2312" w:eastAsia="仿宋_GB2312" w:cs="仿宋_GB2312"/>
          <w:sz w:val="30"/>
          <w:szCs w:val="30"/>
          <w:u w:val="single" w:color="auto"/>
        </w:rPr>
        <w:t>资格</w:t>
      </w:r>
      <w:r>
        <w:rPr>
          <w:rFonts w:hint="eastAsia" w:ascii="仿宋_GB2312" w:hAnsi="仿宋_GB2312" w:eastAsia="仿宋_GB2312" w:cs="仿宋_GB2312"/>
          <w:sz w:val="30"/>
          <w:szCs w:val="30"/>
          <w:u w:val="single" w:color="auto"/>
          <w:lang w:eastAsia="zh-CN"/>
        </w:rPr>
        <w:t>。</w:t>
      </w:r>
    </w:p>
    <w:p>
      <w:pPr>
        <w:numPr>
          <w:ilvl w:val="0"/>
          <w:numId w:val="0"/>
        </w:num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3、邱金锁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的身份证复印件，证明了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>经营者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主体身份。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</w:t>
      </w:r>
    </w:p>
    <w:p>
      <w:pPr>
        <w:numPr>
          <w:ilvl w:val="0"/>
          <w:numId w:val="0"/>
        </w:num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.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邱金锁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的询问笔录证明了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  <w:lang w:eastAsia="zh-CN"/>
        </w:rPr>
        <w:t>邱记餐饮店存在销售侵犯商标专用权牛栏山白酒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>的行为。还证明了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  <w:lang w:eastAsia="zh-CN"/>
        </w:rPr>
        <w:t>销售侵犯商标专用权牛栏山白酒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>违法所得的事实。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>. 现场检查笔录证明了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  <w:lang w:val="en-US" w:eastAsia="zh-CN"/>
        </w:rPr>
        <w:t>邱金锁开的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  <w:lang w:eastAsia="zh-CN"/>
        </w:rPr>
        <w:t>邱记餐饮店存在销售侵犯商标专用权牛栏山白酒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>的行为。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</w:p>
    <w:p>
      <w:pPr>
        <w:spacing w:line="520" w:lineRule="exact"/>
        <w:ind w:firstLine="600" w:firstLineChars="200"/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北京顺鑫农业股份有限公司牛栏山酒厂产品鉴定证明证明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  <w:lang w:eastAsia="zh-CN"/>
        </w:rPr>
        <w:t>邱记餐饮店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>在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  <w:lang w:eastAsia="zh-CN"/>
        </w:rPr>
        <w:t>销售牛栏山白酒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  <w:lang w:val="en-US" w:eastAsia="zh-CN"/>
        </w:rPr>
        <w:t>侵犯了该酒厂“牛栏山”商标的专用权属侵犯商标专用权产品。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7.现场执法图片证明其饭店销售侵犯商标专用权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  <w:lang w:eastAsia="zh-CN"/>
        </w:rPr>
        <w:t>牛栏山白酒。</w:t>
      </w: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本案调查终结后，我局于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向当事人直接送达了威县市场监督管理局行政处罚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告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知书（威市监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>告【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3】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第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1030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>号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），当事人在法定期限内没有提出陈述申辩和听证的请求。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  <w:lang w:val="en-US" w:eastAsia="zh-CN"/>
        </w:rPr>
        <w:t>邱金锁的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  <w:lang w:eastAsia="zh-CN"/>
        </w:rPr>
        <w:t>邱记餐饮店销售侵犯商标专用权牛栏山白酒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>的行为，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当事人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在立案调查后，立即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停止违法行为，积极配合工作，且没有销售，主动提供相关资料，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>根据《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  <w:lang w:eastAsia="zh-CN"/>
        </w:rPr>
        <w:t>河北省市场监督管理行政处罚裁量基准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>》的规定，予以从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  <w:lang w:val="en-US" w:eastAsia="zh-CN"/>
        </w:rPr>
        <w:t>轻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>处罚。</w:t>
      </w:r>
    </w:p>
    <w:p>
      <w:pPr>
        <w:keepNext w:val="0"/>
        <w:keepLines w:val="0"/>
        <w:widowControl/>
        <w:suppressLineNumbers w:val="0"/>
        <w:shd w:val="clear" w:fill="FFFFFF"/>
        <w:spacing w:line="390" w:lineRule="atLeast"/>
        <w:ind w:left="0" w:firstLine="600" w:firstLineChars="200"/>
        <w:jc w:val="left"/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  <w:lang w:val="en-US" w:eastAsia="zh-CN"/>
        </w:rPr>
        <w:t>本局认为，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  <w:lang w:eastAsia="zh-CN"/>
        </w:rPr>
        <w:t>邱记餐饮店销售侵犯商标专用权牛栏山白酒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>的行为，违反了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  <w:lang w:eastAsia="zh-CN"/>
        </w:rPr>
        <w:t>《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>中华人民共和国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  <w:lang w:eastAsia="zh-CN"/>
        </w:rPr>
        <w:t>商标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>法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  <w:lang w:eastAsia="zh-CN"/>
        </w:rPr>
        <w:t>》第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  <w:lang w:val="en-US" w:eastAsia="zh-CN"/>
        </w:rPr>
        <w:t>五十七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  <w:lang w:eastAsia="zh-CN"/>
        </w:rPr>
        <w:t>条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>之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规定“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0"/>
          <w:szCs w:val="30"/>
          <w:u w:val="singl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有下列行为之一的，均属侵犯注册商标专用权：（三）销售侵犯注册商标专用权的商品的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”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>。</w:t>
      </w:r>
    </w:p>
    <w:p>
      <w:pPr>
        <w:keepNext w:val="0"/>
        <w:keepLines w:val="0"/>
        <w:widowControl/>
        <w:suppressLineNumbers w:val="0"/>
        <w:shd w:val="clear" w:fill="FFFFFF"/>
        <w:spacing w:line="390" w:lineRule="atLeast"/>
        <w:ind w:left="0"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>依据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  <w:lang w:eastAsia="zh-CN"/>
        </w:rPr>
        <w:t>《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>中华人民共和国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  <w:lang w:eastAsia="zh-CN"/>
        </w:rPr>
        <w:t>商标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>法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  <w:lang w:eastAsia="zh-CN"/>
        </w:rPr>
        <w:t>》第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  <w:lang w:val="en-US" w:eastAsia="zh-CN"/>
        </w:rPr>
        <w:t>六十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  <w:lang w:eastAsia="zh-CN"/>
        </w:rPr>
        <w:t>条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>之规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定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0"/>
          <w:szCs w:val="30"/>
          <w:u w:val="singl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有本法第五十七条所列侵犯注册商标专用权行为之一，引起纠纷的，由当事人协商解决；不愿协商或者协商不成的，商标注册人或者利害关系人可以向人民法院起诉，也可以请求工商行政管理部门处理。 工商行政管理部门处理时，认定侵权行为成立的，责令立即停止侵权行为，没收、销毁侵权商品和主要用于制造侵权商品、伪造注册商标标识的工具，违法经营额五万元以上的，可以处违法经营额五倍以下的罚款，没有违法经营额或者违法经营额不足五万元的，可以处二十五万元以下的罚款。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”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bCs/>
          <w:sz w:val="30"/>
          <w:szCs w:val="30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>责令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  <w:lang w:val="en-US" w:eastAsia="zh-CN"/>
        </w:rPr>
        <w:t>威县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  <w:lang w:eastAsia="zh-CN"/>
        </w:rPr>
        <w:t>邱记餐饮店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>立即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  <w:lang w:eastAsia="zh-CN"/>
        </w:rPr>
        <w:t>停止上述违法行为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>我局研究决定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>对其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>作如下处罚：一、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  <w:lang w:eastAsia="zh-CN"/>
        </w:rPr>
        <w:t>没收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eastAsia="zh-CN"/>
        </w:rPr>
        <w:t>侵犯商标专用权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>牛栏山白酒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12瓶；二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</w:rPr>
        <w:t>、罚款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  <w:lang w:val="en-US" w:eastAsia="zh-CN"/>
        </w:rPr>
        <w:t>9950</w:t>
      </w:r>
      <w:r>
        <w:rPr>
          <w:rFonts w:hint="eastAsia" w:ascii="仿宋_GB2312" w:hAnsi="仿宋_GB2312" w:eastAsia="仿宋_GB2312" w:cs="仿宋_GB2312"/>
          <w:bCs/>
          <w:sz w:val="30"/>
          <w:szCs w:val="30"/>
          <w:u w:val="single"/>
          <w:lang w:eastAsia="zh-CN"/>
        </w:rPr>
        <w:t>元。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>邱金锁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自接到本处罚决定书之日起十五日内到威县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收费管理局银行账户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缴纳罚款，逾期不缴纳，每日按罚款数额的百分之三加处罚款。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440" w:lineRule="exact"/>
        <w:ind w:firstLine="600" w:firstLineChars="200"/>
        <w:jc w:val="both"/>
        <w:rPr>
          <w:rFonts w:hint="eastAsia" w:ascii="仿宋_GB2312" w:hAnsi="仿宋_GB2312" w:eastAsia="仿宋_GB2312" w:cs="仿宋_GB2312"/>
          <w:spacing w:val="-4"/>
          <w:sz w:val="30"/>
          <w:szCs w:val="3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  <w:t>如不服本处罚决定，可在接到处罚决定书之日起</w:t>
      </w:r>
      <w:r>
        <w:rPr>
          <w:rFonts w:hint="eastAsia" w:ascii="仿宋_GB2312" w:hAnsi="仿宋_GB2312" w:eastAsia="仿宋_GB2312" w:cs="仿宋_GB2312"/>
          <w:spacing w:val="-16"/>
          <w:sz w:val="30"/>
          <w:szCs w:val="30"/>
          <w:highlight w:val="none"/>
        </w:rPr>
        <w:t>六十日内向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  <w:highlight w:val="none"/>
          <w:u w:val="none" w:color="auto"/>
          <w:lang w:eastAsia="zh-CN"/>
        </w:rPr>
        <w:t>威县人民政府</w:t>
      </w:r>
      <w:r>
        <w:rPr>
          <w:rFonts w:hint="eastAsia" w:ascii="仿宋_GB2312" w:hAnsi="仿宋_GB2312" w:eastAsia="仿宋_GB2312" w:cs="仿宋_GB2312"/>
          <w:spacing w:val="-16"/>
          <w:sz w:val="30"/>
          <w:szCs w:val="30"/>
          <w:highlight w:val="none"/>
          <w:u w:val="none" w:color="auto"/>
        </w:rPr>
        <w:t>申请行政复议；也可以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  <w:highlight w:val="none"/>
          <w:u w:val="none" w:color="auto"/>
        </w:rPr>
        <w:t>在六个月内依法向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  <w:highlight w:val="none"/>
          <w:u w:val="none" w:color="auto"/>
          <w:lang w:val="en-US" w:eastAsia="zh-CN"/>
        </w:rPr>
        <w:t>广宗</w:t>
      </w:r>
      <w:r>
        <w:rPr>
          <w:rFonts w:hint="eastAsia" w:ascii="仿宋_GB2312" w:hAnsi="仿宋_GB2312" w:eastAsia="仿宋_GB2312" w:cs="仿宋_GB2312"/>
          <w:spacing w:val="2"/>
          <w:sz w:val="30"/>
          <w:szCs w:val="30"/>
          <w:highlight w:val="none"/>
          <w:u w:val="none" w:color="auto"/>
          <w:lang w:eastAsia="zh-CN"/>
        </w:rPr>
        <w:t>县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  <w:highlight w:val="none"/>
          <w:u w:val="none" w:color="auto"/>
        </w:rPr>
        <w:t>人</w:t>
      </w:r>
      <w:r>
        <w:rPr>
          <w:rFonts w:hint="eastAsia" w:ascii="仿宋_GB2312" w:hAnsi="仿宋_GB2312" w:eastAsia="仿宋_GB2312" w:cs="仿宋_GB2312"/>
          <w:spacing w:val="-6"/>
          <w:sz w:val="30"/>
          <w:szCs w:val="30"/>
          <w:highlight w:val="none"/>
        </w:rPr>
        <w:t>民法院提起行政诉讼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u w:val="none"/>
          <w:lang w:val="en-US" w:eastAsia="zh-CN"/>
        </w:rPr>
        <w:t>。在申请行政复议或者诉讼期间本处罚决定书不停止执行。</w:t>
      </w:r>
    </w:p>
    <w:p>
      <w:pPr>
        <w:spacing w:line="500" w:lineRule="exact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</w:p>
    <w:p>
      <w:pPr>
        <w:spacing w:line="500" w:lineRule="exact"/>
        <w:ind w:firstLine="4500" w:firstLineChars="15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>
      <w:pPr>
        <w:spacing w:line="500" w:lineRule="exact"/>
        <w:ind w:firstLine="5100" w:firstLineChars="17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威县市场监督管理局</w:t>
      </w:r>
    </w:p>
    <w:p>
      <w:pPr>
        <w:tabs>
          <w:tab w:val="left" w:pos="8200"/>
        </w:tabs>
        <w:spacing w:line="500" w:lineRule="exact"/>
        <w:ind w:right="1506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（印 章）           </w:t>
      </w:r>
    </w:p>
    <w:p>
      <w:pPr>
        <w:wordWrap w:val="0"/>
        <w:snapToGrid w:val="0"/>
        <w:spacing w:line="500" w:lineRule="exac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                      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4月14日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 </w:t>
      </w:r>
    </w:p>
    <w:p>
      <w:pPr>
        <w:wordWrap w:val="0"/>
        <w:spacing w:line="500" w:lineRule="exact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172085</wp:posOffset>
                </wp:positionV>
                <wp:extent cx="555053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3pt;margin-top:13.55pt;height:0.05pt;width:437.05pt;z-index:251660288;mso-width-relative:page;mso-height-relative:page;" filled="f" stroked="t" coordsize="21600,21600" o:gfxdata="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h0Z9dUAAAAHAQAADwAAAAAAAAABACAAAAAiAAAAZHJzL2Rvd25yZXYueG1sUEsBAhQA&#10;FAAAAAgAh07iQPqt7YD1AQAA5wMAAA4AAAAAAAAAAQAgAAAAJAEAAGRycy9lMm9Eb2MueG1sUEsF&#10;BgAAAAAGAAYAWQEAAIs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00" w:lineRule="exact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vv85HXAAAACgEAAA8AAAAAAAAAAQAgAAAAIgAAAGRycy9kb3ducmV2Lnht&#10;bFBLAQIUABQAAAAIAIdO4kCaWrP4+gEAAOUDAAAOAAAAAAAAAAEAIAAAACYBAABkcnMvZTJvRG9j&#10;LnhtbFBLBQYAAAAABgAGAFkBAACS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本文书一式三份，一份送达，一份归档，一份留存。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MDc0YWMzODNmYzNmNTczNGNhYTVlMTUzMjVmOTEifQ=="/>
  </w:docVars>
  <w:rsids>
    <w:rsidRoot w:val="00000000"/>
    <w:rsid w:val="2BEA3E8E"/>
    <w:rsid w:val="3515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1497</Words>
  <Characters>1611</Characters>
  <Lines>0</Lines>
  <Paragraphs>0</Paragraphs>
  <TotalTime>0</TotalTime>
  <ScaleCrop>false</ScaleCrop>
  <LinksUpToDate>false</LinksUpToDate>
  <CharactersWithSpaces>1892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2023-07-03T01:11:00Z</dcterms:created>
  <dc:creator>dell</dc:creator>
  <cp:lastModifiedBy>dell</cp:lastModifiedBy>
  <dcterms:modified xsi:type="dcterms:W3CDTF">2023-07-12T03:41:11Z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45E01C9F5D0844749832D723D5E35133_12</vt:lpwstr>
  </property>
</Properties>
</file>