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line="204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hint="eastAsia" w:ascii="Microsoft JhengHei" w:hAnsi="Microsoft JhengHei" w:eastAsia="Microsoft JhengHei" w:cs="Microsoft JhengHei"/>
          <w:spacing w:val="-2"/>
          <w:sz w:val="44"/>
          <w:szCs w:val="44"/>
          <w:lang w:eastAsia="zh-CN"/>
        </w:rPr>
        <w:t>威县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63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行政处罚决定书</w:t>
      </w:r>
    </w:p>
    <w:p>
      <w:pPr>
        <w:tabs>
          <w:tab w:val="left" w:pos="2725"/>
        </w:tabs>
        <w:spacing w:before="38" w:line="183" w:lineRule="auto"/>
        <w:ind w:firstLine="2448" w:firstLineChars="800"/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</w:pPr>
    </w:p>
    <w:p>
      <w:pPr>
        <w:tabs>
          <w:tab w:val="left" w:pos="2725"/>
        </w:tabs>
        <w:spacing w:before="38" w:line="183" w:lineRule="auto"/>
        <w:ind w:firstLine="2448" w:firstLineChars="8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威</w:t>
      </w:r>
      <w:r>
        <w:rPr>
          <w:rFonts w:ascii="仿宋" w:hAnsi="仿宋" w:eastAsia="仿宋" w:cs="仿宋"/>
          <w:spacing w:val="-7"/>
          <w:sz w:val="32"/>
          <w:szCs w:val="32"/>
        </w:rPr>
        <w:t>市监处罚〔</w:t>
      </w: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2023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68"/>
          <w:sz w:val="32"/>
          <w:szCs w:val="32"/>
          <w:u w:val="single" w:color="auto"/>
          <w:lang w:val="en-US" w:eastAsia="zh-CN"/>
        </w:rPr>
        <w:t>095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当事人： 张英秋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主体资格证照名称：  营业执照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统一社会信用代码（注册号）：92130533MA0F******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住所（住址）： 威县高公庄乡后张庄村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法定代表人（负责人、经营者）：张英秋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身份证号码：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>13223519******4016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联系电话：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13292******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其他联系方式： 无     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00" w:lineRule="auto"/>
        <w:rPr>
          <w:rFonts w:ascii="Microsoft JhengHei"/>
          <w:sz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联系地址：河北省邢台市威县高公庄乡后张庄村                    </w:t>
      </w:r>
      <w:r>
        <w:rPr>
          <w:rFonts w:hint="eastAsia" w:ascii="宋体" w:hAnsi="宋体" w:eastAsia="宋体" w:cs="宋体"/>
          <w:color w:val="00000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24"/>
          <w:lang w:val="en-US" w:eastAsia="zh-CN"/>
        </w:rPr>
        <w:t>2023年3月15日我所执法人员对威县高公庄乡后张庄村张英秋门市进行检查，现场检查发现该门市冰柜内的“穆家假菜”外包装上的生产日期未打印在标注处，属食品标签有瑕疵的预包装食品。我所当场下达了责令改正通知书，责令其于2023年3月25日前改正上述违法行为。2023年3月26日我所执法人员对威县高公庄乡后张庄村张英秋门市再次进行检查，发现其仍未改正上述违法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。同日，我局指定吕庆科、孙跃对本案进行立案调查。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经查，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威县高公庄乡后张庄村张英秋门市柜台内共有20袋“穆家假菜”外包装上的生产日期未打印在标注处，属标签有瑕疵的预包装食品，在我所下达责令改正通知书后仍未停止销售。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上述事实，主要有以下证据证明：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1.张英秋的营业执照，证明了其主体资格。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2.张英秋</w:t>
      </w:r>
      <w:r>
        <w:rPr>
          <w:rFonts w:hint="eastAsia" w:ascii="仿宋" w:hAnsi="仿宋" w:eastAsia="仿宋" w:cs="仿宋"/>
          <w:sz w:val="32"/>
          <w:szCs w:val="32"/>
        </w:rPr>
        <w:t>的身份证复印件，证明了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主体</w:t>
      </w:r>
      <w:r>
        <w:rPr>
          <w:rFonts w:hint="eastAsia" w:ascii="仿宋" w:hAnsi="仿宋" w:eastAsia="仿宋" w:cs="仿宋"/>
          <w:sz w:val="32"/>
          <w:szCs w:val="32"/>
        </w:rPr>
        <w:t xml:space="preserve">身份。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32"/>
          <w:szCs w:val="32"/>
        </w:rPr>
        <w:t>现场检查笔录证明了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2023年3月15日和2023年3月26日张英秋经营标签有瑕疵的预包装食品的事实。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4.责令改正通知书证明了2023年3月15日张英秋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存在经营标签有瑕疵的预包装食品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的行为，还证明了责令其于2023年3月25日前改正上述行为。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5.张英秋</w:t>
      </w:r>
      <w:r>
        <w:rPr>
          <w:rFonts w:hint="eastAsia" w:ascii="仿宋" w:hAnsi="仿宋" w:eastAsia="仿宋" w:cs="仿宋"/>
          <w:sz w:val="32"/>
          <w:szCs w:val="32"/>
        </w:rPr>
        <w:t>的询问笔录证明了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当事人上述违法行为的地点、持续时间、违法过程等事实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本案调查终结后，我局于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向当事人直接送达了威县市场监督管理局行政处罚告知书（威市监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罚</w:t>
      </w:r>
      <w:r>
        <w:rPr>
          <w:rFonts w:hint="eastAsia" w:ascii="仿宋" w:hAnsi="仿宋" w:eastAsia="仿宋" w:cs="仿宋"/>
          <w:sz w:val="32"/>
          <w:szCs w:val="32"/>
        </w:rPr>
        <w:t>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095</w:t>
      </w:r>
      <w:r>
        <w:rPr>
          <w:rFonts w:hint="eastAsia" w:ascii="仿宋" w:hAnsi="仿宋" w:eastAsia="仿宋" w:cs="仿宋"/>
          <w:sz w:val="32"/>
          <w:szCs w:val="32"/>
        </w:rPr>
        <w:t>号），当事人在法定期限内没有提出陈述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申辩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及听证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请求。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本局认为，张英秋经营标签有瑕疵的预包装食品的行为，</w:t>
      </w:r>
      <w:r>
        <w:rPr>
          <w:rFonts w:hint="eastAsia" w:ascii="仿宋" w:hAnsi="仿宋" w:eastAsia="仿宋" w:cs="仿宋"/>
          <w:bCs/>
          <w:sz w:val="32"/>
          <w:szCs w:val="32"/>
        </w:rPr>
        <w:t>违反了《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中华人民共和国食品安全法</w:t>
      </w:r>
      <w:r>
        <w:rPr>
          <w:rFonts w:hint="eastAsia" w:ascii="仿宋" w:hAnsi="仿宋" w:eastAsia="仿宋" w:cs="仿宋"/>
          <w:bCs/>
          <w:sz w:val="32"/>
          <w:szCs w:val="32"/>
        </w:rPr>
        <w:t>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一百二十五条第二款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生产经营的食品、食品添加剂的标签、说明书存在瑕疵但不影响食品安全且不会对消费者造成误导的，由县级以上人民政府食品药品监督管理部门责令改正;拒不改正的，处二千元以下罚款。</w:t>
      </w:r>
      <w:r>
        <w:rPr>
          <w:rFonts w:hint="eastAsia" w:ascii="仿宋" w:hAnsi="仿宋" w:eastAsia="仿宋" w:cs="仿宋"/>
          <w:sz w:val="32"/>
          <w:szCs w:val="32"/>
        </w:rPr>
        <w:t> 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的规定。</w:t>
      </w:r>
      <w:r>
        <w:rPr>
          <w:rFonts w:hint="eastAsia" w:ascii="仿宋" w:hAnsi="仿宋" w:eastAsia="仿宋" w:cs="仿宋"/>
          <w:bCs/>
          <w:sz w:val="32"/>
          <w:szCs w:val="32"/>
        </w:rPr>
        <w:t>依据《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中华人民共和国食品安全法</w:t>
      </w:r>
      <w:r>
        <w:rPr>
          <w:rFonts w:hint="eastAsia" w:ascii="仿宋" w:hAnsi="仿宋" w:eastAsia="仿宋" w:cs="仿宋"/>
          <w:bCs/>
          <w:sz w:val="32"/>
          <w:szCs w:val="32"/>
        </w:rPr>
        <w:t>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一百二十五条第二款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生产经营的食品、食品添加剂的标签、说明书存在瑕疵但不影响食品安全且不会对消费者造成误导的，由县级以上人民政府食品药品监督管理部门责令改正;拒不改正的，处二千元以下罚款。</w:t>
      </w:r>
      <w:r>
        <w:rPr>
          <w:rFonts w:hint="eastAsia" w:ascii="仿宋" w:hAnsi="仿宋" w:eastAsia="仿宋" w:cs="仿宋"/>
          <w:sz w:val="32"/>
          <w:szCs w:val="32"/>
        </w:rPr>
        <w:t> 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的规定对其进行处罚。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立案调查后，张英秋积极配合调查，</w:t>
      </w:r>
      <w:r>
        <w:rPr>
          <w:rFonts w:hint="eastAsia" w:ascii="仿宋" w:hAnsi="仿宋" w:eastAsia="仿宋" w:cs="仿宋"/>
          <w:bCs/>
          <w:sz w:val="32"/>
          <w:szCs w:val="32"/>
        </w:rPr>
        <w:t>根据《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河北省市场监督管理行政处罚裁量基准</w:t>
      </w:r>
      <w:r>
        <w:rPr>
          <w:rFonts w:hint="eastAsia" w:ascii="仿宋" w:hAnsi="仿宋" w:eastAsia="仿宋" w:cs="仿宋"/>
          <w:bCs/>
          <w:sz w:val="32"/>
          <w:szCs w:val="32"/>
        </w:rPr>
        <w:t>》的规定，予以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一般</w:t>
      </w:r>
      <w:r>
        <w:rPr>
          <w:rFonts w:hint="eastAsia" w:ascii="仿宋" w:hAnsi="仿宋" w:eastAsia="仿宋" w:cs="仿宋"/>
          <w:bCs/>
          <w:sz w:val="32"/>
          <w:szCs w:val="32"/>
        </w:rPr>
        <w:t>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综上，当事人上述行为违反了</w:t>
      </w:r>
      <w:r>
        <w:rPr>
          <w:rFonts w:hint="eastAsia" w:ascii="仿宋" w:hAnsi="仿宋" w:eastAsia="仿宋" w:cs="仿宋"/>
          <w:bCs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中华人民共和国食品安全法</w:t>
      </w:r>
      <w:r>
        <w:rPr>
          <w:rFonts w:hint="eastAsia" w:ascii="仿宋" w:hAnsi="仿宋" w:eastAsia="仿宋" w:cs="仿宋"/>
          <w:bCs/>
          <w:sz w:val="32"/>
          <w:szCs w:val="32"/>
        </w:rPr>
        <w:t>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一百二十五条第二款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的规定，依据</w:t>
      </w:r>
      <w:r>
        <w:rPr>
          <w:rFonts w:hint="eastAsia" w:ascii="仿宋" w:hAnsi="仿宋" w:eastAsia="仿宋" w:cs="仿宋"/>
          <w:bCs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中华人民共和国食品安全法</w:t>
      </w:r>
      <w:r>
        <w:rPr>
          <w:rFonts w:hint="eastAsia" w:ascii="仿宋" w:hAnsi="仿宋" w:eastAsia="仿宋" w:cs="仿宋"/>
          <w:bCs/>
          <w:sz w:val="32"/>
          <w:szCs w:val="32"/>
        </w:rPr>
        <w:t>》第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一百二十五</w:t>
      </w:r>
      <w:r>
        <w:rPr>
          <w:rFonts w:hint="eastAsia" w:ascii="仿宋" w:hAnsi="仿宋" w:eastAsia="仿宋" w:cs="仿宋"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第二款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的规定，现责令当事人改正上述违法行为，并决定处罚如下：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罚款1000元。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张英秋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自接到本处罚决定书之日起十五日内到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威县收费管理局银行账户缴纳罚款，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逾期不缴纳，每日按罚款数额的百分之三加处罚款。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如不服本处罚决定，可在接到本处罚决定之日起六十日内向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威县人民政府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申请复议, 也可以在接到处罚决定书之日起六个月内依法向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广宗县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人民法院提起诉讼。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当事人申请行政复议或者提起行政诉讼期间，本行政处罚决定不停止执行。</w:t>
      </w:r>
    </w:p>
    <w:p>
      <w:pPr>
        <w:tabs>
          <w:tab w:val="left" w:pos="5667"/>
        </w:tabs>
        <w:spacing w:before="104" w:line="253" w:lineRule="auto"/>
        <w:ind w:right="861" w:firstLine="4368" w:firstLineChars="1400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</w:p>
    <w:p>
      <w:pPr>
        <w:tabs>
          <w:tab w:val="left" w:pos="5667"/>
        </w:tabs>
        <w:spacing w:before="104" w:line="253" w:lineRule="auto"/>
        <w:ind w:right="861" w:firstLine="4368" w:firstLineChars="1400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</w:p>
    <w:p>
      <w:pPr>
        <w:tabs>
          <w:tab w:val="left" w:pos="5667"/>
        </w:tabs>
        <w:spacing w:before="104" w:line="253" w:lineRule="auto"/>
        <w:ind w:right="861"/>
        <w:jc w:val="right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</w:p>
    <w:p>
      <w:pPr>
        <w:tabs>
          <w:tab w:val="left" w:pos="5667"/>
        </w:tabs>
        <w:spacing w:before="104" w:line="253" w:lineRule="auto"/>
        <w:ind w:right="861"/>
        <w:jc w:val="right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</w:p>
    <w:p>
      <w:pPr>
        <w:tabs>
          <w:tab w:val="left" w:pos="5667"/>
        </w:tabs>
        <w:spacing w:before="104" w:line="253" w:lineRule="auto"/>
        <w:ind w:right="861"/>
        <w:jc w:val="right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</w:p>
    <w:p>
      <w:pPr>
        <w:tabs>
          <w:tab w:val="left" w:pos="5667"/>
        </w:tabs>
        <w:spacing w:before="104" w:line="253" w:lineRule="auto"/>
        <w:ind w:right="861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威县</w:t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667"/>
        </w:tabs>
        <w:spacing w:before="104" w:line="253" w:lineRule="auto"/>
        <w:ind w:right="861" w:firstLine="5460" w:firstLineChars="21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42" w:line="183" w:lineRule="auto"/>
        <w:ind w:firstLine="5335"/>
        <w:rPr>
          <w:rFonts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2023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 xml:space="preserve"> 4 月 14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105" w:line="183" w:lineRule="auto"/>
        <w:ind w:firstLine="774" w:firstLineChars="300"/>
        <w:rPr>
          <w:rFonts w:ascii="黑体" w:hAnsi="黑体" w:eastAsia="黑体" w:cs="黑体"/>
          <w:color w:val="231F20"/>
          <w:spacing w:val="-31"/>
          <w:sz w:val="32"/>
          <w:szCs w:val="32"/>
        </w:rPr>
      </w:pPr>
    </w:p>
    <w:p>
      <w:pPr>
        <w:spacing w:before="105" w:line="183" w:lineRule="auto"/>
        <w:ind w:firstLine="774" w:firstLineChars="300"/>
        <w:rPr>
          <w:rFonts w:ascii="黑体" w:hAnsi="黑体" w:eastAsia="黑体" w:cs="黑体"/>
          <w:color w:val="231F20"/>
          <w:spacing w:val="-31"/>
          <w:sz w:val="32"/>
          <w:szCs w:val="32"/>
        </w:rPr>
      </w:pPr>
    </w:p>
    <w:p>
      <w:pPr>
        <w:spacing w:before="105" w:line="183" w:lineRule="auto"/>
        <w:ind w:firstLine="774" w:firstLineChars="300"/>
        <w:rPr>
          <w:rFonts w:ascii="黑体" w:hAnsi="黑体" w:eastAsia="黑体" w:cs="黑体"/>
          <w:color w:val="231F20"/>
          <w:spacing w:val="-31"/>
          <w:sz w:val="32"/>
          <w:szCs w:val="32"/>
        </w:rPr>
      </w:pPr>
    </w:p>
    <w:p>
      <w:pPr>
        <w:spacing w:before="105" w:line="183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231F20"/>
          <w:spacing w:val="-31"/>
          <w:sz w:val="32"/>
          <w:szCs w:val="32"/>
        </w:rPr>
        <w:t>（市场监督管理部门将依法向社会公开行政处罚决定信息）</w:t>
      </w: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0" name="IM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2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pacing w:val="-10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  <w:u w:val="single" w:color="auto"/>
          <w:lang w:val="en-US" w:eastAsia="zh-CN"/>
        </w:rPr>
        <w:t xml:space="preserve">三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hint="eastAsia" w:ascii="仿宋" w:hAnsi="仿宋" w:eastAsia="仿宋" w:cs="仿宋"/>
          <w:spacing w:val="20"/>
          <w:sz w:val="32"/>
          <w:szCs w:val="32"/>
          <w:u w:val="single" w:color="auto"/>
          <w:lang w:val="en-US" w:eastAsia="zh-CN"/>
        </w:rPr>
        <w:t>一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>一份留存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pacing w:val="-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Dc0YWMzODNmYzNmNTczNGNhYTVlMTUzMjVmOTEifQ=="/>
  </w:docVars>
  <w:rsids>
    <w:rsidRoot w:val="00000000"/>
    <w:rsid w:val="1C551001"/>
    <w:rsid w:val="3B8B1756"/>
    <w:rsid w:val="59EA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1328</Words>
  <Characters>1427</Characters>
  <Lines>0</Lines>
  <Paragraphs>0</Paragraphs>
  <TotalTime>11</TotalTime>
  <ScaleCrop>false</ScaleCrop>
  <LinksUpToDate>false</LinksUpToDate>
  <CharactersWithSpaces>1777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2023-07-03T01:43:00Z</dcterms:created>
  <dc:creator>wxdell</dc:creator>
  <cp:lastModifiedBy>dell</cp:lastModifiedBy>
  <dcterms:modified xsi:type="dcterms:W3CDTF">2023-07-12T03:57:51Z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50FAA431B98A4D6E827F5CECFF6E8E3A_13</vt:lpwstr>
  </property>
</Properties>
</file>