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textAlignment w:val="auto"/>
        <w:rPr>
          <w:rFonts w:ascii="方正小标宋_GBK" w:eastAsia="方正小标宋_GBK" w:cs="Times New Roman"/>
          <w:color w:val="FF3C00"/>
          <w:spacing w:val="26"/>
          <w:w w:val="60"/>
          <w:sz w:val="72"/>
          <w:szCs w:val="22"/>
        </w:rPr>
      </w:pPr>
      <w:r>
        <w:rPr>
          <w:rFonts w:hint="eastAsia" w:ascii="楷体_GB2312" w:eastAsia="楷体_GB2312" w:cs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970280</wp:posOffset>
                </wp:positionV>
                <wp:extent cx="5521960" cy="635"/>
                <wp:effectExtent l="0" t="0" r="0" b="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9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D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15pt;margin-top:76.4pt;height:0.05pt;width:434.8pt;z-index:251659264;mso-width-relative:page;mso-height-relative:page;" filled="f" stroked="t" coordsize="21600,21600" o:gfxdata="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PCSH1wAAAAgBAAAPAAAAAAAAAAEAIAAAACIAAABkcnMvZG93bnJldi54bWxQ&#10;SwECFAAUAAAACACHTuJAfaDWCPgBAADoAwAADgAAAAAAAAABACAAAAAmAQAAZHJzL2Uyb0RvYy54&#10;bWxQSwUGAAAAAAYABgBZAQAAkAUAAAAA&#10;">
                <v:fill on="f" focussize="0,0"/>
                <v:stroke weight="1.5pt" color="#FF3D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color w:val="FF3D00"/>
          <w:spacing w:val="20"/>
          <w:w w:val="60"/>
          <w:sz w:val="72"/>
          <w:szCs w:val="72"/>
        </w:rPr>
        <w:t>威县大气污染防治</w:t>
      </w:r>
      <w:r>
        <w:rPr>
          <w:rFonts w:hint="eastAsia" w:ascii="方正小标宋_GBK" w:eastAsia="方正小标宋_GBK" w:cs="Times New Roman"/>
          <w:color w:val="FF3D00"/>
          <w:spacing w:val="26"/>
          <w:w w:val="60"/>
          <w:sz w:val="72"/>
          <w:szCs w:val="22"/>
        </w:rPr>
        <w:t>工作领导小组</w:t>
      </w:r>
      <w:r>
        <w:rPr>
          <w:rFonts w:hint="eastAsia" w:ascii="方正小标宋_GBK" w:eastAsia="方正小标宋_GBK" w:cs="Times New Roman"/>
          <w:color w:val="FF3C00"/>
          <w:spacing w:val="26"/>
          <w:w w:val="60"/>
          <w:sz w:val="72"/>
          <w:szCs w:val="22"/>
          <w:lang w:eastAsia="zh-CN"/>
        </w:rPr>
        <w:t>办公室</w:t>
      </w:r>
    </w:p>
    <w:p>
      <w:pPr>
        <w:widowControl w:val="0"/>
        <w:tabs>
          <w:tab w:val="left" w:pos="3064"/>
          <w:tab w:val="center" w:pos="4595"/>
          <w:tab w:val="right" w:pos="9070"/>
        </w:tabs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tabs>
          <w:tab w:val="left" w:pos="3064"/>
          <w:tab w:val="center" w:pos="4595"/>
          <w:tab w:val="right" w:pos="9070"/>
        </w:tabs>
        <w:jc w:val="center"/>
        <w:textAlignment w:val="baseline"/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威县大气污染防治工作领导小组办公室</w:t>
      </w:r>
    </w:p>
    <w:p>
      <w:pPr>
        <w:tabs>
          <w:tab w:val="left" w:pos="3064"/>
          <w:tab w:val="center" w:pos="4595"/>
          <w:tab w:val="right" w:pos="9070"/>
        </w:tabs>
        <w:jc w:val="center"/>
        <w:textAlignment w:val="baseline"/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关于</w:t>
      </w:r>
      <w:r>
        <w:rPr>
          <w:rStyle w:val="6"/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发布重污染天气预警启动Ⅱ级（橙色）应急响应</w:t>
      </w: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的通知</w:t>
      </w:r>
    </w:p>
    <w:p>
      <w:pPr>
        <w:kinsoku/>
        <w:wordWrap/>
        <w:overflowPunct/>
        <w:autoSpaceDE/>
        <w:autoSpaceDN/>
        <w:bidi w:val="0"/>
        <w:spacing w:line="400" w:lineRule="exact"/>
        <w:jc w:val="both"/>
        <w:textAlignment w:val="auto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60" w:lineRule="exact"/>
        <w:ind w:left="0" w:leftChars="0" w:firstLine="0" w:firstLineChars="0"/>
        <w:jc w:val="both"/>
        <w:rPr>
          <w:rStyle w:val="6"/>
          <w:rFonts w:ascii="楷体_GB2312" w:hAnsi="楷体_GB2312" w:eastAsia="楷体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楷体_GB2312" w:hAnsi="楷体_GB2312" w:eastAsia="楷体_GB2312"/>
          <w:kern w:val="2"/>
          <w:sz w:val="32"/>
          <w:szCs w:val="32"/>
          <w:lang w:val="en-US" w:eastAsia="zh-CN" w:bidi="ar-SA"/>
        </w:rPr>
        <w:t>各乡</w:t>
      </w:r>
      <w:r>
        <w:rPr>
          <w:rStyle w:val="6"/>
          <w:rFonts w:hint="eastAsia" w:ascii="楷体_GB2312" w:hAnsi="楷体_GB2312" w:eastAsia="楷体_GB2312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ascii="楷体_GB2312" w:hAnsi="楷体_GB2312" w:eastAsia="楷体_GB2312"/>
          <w:kern w:val="2"/>
          <w:sz w:val="32"/>
          <w:szCs w:val="32"/>
          <w:lang w:val="en-US" w:eastAsia="zh-CN" w:bidi="ar-SA"/>
        </w:rPr>
        <w:t>镇人民政府</w:t>
      </w:r>
      <w:r>
        <w:rPr>
          <w:rStyle w:val="6"/>
          <w:rFonts w:hint="eastAsia" w:ascii="楷体_GB2312" w:hAnsi="楷体_GB2312" w:eastAsia="楷体_GB2312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ascii="楷体_GB2312" w:hAnsi="楷体_GB2312" w:eastAsia="楷体_GB2312"/>
          <w:kern w:val="2"/>
          <w:sz w:val="32"/>
          <w:szCs w:val="32"/>
          <w:lang w:val="en-US" w:eastAsia="zh-CN" w:bidi="ar-SA"/>
        </w:rPr>
        <w:t>高新区管委会</w:t>
      </w:r>
      <w:r>
        <w:rPr>
          <w:rStyle w:val="6"/>
          <w:rFonts w:hint="eastAsia" w:ascii="楷体_GB2312" w:hAnsi="楷体_GB2312" w:eastAsia="楷体_GB2312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ascii="楷体_GB2312" w:hAnsi="楷体_GB2312" w:eastAsia="楷体_GB2312"/>
          <w:kern w:val="2"/>
          <w:sz w:val="32"/>
          <w:szCs w:val="32"/>
          <w:lang w:val="en-US" w:eastAsia="zh-CN" w:bidi="ar-SA"/>
        </w:rPr>
        <w:t>县有关部门:</w:t>
      </w:r>
    </w:p>
    <w:p>
      <w:pPr>
        <w:pStyle w:val="8"/>
        <w:spacing w:line="560" w:lineRule="exact"/>
        <w:ind w:left="0" w:leftChars="0" w:firstLine="640"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根据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省生态环境应急与重污染天气预警中心同中国环境监测总站、省气象灾害防御和环境气象中心联合会商，预计12月24日起，我市高空转为脊区控制，中层升温，地面受高压后部偏南风影响，整体风力减弱，扩散条件转差，污染持续累计，可能出现中至重度污染天气</w:t>
      </w:r>
      <w:bookmarkStart w:id="0" w:name="_GoBack"/>
      <w:bookmarkEnd w:id="0"/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过程。为有效应对此轮污染过程，最大限度减轻污染，</w:t>
      </w:r>
      <w:r>
        <w:rPr>
          <w:rFonts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威县</w:t>
      </w:r>
      <w:r>
        <w:rPr>
          <w:rFonts w:ascii="仿宋_GB2312" w:hAnsi="仿宋_GB2312" w:eastAsia="仿宋_GB2312" w:cs="仿宋_GB2312"/>
          <w:sz w:val="32"/>
          <w:szCs w:val="32"/>
        </w:rPr>
        <w:t>大气污染防治工作领导小组办公室研究决定，自202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时启动Ⅱ级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（橙色）应急响应</w:t>
      </w:r>
      <w:r>
        <w:rPr>
          <w:rFonts w:ascii="仿宋_GB2312" w:hAnsi="仿宋_GB2312" w:eastAsia="仿宋_GB2312" w:cs="仿宋_GB2312"/>
          <w:sz w:val="32"/>
          <w:szCs w:val="32"/>
        </w:rPr>
        <w:t>，解除时间另行通知。</w:t>
      </w:r>
    </w:p>
    <w:p>
      <w:pPr>
        <w:pStyle w:val="8"/>
        <w:spacing w:line="560" w:lineRule="exact"/>
        <w:ind w:left="0" w:leftChars="0" w:firstLine="0" w:firstLineChars="0"/>
        <w:jc w:val="both"/>
        <w:rPr>
          <w:rStyle w:val="6"/>
          <w:rFonts w:ascii="楷体_GB2312" w:hAnsi="楷体_GB2312" w:eastAsia="楷体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按照《威县重污染天气应急预案》有关要求，重污染天气预警期间，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各乡镇人民政府、高新区管委会、县有关部门(单位)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落实好各项应急减排措施。请县应急管理部门做好重污染天气期间工业企业的安全生产工作。</w:t>
      </w:r>
    </w:p>
    <w:p>
      <w:pPr>
        <w:kinsoku/>
        <w:wordWrap/>
        <w:overflow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一、工业企业管控措施。工业企业严格按照《邢台市202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-202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年重污染天气应急减排工业源清单》II级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(橙色)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应急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响应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减排措施要求，严格落实到位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；未纳入应急减排工业源清单的涉气企业在II级(橙色)应急响应期间执行停产措施。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对纳入生态环境监管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白名单的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企业，在污染物防治设施正常运行、污染物稳定达标排放的情况下，原则上不限产、不停产，鼓励企业自主减排，严防“一刀切”。</w:t>
      </w:r>
    </w:p>
    <w:p>
      <w:pPr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二、施工工地管控措施。应急抢险</w:t>
      </w:r>
      <w:r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工程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在严格落实“七个百分之百”和“两个全覆盖”前提下，可正常施工。</w:t>
      </w:r>
      <w:r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原则上，</w:t>
      </w: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其他施工工地应禁止土石方作业、建筑拆除、喷涂粉刷、护坡喷浆、现场混凝土(砂浆)搅拌、焊接、切割等工序，其它工序可正常施工。</w:t>
      </w:r>
    </w:p>
    <w:p>
      <w:pPr>
        <w:ind w:firstLine="640" w:firstLineChars="200"/>
        <w:jc w:val="both"/>
        <w:textAlignment w:val="baseline"/>
        <w:rPr>
          <w:rStyle w:val="6"/>
          <w:rFonts w:hint="default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三、移动源管控措施。与疫情防控及生活保障相关车辆、医疗废物处置专用车辆开辟绿色通道,保障其正常通行。施工工地、工业企业厂区和工业园区内禁止使用国二及以下非道路移动机械。县城区内禁止核定载重量为2吨(含)以上的货车(办理通行证的除外)、三轮汽车、低速载货汽车和拖拉机通行。引导过境车辆避开县城区行驶。产品运输(日载货车量进出10辆次及以上)的单位禁止使用国四及以下重型载货汽车(含燃气)进行运输(特种车辆、危险化学品车辆等除外)。</w:t>
      </w:r>
    </w:p>
    <w:p>
      <w:pPr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四、道路保洁。根据气温、湿度和天气情况，科学合理安排县城主次干道和易产生扬尘路段机扫、湿扫和保洁作业。</w:t>
      </w:r>
    </w:p>
    <w:p>
      <w:pPr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五、全县区域内，全时段禁止燃放烟花爆竹。</w:t>
      </w:r>
    </w:p>
    <w:p>
      <w:pPr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六、建议儿童、老年人和呼吸道、心脑血管病及其他慢性疾病患者尽量留在室内，避免户外运动，尽量减少开窗通风时间；医疗卫生机构加强对呼吸类疾病患者的就医指导和诊疗保障；一般人群减少或避免户外活动；室外工作、执勤、作业、活动等人员可以采取佩戴口罩、缩短户外工作时间等必要的防护措施。</w:t>
      </w:r>
    </w:p>
    <w:p>
      <w:pPr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七、倡导公众绿色出行，尽量采取乘坐公共交通工具或电动汽车等方式；驻车及时熄火，减少车辆原地怠速运行时间；自觉停驶国四及以下燃油机动车。提倡绿色消费，单位和公众尽量减少含挥发性有机物的涂料、油漆、溶剂等原材料及产品的使用。</w:t>
      </w:r>
    </w:p>
    <w:p>
      <w:pPr>
        <w:ind w:firstLine="640" w:firstLineChars="200"/>
        <w:jc w:val="both"/>
        <w:textAlignment w:val="baseline"/>
        <w:rPr>
          <w:rStyle w:val="6"/>
          <w:rFonts w:hint="default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市大气办12月23日印发的《关于做好12月23日—26日污染过程应对实施强化管控措施的通知》中强化措施与本次预警措施同步实施、从严执行。</w:t>
      </w:r>
    </w:p>
    <w:p>
      <w:pPr>
        <w:ind w:firstLine="640" w:firstLineChars="200"/>
        <w:jc w:val="both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各乡镇人民政府，高新区、县有关部门(单位)要严格按照《威县重污染天气应急预案》职责分工，迅速抓好各项措施落实。同时要加强督导检查,确保各项应急响应措施落实到位。</w:t>
      </w:r>
    </w:p>
    <w:p>
      <w:pPr>
        <w:kinsoku/>
        <w:wordWrap/>
        <w:overflow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附件:1、《邢台市202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-202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年重污染天气应急减排工业源清单》</w:t>
      </w:r>
    </w:p>
    <w:p>
      <w:pPr>
        <w:pStyle w:val="2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   威县大气污染防治工作领导小组办公室     </w:t>
      </w:r>
    </w:p>
    <w:p>
      <w:pPr>
        <w:kinsoku/>
        <w:overflowPunct/>
        <w:autoSpaceDE/>
        <w:autoSpaceDN/>
        <w:bidi w:val="0"/>
        <w:spacing w:line="600" w:lineRule="exact"/>
        <w:ind w:firstLine="1280" w:firstLineChars="400"/>
        <w:jc w:val="center"/>
        <w:textAlignment w:val="auto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202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年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12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23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日            </w:t>
      </w:r>
    </w:p>
    <w:p>
      <w:pPr>
        <w:tabs>
          <w:tab w:val="left" w:pos="3064"/>
          <w:tab w:val="center" w:pos="4595"/>
          <w:tab w:val="right" w:pos="9070"/>
        </w:tabs>
        <w:jc w:val="left"/>
        <w:textAlignment w:val="baseline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3064"/>
          <w:tab w:val="center" w:pos="4595"/>
          <w:tab w:val="right" w:pos="9070"/>
        </w:tabs>
        <w:jc w:val="left"/>
        <w:textAlignment w:val="baseline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3064"/>
          <w:tab w:val="center" w:pos="4595"/>
          <w:tab w:val="right" w:pos="9070"/>
        </w:tabs>
        <w:jc w:val="left"/>
        <w:textAlignment w:val="baseline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3064"/>
          <w:tab w:val="center" w:pos="4595"/>
          <w:tab w:val="right" w:pos="9070"/>
        </w:tabs>
        <w:jc w:val="left"/>
        <w:textAlignment w:val="baseline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3064"/>
          <w:tab w:val="center" w:pos="4595"/>
          <w:tab w:val="right" w:pos="9070"/>
        </w:tabs>
        <w:jc w:val="left"/>
        <w:textAlignment w:val="baseline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3064"/>
          <w:tab w:val="center" w:pos="4595"/>
          <w:tab w:val="right" w:pos="9070"/>
        </w:tabs>
        <w:jc w:val="left"/>
        <w:textAlignment w:val="baseline"/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386080</wp:posOffset>
                </wp:positionV>
                <wp:extent cx="5760085" cy="635"/>
                <wp:effectExtent l="0" t="0" r="0" b="0"/>
                <wp:wrapNone/>
                <wp:docPr id="10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0.4pt;height:0.05pt;width:453.55pt;z-index:251659264;mso-width-relative:page;mso-height-relative:page;" filled="f" stroked="t" coordsize="21600,21600" o:gfxdata="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Rq+g9QAAAAG&#10;AQAADwAAAAAAAAABACAAAAAiAAAAZHJzL2Rvd25yZXYueG1sUEsBAhQAFAAAAAgAh07iQJv8BXDn&#10;AQAA3g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064"/>
          <w:tab w:val="center" w:pos="4595"/>
          <w:tab w:val="right" w:pos="9070"/>
        </w:tabs>
        <w:jc w:val="left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Calibri" w:hAnsi="Calibri" w:eastAsia="宋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5760085" cy="635"/>
                <wp:effectExtent l="0" t="0" r="0" b="0"/>
                <wp:wrapNone/>
                <wp:docPr id="1028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3.7pt;height:0.05pt;width:453.55pt;z-index:251659264;mso-width-relative:page;mso-height-relative:page;" filled="f" stroked="t" coordsize="21600,21600" o:gfxdata="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Ms8f7V&#10;AAAABgEAAA8AAAAAAAAAAQAgAAAAIgAAAGRycy9kb3ducmV2LnhtbFBLAQIUABQAAAAIAIdO4kDf&#10;Oqr76gEAAN4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 w:bidi="ar-SA"/>
        </w:rPr>
        <w:t>威县大气污染防治工作领导小组办公室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 w:bidi="ar-SA"/>
        </w:rPr>
        <w:t>202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 w:bidi="ar-SA"/>
        </w:rPr>
        <w:t>年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12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23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 w:bidi="ar-SA"/>
        </w:rPr>
        <w:t>日</w:t>
      </w:r>
    </w:p>
    <w:sectPr>
      <w:pgSz w:w="11905" w:h="16838"/>
      <w:pgMar w:top="1417" w:right="1531" w:bottom="1417" w:left="1871" w:header="851" w:footer="992" w:gutter="0"/>
      <w:lnNumType w:countBy="0"/>
      <w:cols w:space="425" w:num="1"/>
      <w:vAlign w:val="top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WU1MTNhZDIyOWE3ZGY2NWNjZDgxNzljNmJkMjcifQ=="/>
  </w:docVars>
  <w:rsids>
    <w:rsidRoot w:val="00000000"/>
    <w:rsid w:val="0E4D7AE1"/>
    <w:rsid w:val="47A9228C"/>
    <w:rsid w:val="70B62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p0"/>
    <w:basedOn w:val="1"/>
    <w:qFormat/>
    <w:uiPriority w:val="99"/>
    <w:pPr>
      <w:widowControl/>
      <w:ind w:firstLine="420" w:firstLineChars="200"/>
      <w:jc w:val="left"/>
    </w:pPr>
    <w:rPr>
      <w:rFonts w:hint="eastAsia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1351</Words>
  <Characters>1386</Characters>
  <Paragraphs>41</Paragraphs>
  <TotalTime>30</TotalTime>
  <ScaleCrop>false</ScaleCrop>
  <LinksUpToDate>false</LinksUpToDate>
  <CharactersWithSpaces>1435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2021-12-19T02:45:00Z</dcterms:created>
  <dc:creator>Lenovo</dc:creator>
  <cp:lastModifiedBy>汪里个喵</cp:lastModifiedBy>
  <cp:lastPrinted>2022-12-23T12:11:51Z</cp:lastPrinted>
  <dcterms:modified xsi:type="dcterms:W3CDTF">2022-12-23T12:13:34Z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B9498C71F1C642A3AF59F36D939DA8A0</vt:lpwstr>
  </property>
</Properties>
</file>