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65" w:rsidRDefault="00CF7A10">
      <w:pPr>
        <w:ind w:firstLineChars="200" w:firstLine="880"/>
        <w:jc w:val="center"/>
        <w:rPr>
          <w:rFonts w:ascii="仿宋" w:eastAsia="仿宋" w:hAnsi="仿宋" w:cs="宋体"/>
          <w:sz w:val="44"/>
          <w:szCs w:val="44"/>
        </w:rPr>
      </w:pPr>
      <w:bookmarkStart w:id="0" w:name="_GoBack"/>
      <w:bookmarkEnd w:id="0"/>
      <w:r>
        <w:rPr>
          <w:rFonts w:ascii="仿宋" w:eastAsia="仿宋" w:hAnsi="仿宋" w:hint="eastAsia"/>
          <w:sz w:val="44"/>
          <w:szCs w:val="44"/>
        </w:rPr>
        <w:t>河北省</w:t>
      </w:r>
      <w:r>
        <w:rPr>
          <w:rFonts w:ascii="仿宋" w:eastAsia="仿宋" w:hAnsi="仿宋" w:cs="宋体" w:hint="eastAsia"/>
          <w:sz w:val="44"/>
          <w:szCs w:val="44"/>
        </w:rPr>
        <w:t>威县供销合作社联合社</w:t>
      </w:r>
    </w:p>
    <w:p w:rsidR="00235765" w:rsidRDefault="00CF7A10">
      <w:pPr>
        <w:ind w:firstLineChars="200" w:firstLine="880"/>
        <w:jc w:val="center"/>
        <w:rPr>
          <w:rFonts w:ascii="仿宋" w:eastAsia="仿宋" w:hAnsi="仿宋"/>
          <w:sz w:val="44"/>
          <w:szCs w:val="44"/>
        </w:rPr>
      </w:pPr>
      <w:r>
        <w:rPr>
          <w:rFonts w:ascii="仿宋" w:eastAsia="仿宋" w:hAnsi="仿宋"/>
          <w:sz w:val="44"/>
          <w:szCs w:val="44"/>
        </w:rPr>
        <w:t>2019</w:t>
      </w:r>
      <w:r>
        <w:rPr>
          <w:rFonts w:ascii="仿宋" w:eastAsia="仿宋" w:hAnsi="仿宋" w:hint="eastAsia"/>
          <w:sz w:val="44"/>
          <w:szCs w:val="44"/>
        </w:rPr>
        <w:t>年部门预算信息公开情况说明</w:t>
      </w:r>
    </w:p>
    <w:p w:rsidR="00235765" w:rsidRDefault="00235765">
      <w:pPr>
        <w:ind w:firstLineChars="200" w:firstLine="640"/>
        <w:rPr>
          <w:rFonts w:ascii="仿宋" w:eastAsia="仿宋" w:hAnsi="仿宋"/>
          <w:sz w:val="32"/>
          <w:szCs w:val="32"/>
        </w:rPr>
      </w:pPr>
    </w:p>
    <w:p w:rsidR="00235765" w:rsidRDefault="00CF7A10">
      <w:pPr>
        <w:ind w:firstLineChars="200" w:firstLine="640"/>
        <w:rPr>
          <w:rFonts w:ascii="仿宋" w:eastAsia="仿宋" w:hAnsi="仿宋"/>
          <w:sz w:val="32"/>
          <w:szCs w:val="32"/>
        </w:rPr>
      </w:pPr>
      <w:r>
        <w:rPr>
          <w:rFonts w:ascii="仿宋" w:eastAsia="仿宋" w:hAnsi="仿宋" w:hint="eastAsia"/>
          <w:sz w:val="32"/>
          <w:szCs w:val="32"/>
        </w:rPr>
        <w:t>按照《预算法》、《地方预决算公开操作规程》和《河北省县级预算公开办法》规定，现将河北省威县供销合作社联合社</w:t>
      </w:r>
      <w:r>
        <w:rPr>
          <w:rFonts w:ascii="仿宋" w:eastAsia="仿宋" w:hAnsi="仿宋"/>
          <w:sz w:val="32"/>
          <w:szCs w:val="32"/>
        </w:rPr>
        <w:t>2019</w:t>
      </w:r>
      <w:r>
        <w:rPr>
          <w:rFonts w:ascii="仿宋" w:eastAsia="仿宋" w:hAnsi="仿宋" w:hint="eastAsia"/>
          <w:sz w:val="32"/>
          <w:szCs w:val="32"/>
        </w:rPr>
        <w:t>年部门预算公开如下：</w:t>
      </w:r>
    </w:p>
    <w:p w:rsidR="00235765" w:rsidRDefault="00CF7A10">
      <w:pPr>
        <w:ind w:firstLine="640"/>
        <w:rPr>
          <w:rFonts w:ascii="黑体" w:eastAsia="黑体" w:hAnsi="黑体"/>
          <w:sz w:val="32"/>
          <w:szCs w:val="32"/>
        </w:rPr>
      </w:pPr>
      <w:r>
        <w:rPr>
          <w:rFonts w:ascii="黑体" w:eastAsia="黑体" w:hAnsi="黑体" w:hint="eastAsia"/>
          <w:sz w:val="32"/>
          <w:szCs w:val="32"/>
        </w:rPr>
        <w:t>一、部门职责及机构设置情况</w:t>
      </w:r>
    </w:p>
    <w:p w:rsidR="00235765" w:rsidRDefault="00CF7A10">
      <w:pPr>
        <w:ind w:firstLineChars="200" w:firstLine="643"/>
        <w:rPr>
          <w:rFonts w:ascii="仿宋" w:eastAsia="仿宋" w:hAnsi="仿宋"/>
          <w:b/>
          <w:sz w:val="32"/>
          <w:szCs w:val="32"/>
        </w:rPr>
      </w:pPr>
      <w:r>
        <w:rPr>
          <w:rFonts w:ascii="仿宋" w:eastAsia="仿宋" w:hAnsi="仿宋" w:hint="eastAsia"/>
          <w:b/>
          <w:sz w:val="32"/>
          <w:szCs w:val="32"/>
        </w:rPr>
        <w:t>部门职责：</w:t>
      </w:r>
    </w:p>
    <w:p w:rsidR="00235765" w:rsidRDefault="00CF7A10">
      <w:pPr>
        <w:ind w:firstLineChars="200" w:firstLine="600"/>
        <w:rPr>
          <w:rFonts w:ascii="仿宋" w:eastAsia="仿宋" w:hAnsi="仿宋"/>
          <w:sz w:val="30"/>
          <w:szCs w:val="30"/>
        </w:rPr>
      </w:pPr>
      <w:r>
        <w:rPr>
          <w:rFonts w:ascii="仿宋" w:eastAsia="仿宋" w:hAnsi="仿宋" w:hint="eastAsia"/>
          <w:sz w:val="30"/>
          <w:szCs w:val="30"/>
        </w:rPr>
        <w:t>县供销社在县委、县政府领导下实施供销社改革，除在全县综合改革试点方案中明确供销社的职能和任务外，县委、县政府先后出台了《威县深化供销合作社综合改革构建农业社会化服务体系实施方案》、《关于支持农民合作社发展的意见》和《农村改革试验区供销合作社综合改革实施方案》三个文件。确定了“紧紧围绕破解农村生产力发展中的突出问题，提高农民组织化程度”的指导思想，“因地制宜”、“市场化运作”、“一体化服务”的三项原则。</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）制定农民合作经济组织发展规划、落实相关政策。</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w:t>
      </w:r>
      <w:r>
        <w:rPr>
          <w:rFonts w:ascii="仿宋" w:eastAsia="仿宋" w:hAnsi="仿宋"/>
          <w:sz w:val="30"/>
          <w:szCs w:val="30"/>
        </w:rPr>
        <w:t>2</w:t>
      </w:r>
      <w:r>
        <w:rPr>
          <w:rFonts w:ascii="仿宋" w:eastAsia="仿宋" w:hAnsi="仿宋" w:hint="eastAsia"/>
          <w:sz w:val="30"/>
          <w:szCs w:val="30"/>
        </w:rPr>
        <w:t>）配合有关部门共同做好农民合作经济组织的指导、服务、协调工作。</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）维护成员社的合法权益，反映成员社的吃亏和建议，争取政策、资金支持。</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）负责全县供销社农民合作社发展基金的管理、使用，负责财政补助合作社形成资产的持有和管护，承办合作社申报政府支持项目的报审和组织实施等。</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）组织领办各类农民合作经济组织，指导帮助农民合作社与农业公司等新型农业经营主体开展联合合作，培育品牌，开拓市场。</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）搭建生产流通、金融、培训、交流和信息等综合服务平台，为成员社和农民群众提供全方位服务。</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7</w:t>
      </w:r>
      <w:r>
        <w:rPr>
          <w:rFonts w:ascii="仿宋" w:eastAsia="仿宋" w:hAnsi="仿宋" w:hint="eastAsia"/>
          <w:sz w:val="30"/>
          <w:szCs w:val="30"/>
        </w:rPr>
        <w:t>）整合系统和社会资源，发展农产品、农资、日用消费品、再生资源回收利用等农村现代流通网络，成为农村现代流通网络的主导力量。</w:t>
      </w:r>
    </w:p>
    <w:p w:rsidR="00235765" w:rsidRDefault="00CF7A10">
      <w:pPr>
        <w:snapToGrid w:val="0"/>
        <w:spacing w:line="360" w:lineRule="auto"/>
        <w:ind w:firstLineChars="225" w:firstLine="675"/>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8</w:t>
      </w:r>
      <w:r>
        <w:rPr>
          <w:rFonts w:ascii="仿宋" w:eastAsia="仿宋" w:hAnsi="仿宋" w:hint="eastAsia"/>
          <w:sz w:val="30"/>
          <w:szCs w:val="30"/>
        </w:rPr>
        <w:t>）创建以供销社为主导，农民合作社经济组织为基础，农村合作金融、农信担保、农村产权交易为支撑的涉农金融服务体系，促进农村合作金融发展。</w:t>
      </w:r>
    </w:p>
    <w:p w:rsidR="00235765" w:rsidRDefault="00CF7A10">
      <w:pPr>
        <w:snapToGrid w:val="0"/>
        <w:spacing w:line="360" w:lineRule="auto"/>
        <w:ind w:leftChars="171" w:left="359" w:firstLineChars="75" w:firstLine="225"/>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9</w:t>
      </w:r>
      <w:r>
        <w:rPr>
          <w:rFonts w:ascii="仿宋" w:eastAsia="仿宋" w:hAnsi="仿宋" w:hint="eastAsia"/>
          <w:sz w:val="30"/>
          <w:szCs w:val="30"/>
        </w:rPr>
        <w:t>）好盐业和烟花爆竹专营业务管理，保护人民群众生命财产安全。</w:t>
      </w:r>
    </w:p>
    <w:p w:rsidR="00235765" w:rsidRDefault="00CF7A10">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10</w:t>
      </w:r>
      <w:r>
        <w:rPr>
          <w:rFonts w:ascii="仿宋" w:eastAsia="仿宋" w:hAnsi="仿宋" w:hint="eastAsia"/>
          <w:sz w:val="30"/>
          <w:szCs w:val="30"/>
        </w:rPr>
        <w:t>）做好信访维稳工作，处理好改制后遗留问题和转业士官待遇落实。</w:t>
      </w:r>
    </w:p>
    <w:p w:rsidR="00235765" w:rsidRDefault="00CF7A10">
      <w:pPr>
        <w:autoSpaceDE w:val="0"/>
        <w:autoSpaceDN w:val="0"/>
        <w:adjustRightInd w:val="0"/>
        <w:ind w:left="198" w:firstLineChars="200" w:firstLine="643"/>
        <w:jc w:val="left"/>
        <w:rPr>
          <w:rFonts w:ascii="仿宋" w:eastAsia="仿宋" w:hAnsi="仿宋"/>
          <w:b/>
          <w:sz w:val="32"/>
          <w:szCs w:val="32"/>
        </w:rPr>
      </w:pPr>
      <w:r>
        <w:rPr>
          <w:rFonts w:ascii="仿宋" w:eastAsia="仿宋" w:hAnsi="仿宋" w:hint="eastAsia"/>
          <w:b/>
          <w:sz w:val="32"/>
          <w:szCs w:val="32"/>
        </w:rPr>
        <w:t>机构设置：</w:t>
      </w:r>
    </w:p>
    <w:p w:rsidR="00235765" w:rsidRDefault="00CF7A10">
      <w:pPr>
        <w:jc w:val="center"/>
        <w:outlineLvl w:val="0"/>
        <w:rPr>
          <w:rFonts w:ascii="仿宋" w:eastAsia="仿宋" w:hAnsi="仿宋"/>
          <w:sz w:val="32"/>
          <w:szCs w:val="24"/>
        </w:rPr>
      </w:pPr>
      <w:r>
        <w:rPr>
          <w:rFonts w:ascii="仿宋" w:eastAsia="仿宋" w:hAnsi="仿宋" w:hint="eastAsia"/>
          <w:sz w:val="32"/>
          <w:szCs w:val="24"/>
        </w:rPr>
        <w:lastRenderedPageBreak/>
        <w:t>部门机构设置情况</w:t>
      </w:r>
    </w:p>
    <w:tbl>
      <w:tblPr>
        <w:tblW w:w="10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67"/>
        <w:gridCol w:w="1644"/>
        <w:gridCol w:w="1785"/>
        <w:gridCol w:w="2310"/>
      </w:tblGrid>
      <w:tr w:rsidR="00235765">
        <w:trPr>
          <w:trHeight w:val="300"/>
          <w:tblHeader/>
          <w:jc w:val="center"/>
        </w:trPr>
        <w:tc>
          <w:tcPr>
            <w:tcW w:w="4767" w:type="dxa"/>
            <w:vMerge w:val="restart"/>
            <w:vAlign w:val="center"/>
          </w:tcPr>
          <w:p w:rsidR="00235765" w:rsidRDefault="00CF7A10">
            <w:pPr>
              <w:spacing w:line="300" w:lineRule="exact"/>
              <w:jc w:val="center"/>
              <w:rPr>
                <w:rFonts w:ascii="仿宋" w:eastAsia="仿宋" w:hAnsi="仿宋"/>
                <w:b/>
                <w:sz w:val="32"/>
                <w:szCs w:val="32"/>
              </w:rPr>
            </w:pPr>
            <w:r>
              <w:rPr>
                <w:rFonts w:ascii="仿宋" w:eastAsia="仿宋" w:hAnsi="仿宋" w:hint="eastAsia"/>
                <w:b/>
                <w:sz w:val="32"/>
                <w:szCs w:val="32"/>
              </w:rPr>
              <w:t>单位名称</w:t>
            </w:r>
          </w:p>
        </w:tc>
        <w:tc>
          <w:tcPr>
            <w:tcW w:w="1644" w:type="dxa"/>
            <w:vMerge w:val="restart"/>
            <w:vAlign w:val="center"/>
          </w:tcPr>
          <w:p w:rsidR="00235765" w:rsidRDefault="00CF7A10">
            <w:pPr>
              <w:spacing w:line="300" w:lineRule="exact"/>
              <w:jc w:val="center"/>
              <w:rPr>
                <w:rFonts w:ascii="仿宋" w:eastAsia="仿宋" w:hAnsi="仿宋"/>
                <w:b/>
                <w:sz w:val="32"/>
                <w:szCs w:val="32"/>
              </w:rPr>
            </w:pPr>
            <w:r>
              <w:rPr>
                <w:rFonts w:ascii="仿宋" w:eastAsia="仿宋" w:hAnsi="仿宋" w:hint="eastAsia"/>
                <w:b/>
                <w:sz w:val="32"/>
                <w:szCs w:val="32"/>
              </w:rPr>
              <w:t>单位性质</w:t>
            </w:r>
          </w:p>
        </w:tc>
        <w:tc>
          <w:tcPr>
            <w:tcW w:w="1785" w:type="dxa"/>
            <w:vMerge w:val="restart"/>
            <w:vAlign w:val="center"/>
          </w:tcPr>
          <w:p w:rsidR="00235765" w:rsidRDefault="00CF7A10">
            <w:pPr>
              <w:spacing w:line="300" w:lineRule="exact"/>
              <w:jc w:val="center"/>
              <w:rPr>
                <w:rFonts w:ascii="仿宋" w:eastAsia="仿宋" w:hAnsi="仿宋"/>
                <w:b/>
                <w:sz w:val="32"/>
                <w:szCs w:val="32"/>
              </w:rPr>
            </w:pPr>
            <w:r>
              <w:rPr>
                <w:rFonts w:ascii="仿宋" w:eastAsia="仿宋" w:hAnsi="仿宋" w:hint="eastAsia"/>
                <w:b/>
                <w:sz w:val="32"/>
                <w:szCs w:val="32"/>
              </w:rPr>
              <w:t>单位规格</w:t>
            </w:r>
          </w:p>
        </w:tc>
        <w:tc>
          <w:tcPr>
            <w:tcW w:w="2310" w:type="dxa"/>
            <w:vMerge w:val="restart"/>
            <w:vAlign w:val="center"/>
          </w:tcPr>
          <w:p w:rsidR="00235765" w:rsidRDefault="00CF7A10">
            <w:pPr>
              <w:spacing w:line="300" w:lineRule="exact"/>
              <w:jc w:val="center"/>
              <w:rPr>
                <w:rFonts w:ascii="仿宋" w:eastAsia="仿宋" w:hAnsi="仿宋"/>
                <w:b/>
                <w:sz w:val="32"/>
                <w:szCs w:val="32"/>
              </w:rPr>
            </w:pPr>
            <w:r>
              <w:rPr>
                <w:rFonts w:ascii="仿宋" w:eastAsia="仿宋" w:hAnsi="仿宋" w:hint="eastAsia"/>
                <w:b/>
                <w:sz w:val="32"/>
                <w:szCs w:val="32"/>
              </w:rPr>
              <w:t>经费保障形式</w:t>
            </w:r>
          </w:p>
        </w:tc>
      </w:tr>
      <w:tr w:rsidR="00235765">
        <w:trPr>
          <w:trHeight w:val="300"/>
          <w:tblHeader/>
          <w:jc w:val="center"/>
        </w:trPr>
        <w:tc>
          <w:tcPr>
            <w:tcW w:w="4767" w:type="dxa"/>
            <w:vMerge/>
            <w:vAlign w:val="center"/>
          </w:tcPr>
          <w:p w:rsidR="00235765" w:rsidRDefault="00235765">
            <w:pPr>
              <w:spacing w:line="300" w:lineRule="exact"/>
              <w:jc w:val="left"/>
              <w:outlineLvl w:val="0"/>
              <w:rPr>
                <w:rFonts w:ascii="仿宋" w:eastAsia="仿宋" w:hAnsi="仿宋"/>
                <w:sz w:val="32"/>
                <w:szCs w:val="32"/>
              </w:rPr>
            </w:pPr>
          </w:p>
        </w:tc>
        <w:tc>
          <w:tcPr>
            <w:tcW w:w="1644" w:type="dxa"/>
            <w:vMerge/>
            <w:vAlign w:val="center"/>
          </w:tcPr>
          <w:p w:rsidR="00235765" w:rsidRDefault="00235765">
            <w:pPr>
              <w:spacing w:line="300" w:lineRule="exact"/>
              <w:jc w:val="left"/>
              <w:outlineLvl w:val="0"/>
              <w:rPr>
                <w:rFonts w:ascii="仿宋" w:eastAsia="仿宋" w:hAnsi="仿宋"/>
                <w:sz w:val="32"/>
                <w:szCs w:val="32"/>
              </w:rPr>
            </w:pPr>
          </w:p>
        </w:tc>
        <w:tc>
          <w:tcPr>
            <w:tcW w:w="1785" w:type="dxa"/>
            <w:vMerge/>
            <w:vAlign w:val="center"/>
          </w:tcPr>
          <w:p w:rsidR="00235765" w:rsidRDefault="00235765">
            <w:pPr>
              <w:spacing w:line="300" w:lineRule="exact"/>
              <w:jc w:val="left"/>
              <w:outlineLvl w:val="0"/>
              <w:rPr>
                <w:rFonts w:ascii="仿宋" w:eastAsia="仿宋" w:hAnsi="仿宋"/>
                <w:sz w:val="32"/>
                <w:szCs w:val="32"/>
              </w:rPr>
            </w:pPr>
          </w:p>
        </w:tc>
        <w:tc>
          <w:tcPr>
            <w:tcW w:w="2310" w:type="dxa"/>
            <w:vMerge/>
            <w:vAlign w:val="center"/>
          </w:tcPr>
          <w:p w:rsidR="00235765" w:rsidRDefault="00235765">
            <w:pPr>
              <w:spacing w:line="300" w:lineRule="exact"/>
              <w:jc w:val="left"/>
              <w:outlineLvl w:val="0"/>
              <w:rPr>
                <w:rFonts w:ascii="仿宋" w:eastAsia="仿宋" w:hAnsi="仿宋"/>
                <w:sz w:val="32"/>
                <w:szCs w:val="32"/>
              </w:rPr>
            </w:pPr>
          </w:p>
        </w:tc>
      </w:tr>
      <w:tr w:rsidR="00235765">
        <w:trPr>
          <w:trHeight w:val="593"/>
          <w:jc w:val="center"/>
        </w:trPr>
        <w:tc>
          <w:tcPr>
            <w:tcW w:w="4767" w:type="dxa"/>
            <w:vAlign w:val="center"/>
          </w:tcPr>
          <w:p w:rsidR="00235765" w:rsidRDefault="00CF7A10">
            <w:pPr>
              <w:spacing w:line="300" w:lineRule="exact"/>
              <w:jc w:val="left"/>
              <w:rPr>
                <w:rFonts w:ascii="仿宋" w:eastAsia="仿宋" w:hAnsi="仿宋"/>
                <w:sz w:val="32"/>
                <w:szCs w:val="32"/>
              </w:rPr>
            </w:pPr>
            <w:r>
              <w:rPr>
                <w:rFonts w:ascii="仿宋" w:eastAsia="仿宋" w:hAnsi="仿宋" w:hint="eastAsia"/>
                <w:sz w:val="32"/>
                <w:szCs w:val="32"/>
              </w:rPr>
              <w:t>河北省威县供销合作社联合社</w:t>
            </w:r>
          </w:p>
        </w:tc>
        <w:tc>
          <w:tcPr>
            <w:tcW w:w="1644" w:type="dxa"/>
            <w:vAlign w:val="center"/>
          </w:tcPr>
          <w:p w:rsidR="00235765" w:rsidRDefault="00CF7A10">
            <w:pPr>
              <w:spacing w:line="300" w:lineRule="exact"/>
              <w:jc w:val="center"/>
              <w:rPr>
                <w:rFonts w:ascii="仿宋" w:eastAsia="仿宋" w:hAnsi="仿宋"/>
                <w:sz w:val="32"/>
                <w:szCs w:val="32"/>
              </w:rPr>
            </w:pPr>
            <w:r>
              <w:rPr>
                <w:rFonts w:ascii="仿宋" w:eastAsia="仿宋" w:hAnsi="仿宋" w:hint="eastAsia"/>
                <w:sz w:val="32"/>
                <w:szCs w:val="32"/>
              </w:rPr>
              <w:t>事业</w:t>
            </w:r>
          </w:p>
        </w:tc>
        <w:tc>
          <w:tcPr>
            <w:tcW w:w="1785" w:type="dxa"/>
            <w:vAlign w:val="center"/>
          </w:tcPr>
          <w:p w:rsidR="00235765" w:rsidRDefault="00CF7A10">
            <w:pPr>
              <w:spacing w:line="300" w:lineRule="exact"/>
              <w:jc w:val="center"/>
              <w:rPr>
                <w:rFonts w:ascii="仿宋" w:eastAsia="仿宋" w:hAnsi="仿宋"/>
                <w:sz w:val="32"/>
                <w:szCs w:val="32"/>
              </w:rPr>
            </w:pPr>
            <w:r>
              <w:rPr>
                <w:rFonts w:ascii="仿宋" w:eastAsia="仿宋" w:hAnsi="仿宋" w:hint="eastAsia"/>
                <w:sz w:val="32"/>
                <w:szCs w:val="32"/>
              </w:rPr>
              <w:t>县级</w:t>
            </w:r>
          </w:p>
        </w:tc>
        <w:tc>
          <w:tcPr>
            <w:tcW w:w="2310" w:type="dxa"/>
            <w:vAlign w:val="center"/>
          </w:tcPr>
          <w:p w:rsidR="00235765" w:rsidRDefault="00CF7A10">
            <w:pPr>
              <w:spacing w:line="300" w:lineRule="exact"/>
              <w:jc w:val="center"/>
              <w:rPr>
                <w:rFonts w:ascii="仿宋" w:eastAsia="仿宋" w:hAnsi="仿宋"/>
                <w:sz w:val="32"/>
                <w:szCs w:val="32"/>
              </w:rPr>
            </w:pPr>
            <w:r>
              <w:rPr>
                <w:rFonts w:ascii="仿宋" w:eastAsia="仿宋" w:hAnsi="仿宋" w:hint="eastAsia"/>
                <w:sz w:val="32"/>
                <w:szCs w:val="32"/>
              </w:rPr>
              <w:t>财政拨款</w:t>
            </w:r>
          </w:p>
        </w:tc>
      </w:tr>
    </w:tbl>
    <w:p w:rsidR="00235765" w:rsidRDefault="00CF7A10">
      <w:pPr>
        <w:ind w:firstLine="640"/>
        <w:rPr>
          <w:rFonts w:ascii="黑体" w:eastAsia="黑体" w:hAnsi="黑体"/>
          <w:sz w:val="32"/>
          <w:szCs w:val="32"/>
        </w:rPr>
      </w:pPr>
      <w:r>
        <w:rPr>
          <w:rFonts w:ascii="黑体" w:eastAsia="黑体" w:hAnsi="黑体" w:hint="eastAsia"/>
          <w:sz w:val="32"/>
          <w:szCs w:val="32"/>
        </w:rPr>
        <w:t>二、部门预算安排的总体情况</w:t>
      </w:r>
    </w:p>
    <w:p w:rsidR="00235765" w:rsidRDefault="00CF7A10">
      <w:pPr>
        <w:ind w:firstLine="640"/>
        <w:rPr>
          <w:rFonts w:ascii="仿宋" w:eastAsia="仿宋" w:hAnsi="仿宋"/>
          <w:sz w:val="32"/>
          <w:szCs w:val="32"/>
        </w:rPr>
      </w:pPr>
      <w:r>
        <w:rPr>
          <w:rFonts w:ascii="仿宋" w:eastAsia="仿宋" w:hAnsi="仿宋" w:hint="eastAsia"/>
          <w:sz w:val="32"/>
          <w:szCs w:val="32"/>
        </w:rPr>
        <w:t>按照预算管理有关规定，目前我县部门预算的编制实行综合预算管理，即全部收入和支出都反映在预算中。河北省威县供销合作社联合社的收支包含在部门预算中。</w:t>
      </w:r>
    </w:p>
    <w:p w:rsidR="00235765" w:rsidRDefault="00CF7A10">
      <w:pPr>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、收入说明</w:t>
      </w:r>
    </w:p>
    <w:p w:rsidR="00235765" w:rsidRDefault="00CF7A10">
      <w:pPr>
        <w:ind w:firstLine="640"/>
        <w:rPr>
          <w:rFonts w:ascii="仿宋" w:eastAsia="仿宋" w:hAnsi="仿宋"/>
          <w:sz w:val="32"/>
          <w:szCs w:val="32"/>
        </w:rPr>
      </w:pPr>
      <w:r>
        <w:rPr>
          <w:rFonts w:ascii="仿宋" w:eastAsia="仿宋" w:hAnsi="仿宋" w:hint="eastAsia"/>
          <w:sz w:val="32"/>
          <w:szCs w:val="32"/>
        </w:rPr>
        <w:t>反映本部门当年全部收入。</w:t>
      </w:r>
      <w:r>
        <w:rPr>
          <w:rFonts w:ascii="仿宋" w:eastAsia="仿宋" w:hAnsi="仿宋"/>
          <w:sz w:val="32"/>
          <w:szCs w:val="32"/>
        </w:rPr>
        <w:t>2019</w:t>
      </w:r>
      <w:r>
        <w:rPr>
          <w:rFonts w:ascii="仿宋" w:eastAsia="仿宋" w:hAnsi="仿宋" w:hint="eastAsia"/>
          <w:sz w:val="32"/>
          <w:szCs w:val="32"/>
        </w:rPr>
        <w:t>年预算收入</w:t>
      </w:r>
      <w:r>
        <w:rPr>
          <w:rFonts w:ascii="仿宋" w:eastAsia="仿宋" w:hAnsi="仿宋"/>
          <w:sz w:val="32"/>
          <w:szCs w:val="32"/>
        </w:rPr>
        <w:t>265.45</w:t>
      </w:r>
      <w:r>
        <w:rPr>
          <w:rFonts w:ascii="仿宋" w:eastAsia="仿宋" w:hAnsi="仿宋" w:hint="eastAsia"/>
          <w:sz w:val="32"/>
          <w:szCs w:val="32"/>
        </w:rPr>
        <w:t>万元，其中：一般公共预算收入</w:t>
      </w:r>
      <w:r>
        <w:rPr>
          <w:rFonts w:ascii="仿宋" w:eastAsia="仿宋" w:hAnsi="仿宋"/>
          <w:sz w:val="32"/>
          <w:szCs w:val="32"/>
        </w:rPr>
        <w:t>265.45</w:t>
      </w:r>
      <w:r>
        <w:rPr>
          <w:rFonts w:ascii="仿宋" w:eastAsia="仿宋" w:hAnsi="仿宋" w:hint="eastAsia"/>
          <w:sz w:val="32"/>
          <w:szCs w:val="32"/>
        </w:rPr>
        <w:t>万元，基金预算收入</w:t>
      </w:r>
      <w:r>
        <w:rPr>
          <w:rFonts w:ascii="仿宋" w:eastAsia="仿宋" w:hAnsi="仿宋"/>
          <w:sz w:val="32"/>
          <w:szCs w:val="32"/>
        </w:rPr>
        <w:t>0</w:t>
      </w:r>
      <w:r>
        <w:rPr>
          <w:rFonts w:ascii="仿宋" w:eastAsia="仿宋" w:hAnsi="仿宋" w:hint="eastAsia"/>
          <w:sz w:val="32"/>
          <w:szCs w:val="32"/>
        </w:rPr>
        <w:t>万元，财政专户核拨收入</w:t>
      </w:r>
      <w:r>
        <w:rPr>
          <w:rFonts w:ascii="仿宋" w:eastAsia="仿宋" w:hAnsi="仿宋"/>
          <w:sz w:val="32"/>
          <w:szCs w:val="32"/>
        </w:rPr>
        <w:t>0</w:t>
      </w:r>
      <w:r>
        <w:rPr>
          <w:rFonts w:ascii="仿宋" w:eastAsia="仿宋" w:hAnsi="仿宋" w:hint="eastAsia"/>
          <w:sz w:val="32"/>
          <w:szCs w:val="32"/>
        </w:rPr>
        <w:t>万元，其他来源收入</w:t>
      </w:r>
      <w:r>
        <w:rPr>
          <w:rFonts w:ascii="仿宋" w:eastAsia="仿宋" w:hAnsi="仿宋"/>
          <w:sz w:val="32"/>
          <w:szCs w:val="32"/>
        </w:rPr>
        <w:t>0</w:t>
      </w:r>
      <w:r>
        <w:rPr>
          <w:rFonts w:ascii="仿宋" w:eastAsia="仿宋" w:hAnsi="仿宋" w:hint="eastAsia"/>
          <w:sz w:val="32"/>
          <w:szCs w:val="32"/>
        </w:rPr>
        <w:t>万元。</w:t>
      </w:r>
    </w:p>
    <w:p w:rsidR="00235765" w:rsidRDefault="00CF7A10">
      <w:pPr>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、支出说明</w:t>
      </w:r>
    </w:p>
    <w:p w:rsidR="00235765" w:rsidRDefault="00CF7A10">
      <w:pPr>
        <w:ind w:firstLine="640"/>
        <w:rPr>
          <w:rFonts w:ascii="仿宋" w:eastAsia="仿宋" w:hAnsi="仿宋"/>
          <w:sz w:val="32"/>
          <w:szCs w:val="32"/>
        </w:rPr>
      </w:pPr>
      <w:r>
        <w:rPr>
          <w:rFonts w:ascii="仿宋" w:eastAsia="仿宋" w:hAnsi="仿宋" w:hint="eastAsia"/>
          <w:sz w:val="32"/>
          <w:szCs w:val="32"/>
        </w:rPr>
        <w:t>收支预算总表支出栏、基本支出表、项目支出表按经济分类和支出功能分类科目编制，反映河北省威县供销合作社联合社年度部门预算中支出预算的总体情况。</w:t>
      </w:r>
      <w:r>
        <w:rPr>
          <w:rFonts w:ascii="仿宋" w:eastAsia="仿宋" w:hAnsi="仿宋"/>
          <w:sz w:val="32"/>
          <w:szCs w:val="32"/>
        </w:rPr>
        <w:t>2019</w:t>
      </w:r>
      <w:r>
        <w:rPr>
          <w:rFonts w:ascii="仿宋" w:eastAsia="仿宋" w:hAnsi="仿宋" w:hint="eastAsia"/>
          <w:sz w:val="32"/>
          <w:szCs w:val="32"/>
        </w:rPr>
        <w:t>年支出预算</w:t>
      </w:r>
      <w:r>
        <w:rPr>
          <w:rFonts w:ascii="仿宋" w:eastAsia="仿宋" w:hAnsi="仿宋"/>
          <w:sz w:val="32"/>
          <w:szCs w:val="32"/>
        </w:rPr>
        <w:t>265.45</w:t>
      </w:r>
      <w:r>
        <w:rPr>
          <w:rFonts w:ascii="仿宋" w:eastAsia="仿宋" w:hAnsi="仿宋" w:hint="eastAsia"/>
          <w:sz w:val="32"/>
          <w:szCs w:val="32"/>
        </w:rPr>
        <w:t>万元，其中基本支出</w:t>
      </w:r>
      <w:r>
        <w:rPr>
          <w:rFonts w:ascii="仿宋" w:eastAsia="仿宋" w:hAnsi="仿宋"/>
          <w:sz w:val="32"/>
          <w:szCs w:val="32"/>
        </w:rPr>
        <w:t>234.45</w:t>
      </w:r>
      <w:r>
        <w:rPr>
          <w:rFonts w:ascii="仿宋" w:eastAsia="仿宋" w:hAnsi="仿宋" w:hint="eastAsia"/>
          <w:sz w:val="32"/>
          <w:szCs w:val="32"/>
        </w:rPr>
        <w:t>万元，包括人员经费</w:t>
      </w:r>
      <w:r>
        <w:rPr>
          <w:rFonts w:ascii="仿宋" w:eastAsia="仿宋" w:hAnsi="仿宋"/>
          <w:sz w:val="32"/>
          <w:szCs w:val="32"/>
        </w:rPr>
        <w:t>226.47</w:t>
      </w:r>
      <w:r>
        <w:rPr>
          <w:rFonts w:ascii="仿宋" w:eastAsia="仿宋" w:hAnsi="仿宋" w:hint="eastAsia"/>
          <w:sz w:val="32"/>
          <w:szCs w:val="32"/>
        </w:rPr>
        <w:t>万元和日常公用经费</w:t>
      </w:r>
      <w:r>
        <w:rPr>
          <w:rFonts w:ascii="仿宋" w:eastAsia="仿宋" w:hAnsi="仿宋"/>
          <w:sz w:val="32"/>
          <w:szCs w:val="32"/>
        </w:rPr>
        <w:t>7.98</w:t>
      </w:r>
      <w:r>
        <w:rPr>
          <w:rFonts w:ascii="仿宋" w:eastAsia="仿宋" w:hAnsi="仿宋" w:hint="eastAsia"/>
          <w:sz w:val="32"/>
          <w:szCs w:val="32"/>
        </w:rPr>
        <w:t>万元；项目支出</w:t>
      </w:r>
      <w:r>
        <w:rPr>
          <w:rFonts w:ascii="仿宋" w:eastAsia="仿宋" w:hAnsi="仿宋"/>
          <w:sz w:val="32"/>
          <w:szCs w:val="32"/>
        </w:rPr>
        <w:t>31</w:t>
      </w:r>
      <w:r>
        <w:rPr>
          <w:rFonts w:ascii="仿宋" w:eastAsia="仿宋" w:hAnsi="仿宋" w:hint="eastAsia"/>
          <w:sz w:val="32"/>
          <w:szCs w:val="32"/>
        </w:rPr>
        <w:t>万元，主</w:t>
      </w:r>
      <w:r>
        <w:rPr>
          <w:rFonts w:ascii="仿宋" w:eastAsia="仿宋" w:hAnsi="仿宋" w:hint="eastAsia"/>
          <w:sz w:val="32"/>
          <w:szCs w:val="32"/>
        </w:rPr>
        <w:lastRenderedPageBreak/>
        <w:t>要为供销社服务中心经费、盐业体制改革工作经费、土产公司租赁费等；其他支出</w:t>
      </w:r>
      <w:r>
        <w:rPr>
          <w:rFonts w:ascii="仿宋" w:eastAsia="仿宋" w:hAnsi="仿宋"/>
          <w:sz w:val="32"/>
          <w:szCs w:val="32"/>
        </w:rPr>
        <w:t>0</w:t>
      </w:r>
      <w:r>
        <w:rPr>
          <w:rFonts w:ascii="仿宋" w:eastAsia="仿宋" w:hAnsi="仿宋" w:hint="eastAsia"/>
          <w:sz w:val="32"/>
          <w:szCs w:val="32"/>
        </w:rPr>
        <w:t>万元。</w:t>
      </w:r>
    </w:p>
    <w:p w:rsidR="00235765" w:rsidRDefault="00CF7A10">
      <w:pPr>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、比上年增减情况</w:t>
      </w:r>
    </w:p>
    <w:p w:rsidR="00235765" w:rsidRDefault="00CF7A10">
      <w:pPr>
        <w:ind w:firstLine="640"/>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年预算收支安排</w:t>
      </w:r>
      <w:r>
        <w:rPr>
          <w:rFonts w:ascii="仿宋" w:eastAsia="仿宋" w:hAnsi="仿宋"/>
          <w:sz w:val="32"/>
          <w:szCs w:val="32"/>
        </w:rPr>
        <w:t>265.45</w:t>
      </w:r>
      <w:r>
        <w:rPr>
          <w:rFonts w:ascii="仿宋" w:eastAsia="仿宋" w:hAnsi="仿宋" w:hint="eastAsia"/>
          <w:sz w:val="32"/>
          <w:szCs w:val="32"/>
        </w:rPr>
        <w:t>万元，较</w:t>
      </w:r>
      <w:r>
        <w:rPr>
          <w:rFonts w:ascii="仿宋" w:eastAsia="仿宋" w:hAnsi="仿宋"/>
          <w:sz w:val="32"/>
          <w:szCs w:val="32"/>
        </w:rPr>
        <w:t>2018</w:t>
      </w:r>
      <w:r>
        <w:rPr>
          <w:rFonts w:ascii="仿宋" w:eastAsia="仿宋" w:hAnsi="仿宋" w:hint="eastAsia"/>
          <w:sz w:val="32"/>
          <w:szCs w:val="32"/>
        </w:rPr>
        <w:t>年预算</w:t>
      </w:r>
      <w:r>
        <w:rPr>
          <w:rFonts w:ascii="仿宋" w:eastAsia="仿宋" w:hAnsi="仿宋"/>
          <w:sz w:val="32"/>
          <w:szCs w:val="32"/>
        </w:rPr>
        <w:t>267.53</w:t>
      </w:r>
      <w:r>
        <w:rPr>
          <w:rFonts w:ascii="仿宋" w:eastAsia="仿宋" w:hAnsi="仿宋" w:hint="eastAsia"/>
          <w:sz w:val="32"/>
          <w:szCs w:val="32"/>
        </w:rPr>
        <w:t>万元减少</w:t>
      </w:r>
      <w:r>
        <w:rPr>
          <w:rFonts w:ascii="仿宋" w:eastAsia="仿宋" w:hAnsi="仿宋"/>
          <w:sz w:val="32"/>
          <w:szCs w:val="32"/>
        </w:rPr>
        <w:t>2.08</w:t>
      </w:r>
      <w:r>
        <w:rPr>
          <w:rFonts w:ascii="仿宋" w:eastAsia="仿宋" w:hAnsi="仿宋" w:hint="eastAsia"/>
          <w:sz w:val="32"/>
          <w:szCs w:val="32"/>
        </w:rPr>
        <w:t>万元，其中：基本支出增加</w:t>
      </w:r>
      <w:r>
        <w:rPr>
          <w:rFonts w:ascii="仿宋" w:eastAsia="仿宋" w:hAnsi="仿宋"/>
          <w:sz w:val="32"/>
          <w:szCs w:val="32"/>
        </w:rPr>
        <w:t>12.92</w:t>
      </w:r>
      <w:r>
        <w:rPr>
          <w:rFonts w:ascii="仿宋" w:eastAsia="仿宋" w:hAnsi="仿宋" w:hint="eastAsia"/>
          <w:sz w:val="32"/>
          <w:szCs w:val="32"/>
        </w:rPr>
        <w:t>万元，主要为工资改革增加人员经费支出；项目支出减少</w:t>
      </w:r>
      <w:r>
        <w:rPr>
          <w:rFonts w:ascii="仿宋" w:eastAsia="仿宋" w:hAnsi="仿宋"/>
          <w:sz w:val="32"/>
          <w:szCs w:val="32"/>
        </w:rPr>
        <w:t>15</w:t>
      </w:r>
      <w:r>
        <w:rPr>
          <w:rFonts w:ascii="仿宋" w:eastAsia="仿宋" w:hAnsi="仿宋" w:hint="eastAsia"/>
          <w:sz w:val="32"/>
          <w:szCs w:val="32"/>
        </w:rPr>
        <w:t>万元，主要为本年度减少电子炮设备购置费；其他支出</w:t>
      </w:r>
      <w:r>
        <w:rPr>
          <w:rFonts w:ascii="仿宋" w:eastAsia="仿宋" w:hAnsi="仿宋"/>
          <w:sz w:val="32"/>
          <w:szCs w:val="32"/>
        </w:rPr>
        <w:t>0</w:t>
      </w:r>
      <w:r>
        <w:rPr>
          <w:rFonts w:ascii="仿宋" w:eastAsia="仿宋" w:hAnsi="仿宋" w:hint="eastAsia"/>
          <w:sz w:val="32"/>
          <w:szCs w:val="32"/>
        </w:rPr>
        <w:t>万元。</w:t>
      </w:r>
    </w:p>
    <w:p w:rsidR="00235765" w:rsidRDefault="00CF7A10">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三、机关运行经费安排情况</w:t>
      </w:r>
    </w:p>
    <w:p w:rsidR="00D02E3F" w:rsidRDefault="00D02E3F" w:rsidP="00D02E3F">
      <w:pPr>
        <w:autoSpaceDE w:val="0"/>
        <w:autoSpaceDN w:val="0"/>
        <w:adjustRightInd w:val="0"/>
        <w:ind w:left="198" w:firstLineChars="200" w:firstLine="640"/>
        <w:jc w:val="left"/>
        <w:rPr>
          <w:rFonts w:ascii="Times New Roman" w:eastAsia="仿宋" w:hAnsi="Times New Roman"/>
          <w:sz w:val="32"/>
          <w:szCs w:val="32"/>
        </w:rPr>
      </w:pPr>
      <w:r>
        <w:rPr>
          <w:rFonts w:ascii="Times New Roman" w:eastAsia="仿宋" w:hAnsi="Times New Roman" w:hint="eastAsia"/>
          <w:sz w:val="32"/>
          <w:szCs w:val="32"/>
        </w:rPr>
        <w:t>20</w:t>
      </w:r>
      <w:r w:rsidR="00BE7FEB">
        <w:rPr>
          <w:rFonts w:ascii="Times New Roman" w:eastAsia="仿宋" w:hAnsi="Times New Roman" w:hint="eastAsia"/>
          <w:sz w:val="32"/>
          <w:szCs w:val="32"/>
        </w:rPr>
        <w:t>19</w:t>
      </w:r>
      <w:r>
        <w:rPr>
          <w:rFonts w:ascii="Times New Roman" w:eastAsia="仿宋" w:hAnsi="Times New Roman" w:hint="eastAsia"/>
          <w:sz w:val="32"/>
          <w:szCs w:val="32"/>
        </w:rPr>
        <w:t>年，我部门机关运行经费共计安排</w:t>
      </w:r>
      <w:r>
        <w:rPr>
          <w:rFonts w:ascii="Times New Roman" w:eastAsia="仿宋" w:hAnsi="Times New Roman" w:hint="eastAsia"/>
          <w:sz w:val="32"/>
          <w:szCs w:val="32"/>
        </w:rPr>
        <w:t>7.98</w:t>
      </w:r>
      <w:r>
        <w:rPr>
          <w:rFonts w:ascii="Times New Roman" w:eastAsia="仿宋" w:hAnsi="Times New Roman" w:hint="eastAsia"/>
          <w:sz w:val="32"/>
          <w:szCs w:val="32"/>
        </w:rPr>
        <w:t>万元，主要用于保证机关正常运转的办公费及电费、水费、公务接待费、其他交通费。</w:t>
      </w:r>
      <w:r w:rsidR="00C26307">
        <w:rPr>
          <w:rFonts w:ascii="Times New Roman" w:eastAsia="仿宋" w:hAnsi="Times New Roman" w:hint="eastAsia"/>
          <w:sz w:val="32"/>
          <w:szCs w:val="32"/>
        </w:rPr>
        <w:t>比上年预算</w:t>
      </w:r>
      <w:r w:rsidR="00C26307">
        <w:rPr>
          <w:rFonts w:ascii="Times New Roman" w:eastAsia="仿宋" w:hAnsi="Times New Roman" w:hint="eastAsia"/>
          <w:sz w:val="32"/>
          <w:szCs w:val="32"/>
        </w:rPr>
        <w:t>9.96</w:t>
      </w:r>
      <w:r w:rsidR="00C26307">
        <w:rPr>
          <w:rFonts w:ascii="Times New Roman" w:eastAsia="仿宋" w:hAnsi="Times New Roman" w:hint="eastAsia"/>
          <w:sz w:val="32"/>
          <w:szCs w:val="32"/>
        </w:rPr>
        <w:t>万元减少</w:t>
      </w:r>
      <w:r w:rsidR="00C26307">
        <w:rPr>
          <w:rFonts w:ascii="Times New Roman" w:eastAsia="仿宋" w:hAnsi="Times New Roman" w:hint="eastAsia"/>
          <w:sz w:val="32"/>
          <w:szCs w:val="32"/>
        </w:rPr>
        <w:t>1.98</w:t>
      </w:r>
      <w:r w:rsidR="00C26307">
        <w:rPr>
          <w:rFonts w:ascii="Times New Roman" w:eastAsia="仿宋" w:hAnsi="Times New Roman" w:hint="eastAsia"/>
          <w:sz w:val="32"/>
          <w:szCs w:val="32"/>
        </w:rPr>
        <w:t>万元，主要原因为本年度因退休原因在职人员较上年减少，因此机关支行经费较上年减少。</w:t>
      </w:r>
    </w:p>
    <w:p w:rsidR="00235765" w:rsidRDefault="00CF7A10">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四、财政拨款“三公”经费预算情况及增减变化原因</w:t>
      </w:r>
    </w:p>
    <w:p w:rsidR="00235765" w:rsidRDefault="00CF7A10">
      <w:pPr>
        <w:autoSpaceDE w:val="0"/>
        <w:autoSpaceDN w:val="0"/>
        <w:adjustRightInd w:val="0"/>
        <w:ind w:left="198" w:firstLineChars="200" w:firstLine="640"/>
        <w:jc w:val="left"/>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年，我</w:t>
      </w:r>
      <w:r>
        <w:rPr>
          <w:rFonts w:ascii="仿宋" w:eastAsia="仿宋" w:hAnsi="仿宋" w:cs="宋体" w:hint="eastAsia"/>
          <w:sz w:val="32"/>
          <w:szCs w:val="32"/>
        </w:rPr>
        <w:t>单位</w:t>
      </w:r>
      <w:r>
        <w:rPr>
          <w:rFonts w:ascii="仿宋" w:eastAsia="仿宋" w:hAnsi="仿宋" w:hint="eastAsia"/>
          <w:sz w:val="32"/>
          <w:szCs w:val="32"/>
        </w:rPr>
        <w:t>拨款</w:t>
      </w:r>
      <w:r>
        <w:rPr>
          <w:rFonts w:ascii="仿宋" w:eastAsia="仿宋" w:hAnsi="仿宋"/>
          <w:sz w:val="32"/>
          <w:szCs w:val="32"/>
        </w:rPr>
        <w:t>“</w:t>
      </w:r>
      <w:r>
        <w:rPr>
          <w:rFonts w:ascii="仿宋" w:eastAsia="仿宋" w:hAnsi="仿宋" w:hint="eastAsia"/>
          <w:sz w:val="32"/>
          <w:szCs w:val="32"/>
        </w:rPr>
        <w:t>三公</w:t>
      </w:r>
      <w:r>
        <w:rPr>
          <w:rFonts w:ascii="仿宋" w:eastAsia="仿宋" w:hAnsi="仿宋"/>
          <w:sz w:val="32"/>
          <w:szCs w:val="32"/>
        </w:rPr>
        <w:t>”</w:t>
      </w:r>
      <w:r>
        <w:rPr>
          <w:rFonts w:ascii="仿宋" w:eastAsia="仿宋" w:hAnsi="仿宋" w:hint="eastAsia"/>
          <w:sz w:val="32"/>
          <w:szCs w:val="32"/>
        </w:rPr>
        <w:t>经费预算安排</w:t>
      </w:r>
      <w:r>
        <w:rPr>
          <w:rFonts w:ascii="仿宋" w:eastAsia="仿宋" w:hAnsi="仿宋"/>
          <w:sz w:val="32"/>
          <w:szCs w:val="32"/>
        </w:rPr>
        <w:t>5.9</w:t>
      </w:r>
      <w:r>
        <w:rPr>
          <w:rFonts w:ascii="仿宋" w:eastAsia="仿宋" w:hAnsi="仿宋" w:hint="eastAsia"/>
          <w:sz w:val="32"/>
          <w:szCs w:val="32"/>
        </w:rPr>
        <w:t>万元，其中公务用车购置及运维费</w:t>
      </w:r>
      <w:r>
        <w:rPr>
          <w:rFonts w:ascii="仿宋" w:eastAsia="仿宋" w:hAnsi="仿宋"/>
          <w:sz w:val="32"/>
          <w:szCs w:val="32"/>
        </w:rPr>
        <w:t>2.2</w:t>
      </w:r>
      <w:r>
        <w:rPr>
          <w:rFonts w:ascii="仿宋" w:eastAsia="仿宋" w:hAnsi="仿宋" w:hint="eastAsia"/>
          <w:sz w:val="32"/>
          <w:szCs w:val="32"/>
        </w:rPr>
        <w:t>万元（其中：公务用车购置费为</w:t>
      </w:r>
      <w:r>
        <w:rPr>
          <w:rFonts w:ascii="仿宋" w:eastAsia="仿宋" w:hAnsi="仿宋"/>
          <w:sz w:val="32"/>
          <w:szCs w:val="32"/>
        </w:rPr>
        <w:t>0</w:t>
      </w:r>
      <w:r>
        <w:rPr>
          <w:rFonts w:ascii="仿宋" w:eastAsia="仿宋" w:hAnsi="仿宋" w:hint="eastAsia"/>
          <w:sz w:val="32"/>
          <w:szCs w:val="32"/>
        </w:rPr>
        <w:t>万元，公务用车运维费</w:t>
      </w:r>
      <w:r>
        <w:rPr>
          <w:rFonts w:ascii="仿宋" w:eastAsia="仿宋" w:hAnsi="仿宋"/>
          <w:sz w:val="32"/>
          <w:szCs w:val="32"/>
        </w:rPr>
        <w:t>2.2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；公务接待费</w:t>
      </w:r>
      <w:r>
        <w:rPr>
          <w:rFonts w:ascii="仿宋" w:eastAsia="仿宋" w:hAnsi="仿宋"/>
          <w:sz w:val="32"/>
          <w:szCs w:val="32"/>
        </w:rPr>
        <w:t>3.7</w:t>
      </w:r>
      <w:r>
        <w:rPr>
          <w:rFonts w:ascii="仿宋" w:eastAsia="仿宋" w:hAnsi="仿宋" w:hint="eastAsia"/>
          <w:sz w:val="32"/>
          <w:szCs w:val="32"/>
        </w:rPr>
        <w:t>万元。</w:t>
      </w:r>
      <w:r>
        <w:rPr>
          <w:rFonts w:ascii="仿宋" w:eastAsia="仿宋" w:hAnsi="仿宋"/>
          <w:sz w:val="32"/>
          <w:szCs w:val="32"/>
        </w:rPr>
        <w:t>2019</w:t>
      </w:r>
      <w:r>
        <w:rPr>
          <w:rFonts w:ascii="仿宋" w:eastAsia="仿宋" w:hAnsi="仿宋" w:hint="eastAsia"/>
          <w:sz w:val="32"/>
          <w:szCs w:val="32"/>
        </w:rPr>
        <w:t>年预算中</w:t>
      </w:r>
      <w:r>
        <w:rPr>
          <w:rFonts w:ascii="仿宋" w:eastAsia="仿宋" w:hAnsi="仿宋" w:cs="宋体" w:hint="eastAsia"/>
          <w:sz w:val="32"/>
          <w:szCs w:val="32"/>
        </w:rPr>
        <w:t>包括项目支出三公经费</w:t>
      </w:r>
      <w:r>
        <w:rPr>
          <w:rFonts w:ascii="仿宋" w:eastAsia="仿宋" w:hAnsi="仿宋" w:cs="宋体"/>
          <w:sz w:val="32"/>
          <w:szCs w:val="32"/>
        </w:rPr>
        <w:t>3.5</w:t>
      </w:r>
      <w:r>
        <w:rPr>
          <w:rFonts w:ascii="仿宋" w:eastAsia="仿宋" w:hAnsi="仿宋" w:cs="宋体" w:hint="eastAsia"/>
          <w:sz w:val="32"/>
          <w:szCs w:val="32"/>
        </w:rPr>
        <w:t>万元，所以本年度日常公用经费中的三公经费</w:t>
      </w:r>
      <w:r>
        <w:rPr>
          <w:rFonts w:ascii="仿宋" w:eastAsia="仿宋" w:hAnsi="仿宋" w:cs="宋体"/>
          <w:sz w:val="32"/>
          <w:szCs w:val="32"/>
        </w:rPr>
        <w:t>2.4</w:t>
      </w:r>
      <w:r>
        <w:rPr>
          <w:rFonts w:ascii="仿宋" w:eastAsia="仿宋" w:hAnsi="仿宋" w:cs="宋体" w:hint="eastAsia"/>
          <w:sz w:val="32"/>
          <w:szCs w:val="32"/>
        </w:rPr>
        <w:t>万元</w:t>
      </w:r>
      <w:r>
        <w:rPr>
          <w:rFonts w:ascii="仿宋" w:eastAsia="仿宋" w:hAnsi="仿宋" w:hint="eastAsia"/>
          <w:sz w:val="32"/>
          <w:szCs w:val="32"/>
        </w:rPr>
        <w:t>与</w:t>
      </w:r>
      <w:r>
        <w:rPr>
          <w:rFonts w:ascii="仿宋" w:eastAsia="仿宋" w:hAnsi="仿宋"/>
          <w:sz w:val="32"/>
          <w:szCs w:val="32"/>
        </w:rPr>
        <w:t>2018</w:t>
      </w:r>
      <w:r>
        <w:rPr>
          <w:rFonts w:ascii="仿宋" w:eastAsia="仿宋" w:hAnsi="仿宋" w:hint="eastAsia"/>
          <w:sz w:val="32"/>
          <w:szCs w:val="32"/>
        </w:rPr>
        <w:t>年相比</w:t>
      </w:r>
      <w:r>
        <w:rPr>
          <w:rFonts w:ascii="仿宋" w:eastAsia="仿宋" w:hAnsi="仿宋" w:cs="宋体" w:hint="eastAsia"/>
          <w:sz w:val="32"/>
          <w:szCs w:val="32"/>
        </w:rPr>
        <w:t>无增减变</w:t>
      </w:r>
      <w:r>
        <w:rPr>
          <w:rFonts w:ascii="仿宋" w:eastAsia="仿宋" w:hAnsi="仿宋" w:cs="宋体" w:hint="eastAsia"/>
          <w:sz w:val="32"/>
          <w:szCs w:val="32"/>
        </w:rPr>
        <w:lastRenderedPageBreak/>
        <w:t>化。</w:t>
      </w:r>
    </w:p>
    <w:p w:rsidR="00235765" w:rsidRDefault="00CF7A10">
      <w:pPr>
        <w:ind w:firstLine="640"/>
        <w:rPr>
          <w:rFonts w:ascii="黑体" w:eastAsia="黑体" w:hAnsi="黑体"/>
          <w:sz w:val="32"/>
          <w:szCs w:val="32"/>
        </w:rPr>
      </w:pPr>
      <w:r>
        <w:rPr>
          <w:rFonts w:ascii="黑体" w:eastAsia="黑体" w:hAnsi="黑体" w:hint="eastAsia"/>
          <w:sz w:val="32"/>
          <w:szCs w:val="32"/>
        </w:rPr>
        <w:t>五、绩效预算信息</w:t>
      </w:r>
    </w:p>
    <w:p w:rsidR="00235765" w:rsidRDefault="00CF7A10">
      <w:pPr>
        <w:ind w:firstLineChars="200" w:firstLine="643"/>
        <w:jc w:val="left"/>
        <w:rPr>
          <w:rFonts w:ascii="仿宋" w:eastAsia="仿宋" w:hAnsi="仿宋"/>
          <w:b/>
          <w:sz w:val="32"/>
          <w:szCs w:val="32"/>
        </w:rPr>
      </w:pPr>
      <w:bookmarkStart w:id="1" w:name="_Toc471398463"/>
      <w:r>
        <w:rPr>
          <w:rFonts w:ascii="仿宋" w:eastAsia="仿宋" w:hAnsi="仿宋" w:hint="eastAsia"/>
          <w:b/>
          <w:sz w:val="32"/>
          <w:szCs w:val="32"/>
        </w:rPr>
        <w:t>总体绩效目标：</w:t>
      </w:r>
    </w:p>
    <w:p w:rsidR="00235765" w:rsidRDefault="00CF7A10">
      <w:pPr>
        <w:ind w:firstLine="600"/>
        <w:rPr>
          <w:rFonts w:ascii="仿宋" w:eastAsia="仿宋" w:hAnsi="仿宋" w:cs="宋体"/>
          <w:sz w:val="30"/>
          <w:szCs w:val="30"/>
        </w:rPr>
      </w:pPr>
      <w:r>
        <w:rPr>
          <w:rFonts w:ascii="仿宋" w:eastAsia="仿宋" w:hAnsi="仿宋" w:hint="eastAsia"/>
          <w:sz w:val="32"/>
          <w:szCs w:val="32"/>
        </w:rPr>
        <w:t>根据威县人民政府政字</w:t>
      </w:r>
      <w:r>
        <w:rPr>
          <w:rFonts w:ascii="仿宋" w:eastAsia="仿宋" w:hAnsi="仿宋"/>
          <w:sz w:val="32"/>
          <w:szCs w:val="32"/>
        </w:rPr>
        <w:t>[2014]219</w:t>
      </w:r>
      <w:r>
        <w:rPr>
          <w:rFonts w:ascii="仿宋" w:eastAsia="仿宋" w:hAnsi="仿宋" w:hint="eastAsia"/>
          <w:sz w:val="32"/>
          <w:szCs w:val="32"/>
        </w:rPr>
        <w:t>号《关于印发威县深化供销合作社综合改革构建农业社会化服务体系实施方案的通知》要求，深化供销社综合改革，构建合作社联合社体系，社会化服务体系、现代流通网络体系、农村合作社金融体系等“四位一体”新型供销合作社体制架构。</w:t>
      </w:r>
      <w:r>
        <w:rPr>
          <w:rFonts w:ascii="仿宋" w:eastAsia="仿宋" w:hAnsi="仿宋" w:cs="宋体" w:hint="eastAsia"/>
          <w:sz w:val="30"/>
          <w:szCs w:val="30"/>
        </w:rPr>
        <w:t>健全农村社会化服务体系，解决为农民服务什么的问题，建立现代化农业服务中收，和涉农龙头企业合作建设现代化农业服务中心，开展农资供应、物流仓储、产品购销、农业保险、小额金融、农机租赁、土地流转、科技信息八大服务。完善推广乡村</w:t>
      </w:r>
      <w:r>
        <w:rPr>
          <w:rFonts w:ascii="仿宋" w:eastAsia="仿宋" w:hAnsi="仿宋" w:cs="宋体"/>
          <w:sz w:val="30"/>
          <w:szCs w:val="30"/>
        </w:rPr>
        <w:t>365</w:t>
      </w:r>
      <w:r>
        <w:rPr>
          <w:rFonts w:ascii="仿宋" w:eastAsia="仿宋" w:hAnsi="仿宋" w:cs="宋体" w:hint="eastAsia"/>
          <w:sz w:val="30"/>
          <w:szCs w:val="30"/>
        </w:rPr>
        <w:t>和农技</w:t>
      </w:r>
      <w:r>
        <w:rPr>
          <w:rFonts w:ascii="仿宋" w:eastAsia="仿宋" w:hAnsi="仿宋" w:cs="宋体"/>
          <w:sz w:val="30"/>
          <w:szCs w:val="30"/>
        </w:rPr>
        <w:t>110</w:t>
      </w:r>
      <w:r>
        <w:rPr>
          <w:rFonts w:ascii="仿宋" w:eastAsia="仿宋" w:hAnsi="仿宋" w:cs="宋体" w:hint="eastAsia"/>
          <w:sz w:val="30"/>
          <w:szCs w:val="30"/>
        </w:rPr>
        <w:t>服务模式，乡村</w:t>
      </w:r>
      <w:r>
        <w:rPr>
          <w:rFonts w:ascii="仿宋" w:eastAsia="仿宋" w:hAnsi="仿宋" w:cs="宋体"/>
          <w:sz w:val="30"/>
          <w:szCs w:val="30"/>
        </w:rPr>
        <w:t>365</w:t>
      </w:r>
      <w:r>
        <w:rPr>
          <w:rFonts w:ascii="仿宋" w:eastAsia="仿宋" w:hAnsi="仿宋" w:cs="宋体" w:hint="eastAsia"/>
          <w:sz w:val="30"/>
          <w:szCs w:val="30"/>
        </w:rPr>
        <w:t>覆盖全县所有行政村。创新土地托管模式，县社与涉农龙头企业联合成立农业开发有限公司，并与农民合作社联合，探索开展订单式、菜单式、流转式、组织式功土地托管模式。健全农村现代流通网络体系，解决购销难的问题。建设公益性农产品批发市场，新建公益性农产品批发市场由县社进行管理，开展农产品质量检测，发展冷链物流，推进农超对接和产销衔接，为我县特色农业发展提供强力支撑。加快“农超建设”，分别在固献、梨元屯等五个乡镇建立农超，在</w:t>
      </w:r>
      <w:r>
        <w:rPr>
          <w:rFonts w:ascii="仿宋" w:eastAsia="仿宋" w:hAnsi="仿宋" w:cs="宋体"/>
          <w:sz w:val="30"/>
          <w:szCs w:val="30"/>
        </w:rPr>
        <w:t>5000</w:t>
      </w:r>
      <w:r>
        <w:rPr>
          <w:rFonts w:ascii="仿宋" w:eastAsia="仿宋" w:hAnsi="仿宋" w:cs="宋体" w:hint="eastAsia"/>
          <w:sz w:val="30"/>
          <w:szCs w:val="30"/>
        </w:rPr>
        <w:t>人以</w:t>
      </w:r>
      <w:r>
        <w:rPr>
          <w:rFonts w:ascii="仿宋" w:eastAsia="仿宋" w:hAnsi="仿宋" w:cs="宋体" w:hint="eastAsia"/>
          <w:sz w:val="30"/>
          <w:szCs w:val="30"/>
        </w:rPr>
        <w:lastRenderedPageBreak/>
        <w:t>上的自然村建立农超，全县供销社农超达到</w:t>
      </w:r>
      <w:r>
        <w:rPr>
          <w:rFonts w:ascii="仿宋" w:eastAsia="仿宋" w:hAnsi="仿宋" w:cs="宋体"/>
          <w:sz w:val="30"/>
          <w:szCs w:val="30"/>
        </w:rPr>
        <w:t>30</w:t>
      </w:r>
      <w:r>
        <w:rPr>
          <w:rFonts w:ascii="仿宋" w:eastAsia="仿宋" w:hAnsi="仿宋" w:cs="宋体" w:hint="eastAsia"/>
          <w:sz w:val="30"/>
          <w:szCs w:val="30"/>
        </w:rPr>
        <w:t>家以上。健全盐业和烟花爆笑经营网络，加强盐政管理，建立县级食盐储备制度，保证食盐供应，进一步整顿烟花爆笑零售网点，合理布局，净化市场，打非治违，确保人民群众生命财产安全。</w:t>
      </w:r>
    </w:p>
    <w:p w:rsidR="00235765" w:rsidRDefault="00CF7A10">
      <w:pPr>
        <w:spacing w:line="500" w:lineRule="exact"/>
        <w:ind w:firstLine="560"/>
        <w:rPr>
          <w:rFonts w:ascii="仿宋" w:eastAsia="仿宋" w:hAnsi="仿宋"/>
          <w:b/>
          <w:sz w:val="32"/>
          <w:szCs w:val="32"/>
        </w:rPr>
      </w:pPr>
      <w:r>
        <w:rPr>
          <w:rFonts w:ascii="仿宋" w:eastAsia="仿宋" w:hAnsi="仿宋"/>
          <w:b/>
          <w:sz w:val="32"/>
          <w:szCs w:val="32"/>
        </w:rPr>
        <w:t>部门职责分类绩效目标说明</w:t>
      </w:r>
    </w:p>
    <w:p w:rsidR="00235765" w:rsidRDefault="00CF7A10">
      <w:pPr>
        <w:spacing w:line="500" w:lineRule="exact"/>
        <w:ind w:firstLine="560"/>
        <w:rPr>
          <w:rFonts w:ascii="仿宋" w:eastAsia="仿宋" w:hAnsi="仿宋"/>
          <w:sz w:val="32"/>
          <w:szCs w:val="32"/>
        </w:rPr>
      </w:pPr>
      <w:r>
        <w:rPr>
          <w:rFonts w:ascii="仿宋" w:eastAsia="仿宋" w:hAnsi="仿宋"/>
          <w:sz w:val="32"/>
          <w:szCs w:val="32"/>
        </w:rPr>
        <w:t>摸清底数搞好培训，广泛开展宣传发动，抓好典型，树立样板，立即着手农村金融改革试点，加快发展现代农业服务体系，制定工作计划，加快推进改革进程。构建并运营农业现代化服务中心，发展农民金融合作组织，深化供销合作社改革筹建农民联合总社，探索推广土地托管积极稳妥开展农村资金互助合作试点。新增农超20家以上，组建17个乡（镇、区）农民合作社联合社，每个乡镇选择1-2家合作社土地托管试点，引导资金聚集用途合法化。贯彻落实国务院印发盐业体制改革方案的通知，进一步建立健全盐业监管体系，有效维护盐业市场秩序，努力创造良好市场环境。</w:t>
      </w:r>
    </w:p>
    <w:p w:rsidR="00235765" w:rsidRDefault="00235765">
      <w:pPr>
        <w:ind w:firstLine="600"/>
        <w:rPr>
          <w:rFonts w:ascii="仿宋" w:eastAsia="仿宋" w:hAnsi="仿宋" w:cs="宋体"/>
          <w:sz w:val="30"/>
          <w:szCs w:val="30"/>
        </w:rPr>
      </w:pPr>
    </w:p>
    <w:p w:rsidR="00235765" w:rsidRDefault="00CF7A10">
      <w:pPr>
        <w:ind w:firstLine="560"/>
        <w:rPr>
          <w:rFonts w:ascii="楷体_GB2312" w:eastAsia="楷体_GB2312" w:hAnsi="Times New Roman"/>
          <w:b/>
          <w:sz w:val="32"/>
          <w:szCs w:val="24"/>
        </w:rPr>
      </w:pPr>
      <w:r>
        <w:rPr>
          <w:rFonts w:ascii="楷体_GB2312" w:eastAsia="楷体_GB2312" w:hAnsi="黑体" w:hint="eastAsia"/>
          <w:b/>
          <w:sz w:val="32"/>
          <w:szCs w:val="32"/>
        </w:rPr>
        <w:t>部门职责及工作活动绩效目标指标：</w:t>
      </w:r>
    </w:p>
    <w:p w:rsidR="00235765" w:rsidRDefault="00CF7A10">
      <w:pPr>
        <w:jc w:val="center"/>
        <w:outlineLvl w:val="0"/>
        <w:rPr>
          <w:rFonts w:ascii="仿宋" w:eastAsia="仿宋" w:hAnsi="仿宋"/>
          <w:sz w:val="32"/>
          <w:szCs w:val="24"/>
        </w:rPr>
      </w:pPr>
      <w:r>
        <w:rPr>
          <w:rFonts w:ascii="仿宋" w:eastAsia="仿宋" w:hAnsi="仿宋" w:hint="eastAsia"/>
          <w:sz w:val="32"/>
          <w:szCs w:val="24"/>
        </w:rPr>
        <w:t>部门职责</w:t>
      </w:r>
      <w:r>
        <w:rPr>
          <w:rFonts w:ascii="仿宋" w:eastAsia="仿宋" w:hAnsi="仿宋"/>
          <w:sz w:val="32"/>
          <w:szCs w:val="24"/>
        </w:rPr>
        <w:t>-</w:t>
      </w:r>
      <w:r>
        <w:rPr>
          <w:rFonts w:ascii="仿宋" w:eastAsia="仿宋" w:hAnsi="仿宋" w:hint="eastAsia"/>
          <w:sz w:val="32"/>
          <w:szCs w:val="24"/>
        </w:rPr>
        <w:t>工作活动绩效目标</w:t>
      </w:r>
      <w:bookmarkEnd w:id="1"/>
    </w:p>
    <w:tbl>
      <w:tblPr>
        <w:tblW w:w="14640" w:type="dxa"/>
        <w:tblInd w:w="88" w:type="dxa"/>
        <w:tblLook w:val="04A0"/>
      </w:tblPr>
      <w:tblGrid>
        <w:gridCol w:w="1352"/>
        <w:gridCol w:w="756"/>
        <w:gridCol w:w="3556"/>
        <w:gridCol w:w="2980"/>
        <w:gridCol w:w="2743"/>
        <w:gridCol w:w="799"/>
        <w:gridCol w:w="798"/>
        <w:gridCol w:w="937"/>
        <w:gridCol w:w="719"/>
      </w:tblGrid>
      <w:tr w:rsidR="00235765">
        <w:trPr>
          <w:trHeight w:val="300"/>
        </w:trPr>
        <w:tc>
          <w:tcPr>
            <w:tcW w:w="1352" w:type="dxa"/>
            <w:vMerge w:val="restart"/>
            <w:tcBorders>
              <w:top w:val="single" w:sz="4" w:space="0" w:color="auto"/>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职责活动</w:t>
            </w:r>
          </w:p>
        </w:tc>
        <w:tc>
          <w:tcPr>
            <w:tcW w:w="756" w:type="dxa"/>
            <w:vMerge w:val="restart"/>
            <w:tcBorders>
              <w:top w:val="single" w:sz="4" w:space="0" w:color="auto"/>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年度预算数</w:t>
            </w:r>
          </w:p>
        </w:tc>
        <w:tc>
          <w:tcPr>
            <w:tcW w:w="3556" w:type="dxa"/>
            <w:vMerge w:val="restart"/>
            <w:tcBorders>
              <w:top w:val="single" w:sz="4" w:space="0" w:color="auto"/>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内容描述</w:t>
            </w:r>
          </w:p>
        </w:tc>
        <w:tc>
          <w:tcPr>
            <w:tcW w:w="2980" w:type="dxa"/>
            <w:vMerge w:val="restart"/>
            <w:tcBorders>
              <w:top w:val="single" w:sz="4" w:space="0" w:color="auto"/>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绩效目标</w:t>
            </w:r>
          </w:p>
        </w:tc>
        <w:tc>
          <w:tcPr>
            <w:tcW w:w="2743" w:type="dxa"/>
            <w:vMerge w:val="restart"/>
            <w:tcBorders>
              <w:top w:val="single" w:sz="4" w:space="0" w:color="auto"/>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绩效指标</w:t>
            </w:r>
          </w:p>
        </w:tc>
        <w:tc>
          <w:tcPr>
            <w:tcW w:w="3253" w:type="dxa"/>
            <w:gridSpan w:val="4"/>
            <w:tcBorders>
              <w:top w:val="single" w:sz="4" w:space="0" w:color="auto"/>
              <w:left w:val="nil"/>
              <w:bottom w:val="single" w:sz="4" w:space="0" w:color="auto"/>
              <w:right w:val="single" w:sz="4" w:space="0" w:color="000000"/>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评价标准</w:t>
            </w:r>
          </w:p>
        </w:tc>
      </w:tr>
      <w:tr w:rsidR="00235765">
        <w:trPr>
          <w:trHeight w:val="300"/>
        </w:trPr>
        <w:tc>
          <w:tcPr>
            <w:tcW w:w="1352" w:type="dxa"/>
            <w:vMerge/>
            <w:tcBorders>
              <w:top w:val="single" w:sz="4" w:space="0" w:color="auto"/>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single" w:sz="4" w:space="0" w:color="auto"/>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single" w:sz="4" w:space="0" w:color="auto"/>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2743" w:type="dxa"/>
            <w:vMerge/>
            <w:tcBorders>
              <w:top w:val="single" w:sz="4" w:space="0" w:color="auto"/>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799" w:type="dxa"/>
            <w:tcBorders>
              <w:top w:val="nil"/>
              <w:left w:val="nil"/>
              <w:bottom w:val="single" w:sz="4" w:space="0" w:color="auto"/>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优</w:t>
            </w:r>
          </w:p>
        </w:tc>
        <w:tc>
          <w:tcPr>
            <w:tcW w:w="798" w:type="dxa"/>
            <w:tcBorders>
              <w:top w:val="nil"/>
              <w:left w:val="nil"/>
              <w:bottom w:val="single" w:sz="4" w:space="0" w:color="auto"/>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良</w:t>
            </w:r>
          </w:p>
        </w:tc>
        <w:tc>
          <w:tcPr>
            <w:tcW w:w="937" w:type="dxa"/>
            <w:tcBorders>
              <w:top w:val="nil"/>
              <w:left w:val="nil"/>
              <w:bottom w:val="single" w:sz="4" w:space="0" w:color="auto"/>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中</w:t>
            </w:r>
          </w:p>
        </w:tc>
        <w:tc>
          <w:tcPr>
            <w:tcW w:w="719" w:type="dxa"/>
            <w:tcBorders>
              <w:top w:val="nil"/>
              <w:left w:val="nil"/>
              <w:bottom w:val="single" w:sz="4" w:space="0" w:color="auto"/>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差</w:t>
            </w:r>
          </w:p>
        </w:tc>
      </w:tr>
      <w:tr w:rsidR="00235765">
        <w:trPr>
          <w:trHeight w:val="45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发展现代流通</w:t>
            </w:r>
            <w:r>
              <w:rPr>
                <w:rFonts w:ascii="宋体" w:hAnsi="宋体" w:cs="宋体" w:hint="eastAsia"/>
                <w:kern w:val="0"/>
                <w:sz w:val="18"/>
                <w:szCs w:val="18"/>
              </w:rPr>
              <w:lastRenderedPageBreak/>
              <w:t>网络建设及管理</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kern w:val="0"/>
                <w:sz w:val="18"/>
                <w:szCs w:val="18"/>
              </w:rPr>
              <w:lastRenderedPageBreak/>
              <w:t>17</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加快服务创新、经营创新和业态创新，优化</w:t>
            </w:r>
            <w:r>
              <w:rPr>
                <w:rFonts w:ascii="宋体" w:hAnsi="宋体" w:cs="宋体" w:hint="eastAsia"/>
                <w:kern w:val="0"/>
                <w:sz w:val="18"/>
                <w:szCs w:val="18"/>
              </w:rPr>
              <w:lastRenderedPageBreak/>
              <w:t>网络布局，完善网络体系，发挥一网多用、双向流通的作用，在农资供应、、日用品销售、农产品流通、农村服务等重点领域和环节为农民提供便利实惠、安全优质的服务。</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lastRenderedPageBreak/>
              <w:t>健全农资、农副产品、日用消费品</w:t>
            </w:r>
            <w:r>
              <w:rPr>
                <w:rFonts w:ascii="宋体" w:hAnsi="宋体" w:cs="宋体" w:hint="eastAsia"/>
                <w:kern w:val="0"/>
                <w:sz w:val="18"/>
                <w:szCs w:val="18"/>
              </w:rPr>
              <w:lastRenderedPageBreak/>
              <w:t>等网络体系，加快形成连锁化、规模化、品牌化经营服务新格局；发展农村电子务，形成网上交易、仓储物流、终端配送一体化经营，推动线上线下融合发展。</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lastRenderedPageBreak/>
              <w:t>供销社企业电子商务销售额增长</w:t>
            </w:r>
            <w:r>
              <w:rPr>
                <w:rFonts w:ascii="宋体" w:hAnsi="宋体" w:cs="宋体" w:hint="eastAsia"/>
                <w:kern w:val="0"/>
                <w:sz w:val="18"/>
                <w:szCs w:val="18"/>
              </w:rPr>
              <w:lastRenderedPageBreak/>
              <w:t>倍数</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lastRenderedPageBreak/>
              <w:t>≥</w:t>
            </w:r>
            <w:r>
              <w:rPr>
                <w:rFonts w:ascii="宋体" w:hAnsi="宋体" w:cs="宋体"/>
                <w:kern w:val="0"/>
                <w:sz w:val="18"/>
                <w:szCs w:val="18"/>
              </w:rPr>
              <w:t>200%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150%</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p>
        </w:tc>
      </w:tr>
      <w:tr w:rsidR="00235765">
        <w:trPr>
          <w:trHeight w:val="45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新建农产品交易市场</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cs="宋体"/>
                <w:kern w:val="0"/>
                <w:sz w:val="18"/>
                <w:szCs w:val="18"/>
              </w:rPr>
              <w:t>0</w:t>
            </w:r>
          </w:p>
        </w:tc>
      </w:tr>
      <w:tr w:rsidR="00235765">
        <w:trPr>
          <w:trHeight w:val="45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农产品批发市场市场交易额增长率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15%</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12%</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w:t>
            </w:r>
          </w:p>
        </w:tc>
      </w:tr>
      <w:tr w:rsidR="00235765">
        <w:trPr>
          <w:trHeight w:val="45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网络购销总额增长率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r>
      <w:tr w:rsidR="00235765">
        <w:trPr>
          <w:trHeight w:val="45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连锁经营销售额占全县供销社销售额比重</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15%</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12%</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0%</w:t>
            </w:r>
          </w:p>
        </w:tc>
      </w:tr>
      <w:tr w:rsidR="00235765">
        <w:trPr>
          <w:trHeight w:val="45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电商平台个数</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w:t>
            </w:r>
          </w:p>
        </w:tc>
      </w:tr>
      <w:tr w:rsidR="00235765">
        <w:trPr>
          <w:trHeight w:val="30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社属企业运营管理及建设</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kern w:val="0"/>
                <w:sz w:val="18"/>
                <w:szCs w:val="18"/>
              </w:rPr>
              <w:t>9.96</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指导社属企业经营管理，对社属企业进行监督检查，完善企业运营管理制度并监督执行，行使出资人职能、确保社有资产的安全和增值</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社有企业实现跨越式发展，供销社体制机制明显优化，营业收入、利润总额和净资产均有不同程度增长。</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利润总额增长率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r>
      <w:tr w:rsidR="00235765">
        <w:trPr>
          <w:trHeight w:val="3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营业收入增长率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r>
      <w:tr w:rsidR="00235765">
        <w:trPr>
          <w:trHeight w:val="3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社有资产增值比率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r>
      <w:tr w:rsidR="00235765">
        <w:trPr>
          <w:trHeight w:val="30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组织体系建设</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 xml:space="preserve">　</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以供销合作社体系为依托，自下而上组建农民合作社联合社，并创办领办农民合作社</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组建农民合作社联合社、创办领办农民合作社</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带动农户数</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8000</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6000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5000</w:t>
            </w:r>
          </w:p>
        </w:tc>
      </w:tr>
      <w:tr w:rsidR="00235765">
        <w:trPr>
          <w:trHeight w:val="3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乡镇农民合作社联合社注册个数</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7</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r>
      <w:tr w:rsidR="00235765">
        <w:trPr>
          <w:trHeight w:val="3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培育“四统一”合作社数量</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16</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12</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p>
        </w:tc>
      </w:tr>
      <w:tr w:rsidR="00235765">
        <w:trPr>
          <w:trHeight w:val="60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服务体系建设</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kern w:val="0"/>
                <w:sz w:val="18"/>
                <w:szCs w:val="18"/>
              </w:rPr>
              <w:t>23</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供销合作社要把为农服务放在首位。面向农业现代化、面向农民生产生活，推动供销合作社由流通服务向全程农业社会化服务延伸、向全方位城乡社区服务拓展，</w:t>
            </w:r>
            <w:r>
              <w:rPr>
                <w:rFonts w:ascii="宋体" w:hAnsi="宋体" w:cs="宋体"/>
                <w:kern w:val="0"/>
                <w:sz w:val="18"/>
                <w:szCs w:val="18"/>
              </w:rPr>
              <w:t xml:space="preserve"> </w:t>
            </w:r>
            <w:r>
              <w:rPr>
                <w:rFonts w:ascii="宋体" w:hAnsi="宋体" w:cs="宋体" w:hint="eastAsia"/>
                <w:kern w:val="0"/>
                <w:sz w:val="18"/>
                <w:szCs w:val="18"/>
              </w:rPr>
              <w:t>加快形成综合性、规模化、可持续的为农服务体系，在农资供应、农产品流通、农民技能培训等重点领域和环节为农民提供便利实惠、安全优质的服务</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服务体系覆盖率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p>
        </w:tc>
      </w:tr>
      <w:tr w:rsidR="00235765">
        <w:trPr>
          <w:trHeight w:val="6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示范性培训新型农民和农村实用技能人才人次</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200</w:t>
            </w:r>
            <w:r>
              <w:rPr>
                <w:rFonts w:ascii="宋体" w:hAnsi="宋体" w:cs="宋体" w:hint="eastAsia"/>
                <w:kern w:val="0"/>
                <w:sz w:val="18"/>
                <w:szCs w:val="18"/>
              </w:rPr>
              <w:t>人</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人</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人</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50</w:t>
            </w:r>
            <w:r>
              <w:rPr>
                <w:rFonts w:ascii="宋体" w:hAnsi="宋体" w:cs="宋体" w:hint="eastAsia"/>
                <w:kern w:val="0"/>
                <w:sz w:val="18"/>
                <w:szCs w:val="18"/>
              </w:rPr>
              <w:t>人以下</w:t>
            </w:r>
          </w:p>
        </w:tc>
      </w:tr>
      <w:tr w:rsidR="00235765">
        <w:trPr>
          <w:trHeight w:val="6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农村乡级综合服务中心（社、站）数量</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130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104</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65</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65</w:t>
            </w:r>
          </w:p>
        </w:tc>
      </w:tr>
      <w:tr w:rsidR="00235765">
        <w:trPr>
          <w:trHeight w:val="495"/>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lastRenderedPageBreak/>
              <w:t>创新农村金融体系建设</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 xml:space="preserve">　</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创新金融服务方式和手段，创建农村合作金融服务体系，以企业为主体，以市场为导向，通过组织上积极引导、利益上不断凝聚、服务上广泛吸引，整合投资管理、农村产权交易、农村资金互助、小额贷款、村镇银行、互联网金融、融资担保、合作保险、金融租赁和农产品电商等业态，稳步开展农村合作金融服务，实现服务三农、普惠金融目标，真正将供销社打造成上下贯通、利益链接、一体化运营的为农服务的生力军和综合平台</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创建农村合作金融体系</w:t>
            </w:r>
            <w:r>
              <w:rPr>
                <w:rFonts w:ascii="宋体" w:cs="宋体"/>
                <w:kern w:val="0"/>
                <w:sz w:val="18"/>
                <w:szCs w:val="18"/>
              </w:rPr>
              <w:t>,</w:t>
            </w:r>
            <w:r>
              <w:rPr>
                <w:rFonts w:ascii="宋体" w:hAnsi="宋体" w:cs="宋体" w:hint="eastAsia"/>
                <w:kern w:val="0"/>
                <w:sz w:val="18"/>
                <w:szCs w:val="18"/>
              </w:rPr>
              <w:t>拓宽“三农”融资的渠道，按照统一要求、标准、计划，完成各项工作的建设任务，实现供销社合作金融体系上下贯通、利益链接、一体化运营。初步实现供销金融超市全县基层全覆盖</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开展普惠金融乡（镇）试点</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&lt;1</w:t>
            </w:r>
          </w:p>
        </w:tc>
      </w:tr>
      <w:tr w:rsidR="00235765">
        <w:trPr>
          <w:trHeight w:val="495"/>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开展普惠金融试点乡（镇）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&lt;1</w:t>
            </w:r>
          </w:p>
        </w:tc>
      </w:tr>
      <w:tr w:rsidR="00235765">
        <w:trPr>
          <w:trHeight w:val="495"/>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建设金融超市和村级助农服务网点数量（家）</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&lt;3</w:t>
            </w:r>
          </w:p>
        </w:tc>
      </w:tr>
      <w:tr w:rsidR="00235765">
        <w:trPr>
          <w:trHeight w:val="495"/>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金融超市和村级助农服务网点数量（家）</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&lt;50</w:t>
            </w:r>
          </w:p>
        </w:tc>
      </w:tr>
      <w:tr w:rsidR="00235765">
        <w:trPr>
          <w:trHeight w:val="495"/>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重要商品物资储备及监管</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 xml:space="preserve">　</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调节商品供求关系，稳定物价、保障市场供应、保证防汛救灾的需要、增强政府对市场的宏观调控能力和应急保障</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安排、组织代储企业依据储备计划及时足额、保质保量做好储备商品的收储、轮换等工作</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质量良好率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85%</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85%</w:t>
            </w:r>
          </w:p>
        </w:tc>
      </w:tr>
      <w:tr w:rsidR="00235765">
        <w:trPr>
          <w:trHeight w:val="495"/>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储备计划完成率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r>
      <w:tr w:rsidR="00235765">
        <w:trPr>
          <w:trHeight w:val="36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组织实施盐政执法</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 xml:space="preserve">　</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组织开展全县盐业行政执法活动，打击盐业违法行为，查处重大盐业违法案件。规范盐业行政执法案件程序和执法案卷；追究执法过错责任，纠正违法执法行为</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全县盐业违法行为得到有效打击和遏制，实现食盐安全生产和流通</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食盐产品合格率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98%</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96%</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96%</w:t>
            </w:r>
          </w:p>
        </w:tc>
      </w:tr>
      <w:tr w:rsidR="00235765">
        <w:trPr>
          <w:trHeight w:val="36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盐业执法人员培训考核通过率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98%</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96%</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96%</w:t>
            </w:r>
          </w:p>
        </w:tc>
      </w:tr>
      <w:tr w:rsidR="00235765">
        <w:trPr>
          <w:trHeight w:val="36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重大盐业违法行为、案件处理率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98%</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96%</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96%</w:t>
            </w:r>
          </w:p>
        </w:tc>
      </w:tr>
      <w:tr w:rsidR="00235765">
        <w:trPr>
          <w:trHeight w:val="36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盐业体制改革</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kern w:val="0"/>
                <w:sz w:val="18"/>
                <w:szCs w:val="18"/>
              </w:rPr>
              <w:t>6</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按照县政府安排推动盐业体制改革工作</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完成县政府交办的改革任务</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县政府改革任务完成率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80%</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r>
      <w:tr w:rsidR="00235765">
        <w:trPr>
          <w:trHeight w:val="36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企业人员安置分流工作完成率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80%</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r>
      <w:tr w:rsidR="00235765">
        <w:trPr>
          <w:trHeight w:val="66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综合业务管理</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kern w:val="0"/>
                <w:sz w:val="18"/>
                <w:szCs w:val="18"/>
              </w:rPr>
              <w:t>211.57</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制订系统发展战略和规划、指导系统业务活动和综合改革试点及事业发展；开展行业调查研究，制定相关行业政策、法规规章制度；信访接待、业务宣传、政务信息公开等工作。</w:t>
            </w:r>
          </w:p>
        </w:tc>
        <w:tc>
          <w:tcPr>
            <w:tcW w:w="2980"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确保各项业务工作谋划到位、顺利开展</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系统业务活动完成率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r>
      <w:tr w:rsidR="00235765">
        <w:trPr>
          <w:trHeight w:val="66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改革试点任务完成情况</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80%</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60%</w:t>
            </w:r>
          </w:p>
        </w:tc>
      </w:tr>
      <w:tr w:rsidR="00235765">
        <w:trPr>
          <w:trHeight w:val="300"/>
        </w:trPr>
        <w:tc>
          <w:tcPr>
            <w:tcW w:w="1352"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综合事务管理</w:t>
            </w:r>
          </w:p>
        </w:tc>
        <w:tc>
          <w:tcPr>
            <w:tcW w:w="756" w:type="dxa"/>
            <w:vMerge w:val="restart"/>
            <w:tcBorders>
              <w:top w:val="nil"/>
              <w:left w:val="single" w:sz="4" w:space="0" w:color="auto"/>
              <w:bottom w:val="single" w:sz="4" w:space="0" w:color="000000"/>
              <w:right w:val="single" w:sz="4" w:space="0" w:color="auto"/>
            </w:tcBorders>
            <w:vAlign w:val="center"/>
          </w:tcPr>
          <w:p w:rsidR="00235765" w:rsidRDefault="00CF7A10">
            <w:pPr>
              <w:widowControl/>
              <w:jc w:val="center"/>
              <w:rPr>
                <w:rFonts w:ascii="宋体" w:cs="宋体"/>
                <w:kern w:val="0"/>
                <w:sz w:val="18"/>
                <w:szCs w:val="18"/>
              </w:rPr>
            </w:pPr>
            <w:r>
              <w:rPr>
                <w:rFonts w:ascii="宋体" w:hAnsi="宋体" w:cs="宋体" w:hint="eastAsia"/>
                <w:kern w:val="0"/>
                <w:sz w:val="18"/>
                <w:szCs w:val="18"/>
              </w:rPr>
              <w:t xml:space="preserve">　</w:t>
            </w:r>
          </w:p>
        </w:tc>
        <w:tc>
          <w:tcPr>
            <w:tcW w:w="3556" w:type="dxa"/>
            <w:vMerge w:val="restart"/>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落实安全管理措施，杜绝事故发性</w:t>
            </w:r>
          </w:p>
        </w:tc>
        <w:tc>
          <w:tcPr>
            <w:tcW w:w="2980"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确保安全</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事故发生起数</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cs="宋体"/>
                <w:kern w:val="0"/>
                <w:sz w:val="18"/>
                <w:szCs w:val="18"/>
              </w:rPr>
              <w:t>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 xml:space="preserve">　</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p>
        </w:tc>
      </w:tr>
      <w:tr w:rsidR="00235765">
        <w:trPr>
          <w:trHeight w:val="3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保障社会稳定</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上访率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cs="宋体"/>
                <w:kern w:val="0"/>
                <w:sz w:val="18"/>
                <w:szCs w:val="18"/>
              </w:rPr>
              <w:t>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r>
      <w:tr w:rsidR="00235765">
        <w:trPr>
          <w:trHeight w:val="300"/>
        </w:trPr>
        <w:tc>
          <w:tcPr>
            <w:tcW w:w="1352"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756" w:type="dxa"/>
            <w:vMerge/>
            <w:tcBorders>
              <w:top w:val="nil"/>
              <w:left w:val="single" w:sz="4" w:space="0" w:color="auto"/>
              <w:bottom w:val="single" w:sz="4" w:space="0" w:color="000000"/>
              <w:right w:val="single" w:sz="4" w:space="0" w:color="auto"/>
            </w:tcBorders>
            <w:vAlign w:val="center"/>
          </w:tcPr>
          <w:p w:rsidR="00235765" w:rsidRDefault="00235765">
            <w:pPr>
              <w:widowControl/>
              <w:jc w:val="left"/>
              <w:rPr>
                <w:rFonts w:ascii="宋体" w:cs="宋体"/>
                <w:kern w:val="0"/>
                <w:sz w:val="18"/>
                <w:szCs w:val="18"/>
              </w:rPr>
            </w:pPr>
          </w:p>
        </w:tc>
        <w:tc>
          <w:tcPr>
            <w:tcW w:w="3556" w:type="dxa"/>
            <w:vMerge/>
            <w:tcBorders>
              <w:top w:val="nil"/>
              <w:left w:val="single" w:sz="4" w:space="0" w:color="auto"/>
              <w:bottom w:val="single" w:sz="4" w:space="0" w:color="auto"/>
              <w:right w:val="single" w:sz="4" w:space="0" w:color="auto"/>
            </w:tcBorders>
            <w:vAlign w:val="center"/>
          </w:tcPr>
          <w:p w:rsidR="00235765" w:rsidRDefault="00235765">
            <w:pPr>
              <w:widowControl/>
              <w:jc w:val="left"/>
              <w:rPr>
                <w:rFonts w:ascii="宋体" w:cs="宋体"/>
                <w:kern w:val="0"/>
                <w:sz w:val="18"/>
                <w:szCs w:val="18"/>
              </w:rPr>
            </w:pPr>
          </w:p>
        </w:tc>
        <w:tc>
          <w:tcPr>
            <w:tcW w:w="2980"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保障机关工作正常高效运转</w:t>
            </w:r>
          </w:p>
        </w:tc>
        <w:tc>
          <w:tcPr>
            <w:tcW w:w="2743"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综合行政事务办结率</w:t>
            </w:r>
          </w:p>
        </w:tc>
        <w:tc>
          <w:tcPr>
            <w:tcW w:w="79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kern w:val="0"/>
                <w:sz w:val="18"/>
                <w:szCs w:val="18"/>
              </w:rPr>
              <w:t>100%</w:t>
            </w:r>
          </w:p>
        </w:tc>
        <w:tc>
          <w:tcPr>
            <w:tcW w:w="798"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937"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c>
          <w:tcPr>
            <w:tcW w:w="719" w:type="dxa"/>
            <w:tcBorders>
              <w:top w:val="nil"/>
              <w:left w:val="nil"/>
              <w:bottom w:val="single" w:sz="4" w:space="0" w:color="auto"/>
              <w:right w:val="single" w:sz="4" w:space="0" w:color="auto"/>
            </w:tcBorders>
            <w:vAlign w:val="center"/>
          </w:tcPr>
          <w:p w:rsidR="00235765" w:rsidRDefault="00CF7A10">
            <w:pPr>
              <w:widowControl/>
              <w:jc w:val="lef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r>
    </w:tbl>
    <w:p w:rsidR="00235765" w:rsidRDefault="00235765">
      <w:pPr>
        <w:autoSpaceDE w:val="0"/>
        <w:autoSpaceDN w:val="0"/>
        <w:adjustRightInd w:val="0"/>
        <w:ind w:left="200"/>
        <w:jc w:val="left"/>
        <w:rPr>
          <w:rFonts w:ascii="宋体" w:cs="宋体"/>
          <w:kern w:val="0"/>
          <w:sz w:val="18"/>
          <w:szCs w:val="18"/>
          <w:lang w:val="zh-CN"/>
        </w:rPr>
      </w:pPr>
    </w:p>
    <w:p w:rsidR="00235765" w:rsidRDefault="00CF7A10">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六、政府采购预算情况</w:t>
      </w:r>
    </w:p>
    <w:p w:rsidR="00235765" w:rsidRDefault="00CF7A10">
      <w:pPr>
        <w:outlineLvl w:val="0"/>
        <w:rPr>
          <w:rFonts w:ascii="仿宋" w:eastAsia="仿宋" w:hAnsi="仿宋"/>
          <w:sz w:val="32"/>
          <w:szCs w:val="24"/>
        </w:rPr>
      </w:pPr>
      <w:bookmarkStart w:id="2" w:name="_Toc471398468"/>
      <w:r>
        <w:rPr>
          <w:rFonts w:ascii="仿宋" w:eastAsia="仿宋" w:hAnsi="仿宋"/>
          <w:sz w:val="32"/>
          <w:szCs w:val="24"/>
        </w:rPr>
        <w:t xml:space="preserve">    2019</w:t>
      </w:r>
      <w:r>
        <w:rPr>
          <w:rFonts w:ascii="仿宋" w:eastAsia="仿宋" w:hAnsi="仿宋" w:hint="eastAsia"/>
          <w:sz w:val="32"/>
          <w:szCs w:val="24"/>
        </w:rPr>
        <w:t>年，我</w:t>
      </w:r>
      <w:r>
        <w:rPr>
          <w:rFonts w:ascii="仿宋" w:eastAsia="仿宋" w:hAnsi="仿宋" w:cs="宋体" w:hint="eastAsia"/>
          <w:sz w:val="32"/>
          <w:szCs w:val="24"/>
        </w:rPr>
        <w:t>单位本年度未</w:t>
      </w:r>
      <w:r>
        <w:rPr>
          <w:rFonts w:ascii="仿宋" w:eastAsia="仿宋" w:hAnsi="仿宋" w:hint="eastAsia"/>
          <w:sz w:val="32"/>
          <w:szCs w:val="24"/>
        </w:rPr>
        <w:t>安排政府采购预算。</w:t>
      </w:r>
    </w:p>
    <w:bookmarkEnd w:id="2"/>
    <w:p w:rsidR="00235765" w:rsidRDefault="00CF7A10">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七、国有资产信息</w:t>
      </w:r>
    </w:p>
    <w:p w:rsidR="00235765" w:rsidRDefault="00CF7A10">
      <w:pPr>
        <w:ind w:firstLine="640"/>
        <w:rPr>
          <w:rFonts w:ascii="仿宋" w:eastAsia="仿宋" w:hAnsi="仿宋"/>
          <w:sz w:val="32"/>
          <w:szCs w:val="32"/>
        </w:rPr>
      </w:pPr>
      <w:r>
        <w:rPr>
          <w:rFonts w:ascii="仿宋" w:eastAsia="仿宋" w:hAnsi="仿宋" w:hint="eastAsia"/>
          <w:sz w:val="32"/>
          <w:szCs w:val="32"/>
        </w:rPr>
        <w:t>河北省威县供销合作社联合社上年末固定资产金额为</w:t>
      </w:r>
      <w:r>
        <w:rPr>
          <w:rFonts w:ascii="仿宋" w:eastAsia="仿宋" w:hAnsi="仿宋"/>
          <w:sz w:val="32"/>
          <w:szCs w:val="32"/>
        </w:rPr>
        <w:t>141.98</w:t>
      </w:r>
      <w:r>
        <w:rPr>
          <w:rFonts w:ascii="仿宋" w:eastAsia="仿宋" w:hAnsi="仿宋" w:hint="eastAsia"/>
          <w:sz w:val="32"/>
          <w:szCs w:val="32"/>
        </w:rPr>
        <w:t>万元（详见下表），本年度拟购置固定资产总额为</w:t>
      </w:r>
      <w:r>
        <w:rPr>
          <w:rFonts w:ascii="仿宋" w:eastAsia="仿宋" w:hAnsi="仿宋"/>
          <w:sz w:val="32"/>
          <w:szCs w:val="32"/>
        </w:rPr>
        <w:t>0</w:t>
      </w:r>
      <w:r>
        <w:rPr>
          <w:rFonts w:ascii="仿宋" w:eastAsia="仿宋" w:hAnsi="仿宋" w:hint="eastAsia"/>
          <w:sz w:val="32"/>
          <w:szCs w:val="32"/>
        </w:rPr>
        <w:t>万元。</w:t>
      </w:r>
    </w:p>
    <w:p w:rsidR="00235765" w:rsidRDefault="00235765">
      <w:pPr>
        <w:ind w:firstLine="640"/>
        <w:rPr>
          <w:rFonts w:ascii="仿宋" w:eastAsia="仿宋" w:hAnsi="仿宋"/>
          <w:sz w:val="32"/>
          <w:szCs w:val="32"/>
        </w:rPr>
      </w:pPr>
    </w:p>
    <w:tbl>
      <w:tblPr>
        <w:tblW w:w="13482" w:type="dxa"/>
        <w:tblInd w:w="93" w:type="dxa"/>
        <w:tblLook w:val="04A0"/>
      </w:tblPr>
      <w:tblGrid>
        <w:gridCol w:w="5224"/>
        <w:gridCol w:w="3155"/>
        <w:gridCol w:w="5103"/>
      </w:tblGrid>
      <w:tr w:rsidR="00235765">
        <w:trPr>
          <w:trHeight w:val="705"/>
        </w:trPr>
        <w:tc>
          <w:tcPr>
            <w:tcW w:w="13482" w:type="dxa"/>
            <w:gridSpan w:val="3"/>
            <w:tcBorders>
              <w:top w:val="nil"/>
              <w:left w:val="nil"/>
              <w:bottom w:val="nil"/>
              <w:right w:val="nil"/>
            </w:tcBorders>
            <w:noWrap/>
            <w:vAlign w:val="center"/>
          </w:tcPr>
          <w:p w:rsidR="00235765" w:rsidRDefault="00CF7A10">
            <w:pPr>
              <w:widowControl/>
              <w:jc w:val="center"/>
              <w:rPr>
                <w:rFonts w:ascii="宋体" w:cs="宋体"/>
                <w:b/>
                <w:bCs/>
                <w:kern w:val="0"/>
                <w:sz w:val="32"/>
                <w:szCs w:val="32"/>
                <w:highlight w:val="yellow"/>
              </w:rPr>
            </w:pPr>
            <w:r>
              <w:rPr>
                <w:rFonts w:ascii="宋体" w:hAnsi="宋体" w:cs="宋体" w:hint="eastAsia"/>
                <w:b/>
                <w:bCs/>
                <w:kern w:val="0"/>
                <w:sz w:val="32"/>
                <w:szCs w:val="32"/>
              </w:rPr>
              <w:t>固定资产占用情况表</w:t>
            </w:r>
          </w:p>
        </w:tc>
      </w:tr>
      <w:tr w:rsidR="00235765">
        <w:trPr>
          <w:trHeight w:val="510"/>
        </w:trPr>
        <w:tc>
          <w:tcPr>
            <w:tcW w:w="8379" w:type="dxa"/>
            <w:gridSpan w:val="2"/>
            <w:tcBorders>
              <w:top w:val="nil"/>
              <w:left w:val="nil"/>
              <w:bottom w:val="nil"/>
              <w:right w:val="nil"/>
            </w:tcBorders>
            <w:noWrap/>
            <w:vAlign w:val="center"/>
          </w:tcPr>
          <w:p w:rsidR="00235765" w:rsidRDefault="00CF7A10">
            <w:pPr>
              <w:widowControl/>
              <w:jc w:val="left"/>
              <w:rPr>
                <w:rFonts w:ascii="宋体" w:cs="宋体"/>
                <w:kern w:val="0"/>
                <w:sz w:val="22"/>
              </w:rPr>
            </w:pPr>
            <w:r>
              <w:rPr>
                <w:rFonts w:ascii="宋体" w:hAnsi="宋体" w:cs="宋体" w:hint="eastAsia"/>
                <w:kern w:val="0"/>
                <w:sz w:val="22"/>
              </w:rPr>
              <w:t>编制部门：河北省威县供销合作社联合社</w:t>
            </w:r>
          </w:p>
        </w:tc>
        <w:tc>
          <w:tcPr>
            <w:tcW w:w="5103" w:type="dxa"/>
            <w:tcBorders>
              <w:top w:val="nil"/>
              <w:left w:val="nil"/>
              <w:bottom w:val="nil"/>
              <w:right w:val="nil"/>
            </w:tcBorders>
            <w:noWrap/>
            <w:vAlign w:val="center"/>
          </w:tcPr>
          <w:p w:rsidR="00235765" w:rsidRDefault="00CF7A10">
            <w:pPr>
              <w:widowControl/>
              <w:ind w:firstLineChars="800" w:firstLine="1760"/>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2018</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235765">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235765" w:rsidRDefault="00CF7A10">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235765" w:rsidRDefault="00CF7A10">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235765" w:rsidRDefault="00CF7A10">
            <w:pPr>
              <w:widowControl/>
              <w:jc w:val="center"/>
              <w:rPr>
                <w:rFonts w:ascii="宋体" w:cs="宋体"/>
                <w:b/>
                <w:bCs/>
                <w:kern w:val="0"/>
                <w:sz w:val="22"/>
              </w:rPr>
            </w:pPr>
            <w:r>
              <w:rPr>
                <w:rFonts w:ascii="宋体" w:hAnsi="宋体" w:cs="宋体" w:hint="eastAsia"/>
                <w:b/>
                <w:bCs/>
                <w:kern w:val="0"/>
                <w:sz w:val="22"/>
              </w:rPr>
              <w:t>价值（金额单位：万元）</w:t>
            </w:r>
          </w:p>
        </w:tc>
      </w:tr>
      <w:tr w:rsidR="00235765">
        <w:trPr>
          <w:trHeight w:val="456"/>
        </w:trPr>
        <w:tc>
          <w:tcPr>
            <w:tcW w:w="5224" w:type="dxa"/>
            <w:tcBorders>
              <w:top w:val="nil"/>
              <w:left w:val="single" w:sz="4" w:space="0" w:color="auto"/>
              <w:bottom w:val="single" w:sz="4" w:space="0" w:color="auto"/>
              <w:right w:val="single" w:sz="4" w:space="0" w:color="auto"/>
            </w:tcBorders>
            <w:noWrap/>
            <w:vAlign w:val="center"/>
          </w:tcPr>
          <w:p w:rsidR="00235765" w:rsidRDefault="00CF7A10">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235765" w:rsidRDefault="00CF7A10">
            <w:pPr>
              <w:widowControl/>
              <w:jc w:val="center"/>
              <w:rPr>
                <w:rFonts w:ascii="Times New Roman" w:hAnsi="Times New Roman"/>
                <w:kern w:val="0"/>
                <w:sz w:val="22"/>
              </w:rPr>
            </w:pPr>
            <w:r>
              <w:rPr>
                <w:rFonts w:ascii="Times New Roman" w:hAnsi="Times New Roman"/>
                <w:kern w:val="0"/>
                <w:sz w:val="22"/>
              </w:rPr>
              <w:t>——</w:t>
            </w:r>
          </w:p>
        </w:tc>
        <w:tc>
          <w:tcPr>
            <w:tcW w:w="5103" w:type="dxa"/>
            <w:tcBorders>
              <w:top w:val="nil"/>
              <w:left w:val="nil"/>
              <w:bottom w:val="single" w:sz="4" w:space="0" w:color="auto"/>
              <w:right w:val="single" w:sz="4" w:space="0" w:color="auto"/>
            </w:tcBorders>
            <w:noWrap/>
            <w:vAlign w:val="center"/>
          </w:tcPr>
          <w:p w:rsidR="00235765" w:rsidRDefault="00CF7A10">
            <w:pPr>
              <w:widowControl/>
              <w:jc w:val="center"/>
              <w:rPr>
                <w:rFonts w:ascii="Times New Roman" w:hAnsi="Times New Roman"/>
                <w:kern w:val="0"/>
                <w:sz w:val="22"/>
              </w:rPr>
            </w:pPr>
            <w:r>
              <w:rPr>
                <w:rFonts w:ascii="Times New Roman" w:hAnsi="Times New Roman"/>
                <w:kern w:val="0"/>
                <w:sz w:val="22"/>
              </w:rPr>
              <w:t>141.98</w:t>
            </w:r>
          </w:p>
        </w:tc>
      </w:tr>
      <w:tr w:rsidR="00235765">
        <w:trPr>
          <w:trHeight w:val="448"/>
        </w:trPr>
        <w:tc>
          <w:tcPr>
            <w:tcW w:w="5224" w:type="dxa"/>
            <w:tcBorders>
              <w:top w:val="nil"/>
              <w:left w:val="single" w:sz="4" w:space="0" w:color="auto"/>
              <w:bottom w:val="single" w:sz="4" w:space="0" w:color="auto"/>
              <w:right w:val="single" w:sz="4" w:space="0" w:color="auto"/>
            </w:tcBorders>
            <w:noWrap/>
            <w:vAlign w:val="center"/>
          </w:tcPr>
          <w:p w:rsidR="00235765" w:rsidRDefault="00CF7A10">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960</w:t>
            </w:r>
          </w:p>
        </w:tc>
        <w:tc>
          <w:tcPr>
            <w:tcW w:w="5103"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81</w:t>
            </w:r>
          </w:p>
        </w:tc>
      </w:tr>
      <w:tr w:rsidR="00235765">
        <w:trPr>
          <w:trHeight w:val="468"/>
        </w:trPr>
        <w:tc>
          <w:tcPr>
            <w:tcW w:w="5224" w:type="dxa"/>
            <w:tcBorders>
              <w:top w:val="nil"/>
              <w:left w:val="single" w:sz="4" w:space="0" w:color="auto"/>
              <w:bottom w:val="single" w:sz="4" w:space="0" w:color="auto"/>
              <w:right w:val="single" w:sz="4" w:space="0" w:color="auto"/>
            </w:tcBorders>
            <w:noWrap/>
            <w:vAlign w:val="center"/>
          </w:tcPr>
          <w:p w:rsidR="00235765" w:rsidRDefault="00CF7A10">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960</w:t>
            </w:r>
          </w:p>
        </w:tc>
        <w:tc>
          <w:tcPr>
            <w:tcW w:w="5103"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81</w:t>
            </w:r>
          </w:p>
        </w:tc>
      </w:tr>
      <w:tr w:rsidR="00235765">
        <w:trPr>
          <w:trHeight w:val="460"/>
        </w:trPr>
        <w:tc>
          <w:tcPr>
            <w:tcW w:w="5224" w:type="dxa"/>
            <w:tcBorders>
              <w:top w:val="nil"/>
              <w:left w:val="single" w:sz="4" w:space="0" w:color="auto"/>
              <w:bottom w:val="single" w:sz="4" w:space="0" w:color="auto"/>
              <w:right w:val="single" w:sz="4" w:space="0" w:color="auto"/>
            </w:tcBorders>
            <w:noWrap/>
            <w:vAlign w:val="center"/>
          </w:tcPr>
          <w:p w:rsidR="00235765" w:rsidRDefault="00CF7A10">
            <w:pPr>
              <w:widowControl/>
              <w:jc w:val="left"/>
              <w:rPr>
                <w:rFonts w:ascii="宋体" w:cs="宋体"/>
                <w:kern w:val="0"/>
                <w:sz w:val="22"/>
              </w:rPr>
            </w:pPr>
            <w:r>
              <w:rPr>
                <w:rFonts w:ascii="宋体" w:hAnsi="宋体" w:cs="宋体"/>
                <w:kern w:val="0"/>
                <w:sz w:val="22"/>
              </w:rPr>
              <w:lastRenderedPageBreak/>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1</w:t>
            </w:r>
          </w:p>
        </w:tc>
        <w:tc>
          <w:tcPr>
            <w:tcW w:w="5103"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19.33</w:t>
            </w:r>
          </w:p>
        </w:tc>
      </w:tr>
      <w:tr w:rsidR="00235765">
        <w:trPr>
          <w:trHeight w:val="466"/>
        </w:trPr>
        <w:tc>
          <w:tcPr>
            <w:tcW w:w="5224" w:type="dxa"/>
            <w:tcBorders>
              <w:top w:val="nil"/>
              <w:left w:val="single" w:sz="4" w:space="0" w:color="auto"/>
              <w:bottom w:val="single" w:sz="4" w:space="0" w:color="auto"/>
              <w:right w:val="single" w:sz="4" w:space="0" w:color="auto"/>
            </w:tcBorders>
            <w:vAlign w:val="center"/>
          </w:tcPr>
          <w:p w:rsidR="00235765" w:rsidRDefault="00CF7A10">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0</w:t>
            </w:r>
          </w:p>
        </w:tc>
        <w:tc>
          <w:tcPr>
            <w:tcW w:w="5103"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0</w:t>
            </w:r>
          </w:p>
        </w:tc>
      </w:tr>
      <w:tr w:rsidR="00235765">
        <w:trPr>
          <w:trHeight w:val="444"/>
        </w:trPr>
        <w:tc>
          <w:tcPr>
            <w:tcW w:w="5224" w:type="dxa"/>
            <w:tcBorders>
              <w:top w:val="nil"/>
              <w:left w:val="single" w:sz="4" w:space="0" w:color="auto"/>
              <w:bottom w:val="single" w:sz="4" w:space="0" w:color="auto"/>
              <w:right w:val="single" w:sz="4" w:space="0" w:color="auto"/>
            </w:tcBorders>
            <w:noWrap/>
            <w:vAlign w:val="center"/>
          </w:tcPr>
          <w:p w:rsidR="00235765" w:rsidRDefault="00CF7A10">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0</w:t>
            </w:r>
          </w:p>
        </w:tc>
        <w:tc>
          <w:tcPr>
            <w:tcW w:w="5103" w:type="dxa"/>
            <w:tcBorders>
              <w:top w:val="nil"/>
              <w:left w:val="nil"/>
              <w:bottom w:val="single" w:sz="4" w:space="0" w:color="auto"/>
              <w:right w:val="single" w:sz="4" w:space="0" w:color="auto"/>
            </w:tcBorders>
            <w:noWrap/>
            <w:vAlign w:val="center"/>
          </w:tcPr>
          <w:p w:rsidR="00235765" w:rsidRDefault="00CF7A10">
            <w:pPr>
              <w:jc w:val="center"/>
              <w:rPr>
                <w:rFonts w:ascii="Times New Roman" w:hAnsi="Times New Roman"/>
                <w:sz w:val="22"/>
              </w:rPr>
            </w:pPr>
            <w:r>
              <w:rPr>
                <w:rFonts w:ascii="Times New Roman" w:hAnsi="Times New Roman"/>
                <w:sz w:val="22"/>
              </w:rPr>
              <w:t>41.65</w:t>
            </w:r>
          </w:p>
        </w:tc>
      </w:tr>
    </w:tbl>
    <w:p w:rsidR="00235765" w:rsidRDefault="00CF7A10">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八、名词解释</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1</w:t>
      </w:r>
      <w:r>
        <w:rPr>
          <w:rFonts w:ascii="仿宋" w:eastAsia="仿宋" w:hAnsi="仿宋" w:hint="eastAsia"/>
          <w:b/>
          <w:sz w:val="32"/>
          <w:szCs w:val="32"/>
        </w:rPr>
        <w:t>、一般公共预算拨款收入：</w:t>
      </w:r>
      <w:r>
        <w:rPr>
          <w:rFonts w:ascii="仿宋" w:eastAsia="仿宋" w:hAnsi="仿宋" w:hint="eastAsia"/>
          <w:sz w:val="32"/>
          <w:szCs w:val="32"/>
        </w:rPr>
        <w:t>指县级财政当年拨付的资金。</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2</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rsidR="00235765" w:rsidRDefault="00CF7A10">
      <w:pPr>
        <w:tabs>
          <w:tab w:val="left" w:pos="11490"/>
        </w:tabs>
        <w:ind w:firstLineChars="200" w:firstLine="643"/>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、其他收入：</w:t>
      </w:r>
      <w:r>
        <w:rPr>
          <w:rFonts w:ascii="仿宋" w:eastAsia="仿宋" w:hAnsi="仿宋" w:hint="eastAsia"/>
          <w:sz w:val="32"/>
          <w:szCs w:val="32"/>
        </w:rPr>
        <w:t>指除</w:t>
      </w:r>
      <w:r>
        <w:rPr>
          <w:rFonts w:ascii="仿宋" w:eastAsia="仿宋" w:hAnsi="仿宋"/>
          <w:sz w:val="32"/>
          <w:szCs w:val="32"/>
        </w:rPr>
        <w:t>“</w:t>
      </w:r>
      <w:r>
        <w:rPr>
          <w:rFonts w:ascii="仿宋" w:eastAsia="仿宋" w:hAnsi="仿宋" w:hint="eastAsia"/>
          <w:sz w:val="32"/>
          <w:szCs w:val="32"/>
        </w:rPr>
        <w:t>一般公共预算拨款收入</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sz w:val="32"/>
          <w:szCs w:val="32"/>
        </w:rPr>
        <w:t>”</w:t>
      </w:r>
      <w:r>
        <w:rPr>
          <w:rFonts w:ascii="仿宋" w:eastAsia="仿宋" w:hAnsi="仿宋" w:hint="eastAsia"/>
          <w:sz w:val="32"/>
          <w:szCs w:val="32"/>
        </w:rPr>
        <w:t>等以外的收入。主要是按规定动用的租房收入、存款利息收入等。</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4</w:t>
      </w:r>
      <w:r>
        <w:rPr>
          <w:rFonts w:ascii="仿宋" w:eastAsia="仿宋" w:hAnsi="仿宋" w:hint="eastAsia"/>
          <w:b/>
          <w:sz w:val="32"/>
          <w:szCs w:val="32"/>
        </w:rPr>
        <w:t>、基本支出：</w:t>
      </w:r>
      <w:r>
        <w:rPr>
          <w:rFonts w:ascii="仿宋" w:eastAsia="仿宋" w:hAnsi="仿宋" w:hint="eastAsia"/>
          <w:sz w:val="32"/>
          <w:szCs w:val="32"/>
        </w:rPr>
        <w:t>指为保障机构正常运转、完成日常工作任务而发生的人员支出和公用支出。</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5</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6</w:t>
      </w:r>
      <w:r>
        <w:rPr>
          <w:rFonts w:ascii="仿宋" w:eastAsia="仿宋" w:hAnsi="仿宋" w:hint="eastAsia"/>
          <w:b/>
          <w:sz w:val="32"/>
          <w:szCs w:val="32"/>
        </w:rPr>
        <w:t>、</w:t>
      </w:r>
      <w:r>
        <w:rPr>
          <w:rFonts w:ascii="仿宋" w:eastAsia="仿宋" w:hAnsi="仿宋"/>
          <w:b/>
          <w:sz w:val="32"/>
          <w:szCs w:val="32"/>
        </w:rPr>
        <w:t>“</w:t>
      </w:r>
      <w:r>
        <w:rPr>
          <w:rFonts w:ascii="仿宋" w:eastAsia="仿宋" w:hAnsi="仿宋" w:hint="eastAsia"/>
          <w:b/>
          <w:sz w:val="32"/>
          <w:szCs w:val="32"/>
        </w:rPr>
        <w:t>三公</w:t>
      </w:r>
      <w:r>
        <w:rPr>
          <w:rFonts w:ascii="仿宋" w:eastAsia="仿宋" w:hAnsi="仿宋"/>
          <w:b/>
          <w:sz w:val="32"/>
          <w:szCs w:val="32"/>
        </w:rPr>
        <w:t>”</w:t>
      </w:r>
      <w:r>
        <w:rPr>
          <w:rFonts w:ascii="仿宋" w:eastAsia="仿宋" w:hAnsi="仿宋" w:hint="eastAsia"/>
          <w:b/>
          <w:sz w:val="32"/>
          <w:szCs w:val="32"/>
        </w:rPr>
        <w:t>经费：</w:t>
      </w:r>
      <w:r>
        <w:rPr>
          <w:rFonts w:ascii="仿宋" w:eastAsia="仿宋" w:hAnsi="仿宋" w:hint="eastAsia"/>
          <w:sz w:val="32"/>
          <w:szCs w:val="32"/>
        </w:rPr>
        <w:t>纳入省级财政预算管理的</w:t>
      </w:r>
      <w:r>
        <w:rPr>
          <w:rFonts w:ascii="仿宋" w:eastAsia="仿宋" w:hAnsi="仿宋"/>
          <w:sz w:val="32"/>
          <w:szCs w:val="32"/>
        </w:rPr>
        <w:t>“</w:t>
      </w:r>
      <w:r>
        <w:rPr>
          <w:rFonts w:ascii="仿宋" w:eastAsia="仿宋" w:hAnsi="仿宋" w:hint="eastAsia"/>
          <w:sz w:val="32"/>
          <w:szCs w:val="32"/>
        </w:rPr>
        <w:t>三公</w:t>
      </w:r>
      <w:r>
        <w:rPr>
          <w:rFonts w:ascii="仿宋" w:eastAsia="仿宋" w:hAnsi="仿宋"/>
          <w:sz w:val="32"/>
          <w:szCs w:val="32"/>
        </w:rPr>
        <w:t>”</w:t>
      </w:r>
      <w:r>
        <w:rPr>
          <w:rFonts w:ascii="仿宋" w:eastAsia="仿宋" w:hAnsi="仿宋" w:hint="eastAsia"/>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w:t>
      </w:r>
      <w:r>
        <w:rPr>
          <w:rFonts w:ascii="仿宋" w:eastAsia="仿宋" w:hAnsi="仿宋" w:hint="eastAsia"/>
          <w:sz w:val="32"/>
          <w:szCs w:val="32"/>
        </w:rPr>
        <w:lastRenderedPageBreak/>
        <w:t>单位按规定开支的各类公务接待（含外宾接待）支出。</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7</w:t>
      </w:r>
      <w:r>
        <w:rPr>
          <w:rFonts w:ascii="仿宋" w:eastAsia="仿宋" w:hAnsi="仿宋" w:hint="eastAsia"/>
          <w:b/>
          <w:sz w:val="32"/>
          <w:szCs w:val="32"/>
        </w:rPr>
        <w:t>、机关运行费：</w:t>
      </w:r>
      <w:r>
        <w:rPr>
          <w:rFonts w:ascii="仿宋" w:eastAsia="仿宋" w:hAnsi="仿宋"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5765" w:rsidRDefault="00CF7A10">
      <w:pPr>
        <w:tabs>
          <w:tab w:val="left" w:pos="11490"/>
        </w:tabs>
        <w:ind w:firstLineChars="200" w:firstLine="643"/>
        <w:rPr>
          <w:rFonts w:ascii="仿宋" w:eastAsia="仿宋" w:hAnsi="仿宋"/>
          <w:sz w:val="32"/>
          <w:szCs w:val="32"/>
        </w:rPr>
      </w:pPr>
      <w:r>
        <w:rPr>
          <w:rFonts w:ascii="仿宋" w:eastAsia="仿宋" w:hAnsi="仿宋"/>
          <w:b/>
          <w:sz w:val="32"/>
          <w:szCs w:val="32"/>
        </w:rPr>
        <w:t>8</w:t>
      </w:r>
      <w:r>
        <w:rPr>
          <w:rFonts w:ascii="仿宋" w:eastAsia="仿宋" w:hAnsi="仿宋" w:hint="eastAsia"/>
          <w:b/>
          <w:sz w:val="32"/>
          <w:szCs w:val="32"/>
        </w:rPr>
        <w:t>、上年结转：</w:t>
      </w:r>
      <w:r>
        <w:rPr>
          <w:rFonts w:ascii="仿宋" w:eastAsia="仿宋" w:hAnsi="仿宋" w:hint="eastAsia"/>
          <w:sz w:val="32"/>
          <w:szCs w:val="32"/>
        </w:rPr>
        <w:t>指以前年度尚未完成、结转到本年仍按原规定用途继续使用的资金。</w:t>
      </w:r>
    </w:p>
    <w:p w:rsidR="00235765" w:rsidRDefault="00CF7A10">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九、其他需要说明的事项</w:t>
      </w:r>
    </w:p>
    <w:p w:rsidR="00235765" w:rsidRDefault="00CF7A1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我部门无其他需要说明的事项。</w:t>
      </w:r>
    </w:p>
    <w:sectPr w:rsidR="00235765" w:rsidSect="00235765">
      <w:headerReference w:type="default" r:id="rId7"/>
      <w:pgSz w:w="16838" w:h="11906" w:orient="landscape"/>
      <w:pgMar w:top="1758" w:right="1440" w:bottom="175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765" w:rsidRDefault="00235765" w:rsidP="00235765">
      <w:r>
        <w:separator/>
      </w:r>
    </w:p>
  </w:endnote>
  <w:endnote w:type="continuationSeparator" w:id="0">
    <w:p w:rsidR="00235765" w:rsidRDefault="00235765" w:rsidP="002357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765" w:rsidRDefault="00235765" w:rsidP="00235765">
      <w:r>
        <w:separator/>
      </w:r>
    </w:p>
  </w:footnote>
  <w:footnote w:type="continuationSeparator" w:id="0">
    <w:p w:rsidR="00235765" w:rsidRDefault="00235765" w:rsidP="00235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65" w:rsidRDefault="0023576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66032"/>
    <w:rsid w:val="000156F8"/>
    <w:rsid w:val="00034786"/>
    <w:rsid w:val="00037AF6"/>
    <w:rsid w:val="00042F57"/>
    <w:rsid w:val="00061655"/>
    <w:rsid w:val="0006483E"/>
    <w:rsid w:val="00075D5F"/>
    <w:rsid w:val="0008102F"/>
    <w:rsid w:val="000B020B"/>
    <w:rsid w:val="000B529B"/>
    <w:rsid w:val="000C3A19"/>
    <w:rsid w:val="001245BB"/>
    <w:rsid w:val="001251A3"/>
    <w:rsid w:val="001427EB"/>
    <w:rsid w:val="0019275C"/>
    <w:rsid w:val="00193383"/>
    <w:rsid w:val="001B4EF3"/>
    <w:rsid w:val="001C3CFC"/>
    <w:rsid w:val="001F7873"/>
    <w:rsid w:val="00235765"/>
    <w:rsid w:val="00241FD4"/>
    <w:rsid w:val="00251B12"/>
    <w:rsid w:val="00296113"/>
    <w:rsid w:val="002A673A"/>
    <w:rsid w:val="002C07BE"/>
    <w:rsid w:val="002C3600"/>
    <w:rsid w:val="002C381B"/>
    <w:rsid w:val="002C5E13"/>
    <w:rsid w:val="002C62BC"/>
    <w:rsid w:val="002E0EB8"/>
    <w:rsid w:val="002F3E58"/>
    <w:rsid w:val="002F44D1"/>
    <w:rsid w:val="0030542C"/>
    <w:rsid w:val="00311B7A"/>
    <w:rsid w:val="0031427C"/>
    <w:rsid w:val="00372FA3"/>
    <w:rsid w:val="0039575F"/>
    <w:rsid w:val="00395BE6"/>
    <w:rsid w:val="003D417F"/>
    <w:rsid w:val="003F60E9"/>
    <w:rsid w:val="004076B0"/>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170FE"/>
    <w:rsid w:val="00565588"/>
    <w:rsid w:val="00572067"/>
    <w:rsid w:val="00573562"/>
    <w:rsid w:val="00590ECE"/>
    <w:rsid w:val="00592ADD"/>
    <w:rsid w:val="005A6363"/>
    <w:rsid w:val="005D476E"/>
    <w:rsid w:val="005E7F07"/>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7F7A31"/>
    <w:rsid w:val="00813208"/>
    <w:rsid w:val="008334AE"/>
    <w:rsid w:val="00836FED"/>
    <w:rsid w:val="0083724E"/>
    <w:rsid w:val="00845CD2"/>
    <w:rsid w:val="00852B0D"/>
    <w:rsid w:val="00871D69"/>
    <w:rsid w:val="00881692"/>
    <w:rsid w:val="00883D1A"/>
    <w:rsid w:val="008A02F9"/>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2167A"/>
    <w:rsid w:val="00B43238"/>
    <w:rsid w:val="00B45DD3"/>
    <w:rsid w:val="00B52632"/>
    <w:rsid w:val="00B727A9"/>
    <w:rsid w:val="00B75216"/>
    <w:rsid w:val="00B839ED"/>
    <w:rsid w:val="00B91D52"/>
    <w:rsid w:val="00B9490F"/>
    <w:rsid w:val="00BA1ACD"/>
    <w:rsid w:val="00BA5958"/>
    <w:rsid w:val="00BD09F8"/>
    <w:rsid w:val="00BE54D1"/>
    <w:rsid w:val="00BE7FEB"/>
    <w:rsid w:val="00C26307"/>
    <w:rsid w:val="00C44B90"/>
    <w:rsid w:val="00C53F24"/>
    <w:rsid w:val="00CA7176"/>
    <w:rsid w:val="00CB3D48"/>
    <w:rsid w:val="00CB4665"/>
    <w:rsid w:val="00CC75B0"/>
    <w:rsid w:val="00CD1A1F"/>
    <w:rsid w:val="00CD2773"/>
    <w:rsid w:val="00CE143B"/>
    <w:rsid w:val="00CF5F0A"/>
    <w:rsid w:val="00CF7A10"/>
    <w:rsid w:val="00D0024A"/>
    <w:rsid w:val="00D02E3F"/>
    <w:rsid w:val="00D232C6"/>
    <w:rsid w:val="00D27003"/>
    <w:rsid w:val="00D45BB7"/>
    <w:rsid w:val="00D76BF4"/>
    <w:rsid w:val="00DB4A9B"/>
    <w:rsid w:val="00DF52A7"/>
    <w:rsid w:val="00E167C7"/>
    <w:rsid w:val="00E2482E"/>
    <w:rsid w:val="00E27F2F"/>
    <w:rsid w:val="00E3206C"/>
    <w:rsid w:val="00E35951"/>
    <w:rsid w:val="00E52F0E"/>
    <w:rsid w:val="00E57B93"/>
    <w:rsid w:val="00E73D47"/>
    <w:rsid w:val="00EC47F6"/>
    <w:rsid w:val="00EE65B8"/>
    <w:rsid w:val="00F04652"/>
    <w:rsid w:val="00F149E2"/>
    <w:rsid w:val="00F66032"/>
    <w:rsid w:val="00F82E72"/>
    <w:rsid w:val="00F87C1E"/>
    <w:rsid w:val="00F958C2"/>
    <w:rsid w:val="11367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lsdException w:name="header" w:semiHidden="0" w:unhideWhenUsed="0"/>
    <w:lsdException w:name="footer" w:semiHidden="0" w:unhideWhenUsed="0"/>
    <w:lsdException w:name="caption" w:locked="1" w:uiPriority="0" w:qFormat="1"/>
    <w:lsdException w:name="footnote reference" w:unhideWhenUsed="0"/>
    <w:lsdException w:name="page number"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35765"/>
    <w:rPr>
      <w:sz w:val="18"/>
      <w:szCs w:val="18"/>
    </w:rPr>
  </w:style>
  <w:style w:type="paragraph" w:styleId="a4">
    <w:name w:val="footer"/>
    <w:basedOn w:val="a"/>
    <w:link w:val="Char0"/>
    <w:uiPriority w:val="99"/>
    <w:rsid w:val="00235765"/>
    <w:pPr>
      <w:tabs>
        <w:tab w:val="center" w:pos="4153"/>
        <w:tab w:val="right" w:pos="8306"/>
      </w:tabs>
      <w:snapToGrid w:val="0"/>
      <w:jc w:val="left"/>
    </w:pPr>
    <w:rPr>
      <w:rFonts w:ascii="Times New Roman" w:hAnsi="Times New Roman"/>
      <w:sz w:val="18"/>
      <w:szCs w:val="18"/>
    </w:rPr>
  </w:style>
  <w:style w:type="paragraph" w:styleId="a5">
    <w:name w:val="header"/>
    <w:basedOn w:val="a"/>
    <w:link w:val="Char1"/>
    <w:uiPriority w:val="99"/>
    <w:rsid w:val="00235765"/>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
    <w:name w:val="toc 1"/>
    <w:basedOn w:val="a"/>
    <w:next w:val="a"/>
    <w:uiPriority w:val="99"/>
    <w:rsid w:val="00235765"/>
    <w:rPr>
      <w:rFonts w:ascii="Times New Roman" w:hAnsi="Times New Roman"/>
      <w:szCs w:val="24"/>
    </w:rPr>
  </w:style>
  <w:style w:type="paragraph" w:styleId="a6">
    <w:name w:val="footnote text"/>
    <w:basedOn w:val="a"/>
    <w:link w:val="Char2"/>
    <w:uiPriority w:val="99"/>
    <w:semiHidden/>
    <w:rsid w:val="00235765"/>
    <w:pPr>
      <w:snapToGrid w:val="0"/>
      <w:jc w:val="left"/>
    </w:pPr>
    <w:rPr>
      <w:sz w:val="18"/>
      <w:szCs w:val="18"/>
    </w:rPr>
  </w:style>
  <w:style w:type="paragraph" w:styleId="2">
    <w:name w:val="toc 2"/>
    <w:basedOn w:val="a"/>
    <w:next w:val="a"/>
    <w:uiPriority w:val="99"/>
    <w:qFormat/>
    <w:rsid w:val="00235765"/>
    <w:pPr>
      <w:ind w:leftChars="200" w:left="420"/>
    </w:pPr>
    <w:rPr>
      <w:rFonts w:ascii="Times New Roman" w:hAnsi="Times New Roman"/>
      <w:szCs w:val="24"/>
    </w:rPr>
  </w:style>
  <w:style w:type="character" w:styleId="a7">
    <w:name w:val="page number"/>
    <w:uiPriority w:val="99"/>
    <w:semiHidden/>
    <w:rsid w:val="00235765"/>
    <w:rPr>
      <w:rFonts w:cs="Times New Roman"/>
    </w:rPr>
  </w:style>
  <w:style w:type="character" w:styleId="a8">
    <w:name w:val="Hyperlink"/>
    <w:uiPriority w:val="99"/>
    <w:rsid w:val="00235765"/>
    <w:rPr>
      <w:rFonts w:cs="Times New Roman"/>
      <w:color w:val="0000FF"/>
      <w:u w:val="single"/>
    </w:rPr>
  </w:style>
  <w:style w:type="character" w:styleId="a9">
    <w:name w:val="footnote reference"/>
    <w:uiPriority w:val="99"/>
    <w:semiHidden/>
    <w:rsid w:val="00235765"/>
    <w:rPr>
      <w:rFonts w:cs="Times New Roman"/>
      <w:vertAlign w:val="superscript"/>
    </w:rPr>
  </w:style>
  <w:style w:type="character" w:customStyle="1" w:styleId="Char1">
    <w:name w:val="页眉 Char"/>
    <w:link w:val="a5"/>
    <w:uiPriority w:val="99"/>
    <w:locked/>
    <w:rsid w:val="00235765"/>
    <w:rPr>
      <w:rFonts w:ascii="Times New Roman" w:eastAsia="宋体" w:hAnsi="Times New Roman" w:cs="Times New Roman"/>
      <w:sz w:val="18"/>
      <w:szCs w:val="18"/>
    </w:rPr>
  </w:style>
  <w:style w:type="character" w:customStyle="1" w:styleId="Char0">
    <w:name w:val="页脚 Char"/>
    <w:link w:val="a4"/>
    <w:uiPriority w:val="99"/>
    <w:locked/>
    <w:rsid w:val="00235765"/>
    <w:rPr>
      <w:rFonts w:ascii="Times New Roman" w:eastAsia="宋体" w:hAnsi="Times New Roman" w:cs="Times New Roman"/>
      <w:sz w:val="18"/>
      <w:szCs w:val="18"/>
    </w:rPr>
  </w:style>
  <w:style w:type="character" w:customStyle="1" w:styleId="Char">
    <w:name w:val="批注框文本 Char"/>
    <w:link w:val="a3"/>
    <w:uiPriority w:val="99"/>
    <w:semiHidden/>
    <w:locked/>
    <w:rsid w:val="00235765"/>
    <w:rPr>
      <w:rFonts w:cs="Times New Roman"/>
      <w:sz w:val="18"/>
      <w:szCs w:val="18"/>
    </w:rPr>
  </w:style>
  <w:style w:type="paragraph" w:customStyle="1" w:styleId="Default">
    <w:name w:val="Default"/>
    <w:uiPriority w:val="99"/>
    <w:rsid w:val="00235765"/>
    <w:pPr>
      <w:widowControl w:val="0"/>
      <w:autoSpaceDE w:val="0"/>
      <w:autoSpaceDN w:val="0"/>
      <w:adjustRightInd w:val="0"/>
    </w:pPr>
    <w:rPr>
      <w:rFonts w:ascii="Times New Roman" w:hAnsi="Times New Roman"/>
      <w:color w:val="000000"/>
      <w:sz w:val="24"/>
      <w:szCs w:val="24"/>
    </w:rPr>
  </w:style>
  <w:style w:type="character" w:customStyle="1" w:styleId="Char2">
    <w:name w:val="脚注文本 Char"/>
    <w:link w:val="a6"/>
    <w:uiPriority w:val="99"/>
    <w:semiHidden/>
    <w:locked/>
    <w:rsid w:val="002357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872</Words>
  <Characters>4974</Characters>
  <Application>Microsoft Office Word</Application>
  <DocSecurity>0</DocSecurity>
  <Lines>41</Lines>
  <Paragraphs>11</Paragraphs>
  <ScaleCrop>false</ScaleCrop>
  <Company>Microsoft</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5</cp:revision>
  <cp:lastPrinted>2021-04-29T01:12:00Z</cp:lastPrinted>
  <dcterms:created xsi:type="dcterms:W3CDTF">2021-04-28T09:34:00Z</dcterms:created>
  <dcterms:modified xsi:type="dcterms:W3CDTF">2021-04-29T01:35:00Z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38F6783690EB4AFFB94656CC0BDBA158</vt:lpwstr>
  </property>
</Properties>
</file>