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eastAsia="zh-CN"/>
        </w:rPr>
      </w:pPr>
      <w:r>
        <w:rPr>
          <w:rFonts w:hint="eastAsia" w:ascii="方正小标宋_GBK" w:hAnsi="Times New Roman" w:eastAsia="方正小标宋_GBK" w:cs="Times New Roman"/>
          <w:bCs/>
          <w:sz w:val="44"/>
          <w:szCs w:val="44"/>
          <w:lang w:eastAsia="zh-CN"/>
        </w:rPr>
        <w:t>威县枣元乡人民政府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按照《预算法》、《地方预决算公开操作规程》和《河北省</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级预算公开办法》规定，现将</w:t>
      </w:r>
      <w:r>
        <w:rPr>
          <w:rFonts w:hint="eastAsia" w:ascii="Times New Roman" w:hAnsi="Times New Roman" w:eastAsia="仿宋" w:cs="Times New Roman"/>
          <w:sz w:val="32"/>
          <w:szCs w:val="32"/>
          <w:lang w:eastAsia="zh-CN"/>
        </w:rPr>
        <w:t>威县枣元乡人民政府</w:t>
      </w:r>
      <w:r>
        <w:rPr>
          <w:rFonts w:hint="eastAsia" w:ascii="Times New Roman" w:hAnsi="Times New Roman" w:eastAsia="仿宋" w:cs="Times New Roman"/>
          <w:sz w:val="32"/>
          <w:szCs w:val="32"/>
        </w:rPr>
        <w:t>2020年部门预算公开如下：</w:t>
      </w:r>
    </w:p>
    <w:p>
      <w:pPr>
        <w:keepNext w:val="0"/>
        <w:keepLines w:val="0"/>
        <w:pageBreakBefore w:val="0"/>
        <w:widowControl w:val="0"/>
        <w:kinsoku/>
        <w:wordWrap/>
        <w:overflowPunct/>
        <w:topLinePunct w:val="0"/>
        <w:autoSpaceDE/>
        <w:autoSpaceDN/>
        <w:bidi w:val="0"/>
        <w:adjustRightInd/>
        <w:ind w:firstLine="640"/>
        <w:textAlignment w:val="auto"/>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643" w:firstLineChars="200"/>
        <w:textAlignment w:val="auto"/>
        <w:rPr>
          <w:rFonts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依照宪法和地方组织法的规定，</w:t>
      </w:r>
      <w:r>
        <w:rPr>
          <w:rFonts w:hint="eastAsia" w:ascii="Times New Roman" w:hAnsi="Times New Roman" w:eastAsia="仿宋" w:cs="Times New Roman"/>
          <w:sz w:val="32"/>
          <w:szCs w:val="32"/>
          <w:lang w:val="en-US" w:eastAsia="zh-CN"/>
        </w:rPr>
        <w:t>威县枣元乡人民政府</w:t>
      </w:r>
      <w:r>
        <w:rPr>
          <w:rFonts w:hint="eastAsia" w:ascii="Times New Roman" w:hAnsi="Times New Roman" w:eastAsia="仿宋" w:cs="Times New Roman"/>
          <w:sz w:val="32"/>
          <w:szCs w:val="32"/>
        </w:rPr>
        <w:t>行使下列职权：</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贯彻落实党的路线、方针和政策；</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执行本级人民代表大会的决议和上级国家行政机关的决定和命令，发布决定和命令；</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执行本行政区域内的经济和社会发展计划，组织和领导经济建设，发展农村经济；</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制订和组织实施乡村建设规划，加强公共设施的建设和管理，发展各项服务事业；</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加强水利建设、土地使用管理和环境综合整治，合理开发、利用自然资源，保护耕地，改善生态环境和生活环境；</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开展政务公开建设和社会主义民主与法制教育，加强社会治安综合治理，调解民事纠纷，维护社会秩序；</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推行计划生育，控制人口增长，保护妇女、儿童和老年人的合法权益；</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管理民政行政工作，发展社会福利事业，做好就业和社会保障工作，办理兵役事项；</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管理</w:t>
      </w:r>
      <w:r>
        <w:rPr>
          <w:rFonts w:hint="eastAsia" w:ascii="Times New Roman" w:hAnsi="Times New Roman" w:eastAsia="仿宋" w:cs="Times New Roman"/>
          <w:sz w:val="32"/>
          <w:szCs w:val="32"/>
          <w:lang w:eastAsia="zh-CN"/>
        </w:rPr>
        <w:t>乡</w:t>
      </w:r>
      <w:r>
        <w:rPr>
          <w:rFonts w:hint="eastAsia" w:ascii="Times New Roman" w:hAnsi="Times New Roman" w:eastAsia="仿宋" w:cs="Times New Roman"/>
          <w:sz w:val="32"/>
          <w:szCs w:val="32"/>
        </w:rPr>
        <w:t>财政，执行本级预算；</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管理和发展教育、科学技术、文化、卫生等事业，提高公民素质；</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加强食品安全、安全生产管理；</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管理和发展本行政区域内的公共事业；</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保护国家、集体和公民私有合法财产；</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保障经济、社会组织的合法权益和公民应有的人身权利、民主权利和其他权利；</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指导加强村委会建设，充分发挥村委会作用，提高其服务工作水平；</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（十六）</w:t>
      </w:r>
      <w:r>
        <w:rPr>
          <w:rFonts w:hint="eastAsia" w:ascii="Times New Roman" w:hAnsi="Times New Roman" w:eastAsia="仿宋" w:cs="Times New Roman"/>
          <w:sz w:val="32"/>
          <w:szCs w:val="32"/>
        </w:rPr>
        <w:t>办理上级政府交办的其他事项。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20"/>
        <w:gridCol w:w="1331"/>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220" w:type="dxa"/>
            <w:vMerge w:val="restart"/>
            <w:vAlign w:val="center"/>
          </w:tcPr>
          <w:p>
            <w:pPr>
              <w:spacing w:line="300" w:lineRule="exact"/>
              <w:jc w:val="center"/>
              <w:rPr>
                <w:rFonts w:ascii="Times New Roman" w:hAnsi="Times New Roman" w:eastAsia="方正书宋_GBK" w:cs="Times New Roman"/>
                <w:b/>
                <w:sz w:val="24"/>
                <w:szCs w:val="32"/>
              </w:rPr>
            </w:pPr>
            <w:r>
              <w:rPr>
                <w:rFonts w:ascii="Times New Roman" w:hAnsi="Times New Roman" w:eastAsia="方正书宋_GBK" w:cs="Times New Roman"/>
                <w:b/>
                <w:sz w:val="24"/>
                <w:szCs w:val="32"/>
              </w:rPr>
              <w:t>单位名称</w:t>
            </w:r>
          </w:p>
        </w:tc>
        <w:tc>
          <w:tcPr>
            <w:tcW w:w="1331" w:type="dxa"/>
            <w:vMerge w:val="restart"/>
            <w:vAlign w:val="center"/>
          </w:tcPr>
          <w:p>
            <w:pPr>
              <w:spacing w:line="300" w:lineRule="exact"/>
              <w:jc w:val="center"/>
              <w:rPr>
                <w:rFonts w:ascii="Times New Roman" w:hAnsi="Times New Roman" w:eastAsia="方正书宋_GBK" w:cs="Times New Roman"/>
                <w:b/>
                <w:sz w:val="24"/>
                <w:szCs w:val="32"/>
              </w:rPr>
            </w:pPr>
            <w:r>
              <w:rPr>
                <w:rFonts w:ascii="Times New Roman" w:hAnsi="Times New Roman" w:eastAsia="方正书宋_GBK" w:cs="Times New Roman"/>
                <w:b/>
                <w:sz w:val="24"/>
                <w:szCs w:val="32"/>
              </w:rPr>
              <w:t>单位性质</w:t>
            </w:r>
          </w:p>
        </w:tc>
        <w:tc>
          <w:tcPr>
            <w:tcW w:w="1276" w:type="dxa"/>
            <w:vMerge w:val="restart"/>
            <w:vAlign w:val="center"/>
          </w:tcPr>
          <w:p>
            <w:pPr>
              <w:spacing w:line="300" w:lineRule="exact"/>
              <w:jc w:val="center"/>
              <w:rPr>
                <w:rFonts w:ascii="Times New Roman" w:hAnsi="Times New Roman" w:eastAsia="方正书宋_GBK" w:cs="Times New Roman"/>
                <w:b/>
                <w:sz w:val="24"/>
                <w:szCs w:val="32"/>
              </w:rPr>
            </w:pPr>
            <w:r>
              <w:rPr>
                <w:rFonts w:ascii="Times New Roman" w:hAnsi="Times New Roman" w:eastAsia="方正书宋_GBK" w:cs="Times New Roman"/>
                <w:b/>
                <w:sz w:val="24"/>
                <w:szCs w:val="32"/>
              </w:rPr>
              <w:t>单位规格</w:t>
            </w:r>
          </w:p>
        </w:tc>
        <w:tc>
          <w:tcPr>
            <w:tcW w:w="2902" w:type="dxa"/>
            <w:vMerge w:val="restart"/>
            <w:vAlign w:val="center"/>
          </w:tcPr>
          <w:p>
            <w:pPr>
              <w:spacing w:line="300" w:lineRule="exact"/>
              <w:jc w:val="center"/>
              <w:rPr>
                <w:rFonts w:ascii="Times New Roman" w:hAnsi="Times New Roman" w:eastAsia="方正书宋_GBK" w:cs="Times New Roman"/>
                <w:b/>
                <w:sz w:val="24"/>
                <w:szCs w:val="32"/>
              </w:rPr>
            </w:pPr>
            <w:r>
              <w:rPr>
                <w:rFonts w:ascii="Times New Roman" w:hAnsi="Times New Roman" w:eastAsia="方正书宋_GBK" w:cs="Times New Roman"/>
                <w:b/>
                <w:sz w:val="24"/>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5" w:hRule="atLeast"/>
          <w:tblHeader/>
          <w:jc w:val="center"/>
        </w:trPr>
        <w:tc>
          <w:tcPr>
            <w:tcW w:w="4220" w:type="dxa"/>
            <w:vMerge w:val="continue"/>
            <w:vAlign w:val="center"/>
          </w:tcPr>
          <w:p>
            <w:pPr>
              <w:spacing w:line="300" w:lineRule="exact"/>
              <w:jc w:val="left"/>
              <w:outlineLvl w:val="0"/>
              <w:rPr>
                <w:rFonts w:ascii="Times New Roman" w:hAnsi="Times New Roman" w:cs="Times New Roman"/>
                <w:szCs w:val="24"/>
              </w:rPr>
            </w:pPr>
          </w:p>
        </w:tc>
        <w:tc>
          <w:tcPr>
            <w:tcW w:w="1331"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4220" w:type="dxa"/>
            <w:vAlign w:val="center"/>
          </w:tcPr>
          <w:p>
            <w:pPr>
              <w:shd w:val="clear" w:color="auto" w:fill="FFFFFF"/>
              <w:spacing w:line="300" w:lineRule="exact"/>
              <w:jc w:val="center"/>
              <w:rPr>
                <w:rFonts w:ascii="方正书宋_GBK" w:eastAsia="方正书宋_GBK"/>
              </w:rPr>
            </w:pPr>
            <w:r>
              <w:rPr>
                <w:rFonts w:hint="eastAsia" w:ascii="仿宋" w:hAnsi="仿宋" w:eastAsia="仿宋" w:cs="仿宋"/>
                <w:sz w:val="30"/>
                <w:szCs w:val="30"/>
              </w:rPr>
              <w:t>威县枣元乡</w:t>
            </w:r>
            <w:r>
              <w:rPr>
                <w:rFonts w:hint="eastAsia" w:ascii="仿宋" w:hAnsi="仿宋" w:eastAsia="仿宋" w:cs="仿宋"/>
                <w:sz w:val="30"/>
                <w:szCs w:val="30"/>
                <w:lang w:eastAsia="zh-CN"/>
              </w:rPr>
              <w:t>人民</w:t>
            </w:r>
            <w:r>
              <w:rPr>
                <w:rFonts w:hint="eastAsia" w:ascii="仿宋" w:hAnsi="仿宋" w:eastAsia="仿宋" w:cs="仿宋"/>
                <w:sz w:val="30"/>
                <w:szCs w:val="30"/>
              </w:rPr>
              <w:t>政府</w:t>
            </w:r>
          </w:p>
        </w:tc>
        <w:tc>
          <w:tcPr>
            <w:tcW w:w="1331" w:type="dxa"/>
            <w:vAlign w:val="center"/>
          </w:tcPr>
          <w:p>
            <w:pPr>
              <w:shd w:val="clear" w:color="auto" w:fill="FFFFFF"/>
              <w:spacing w:line="300" w:lineRule="exact"/>
              <w:jc w:val="center"/>
              <w:rPr>
                <w:rFonts w:ascii="Times New Roman" w:hAnsi="Times New Roman" w:eastAsia="方正书宋_GBK" w:cs="Times New Roman"/>
                <w:szCs w:val="24"/>
              </w:rPr>
            </w:pPr>
            <w:r>
              <w:rPr>
                <w:rFonts w:hint="eastAsia" w:ascii="仿宋" w:hAnsi="仿宋" w:eastAsia="仿宋" w:cs="仿宋"/>
                <w:sz w:val="30"/>
                <w:szCs w:val="30"/>
              </w:rPr>
              <w:t>行政</w:t>
            </w:r>
          </w:p>
        </w:tc>
        <w:tc>
          <w:tcPr>
            <w:tcW w:w="1276" w:type="dxa"/>
            <w:vAlign w:val="center"/>
          </w:tcPr>
          <w:p>
            <w:pPr>
              <w:shd w:val="clear" w:color="auto" w:fill="FFFFFF"/>
              <w:spacing w:line="300" w:lineRule="exact"/>
              <w:jc w:val="center"/>
              <w:rPr>
                <w:rFonts w:ascii="Times New Roman" w:hAnsi="Times New Roman" w:eastAsia="方正书宋_GBK" w:cs="Times New Roman"/>
                <w:szCs w:val="24"/>
              </w:rPr>
            </w:pPr>
            <w:r>
              <w:rPr>
                <w:rFonts w:hint="eastAsia" w:ascii="仿宋" w:hAnsi="仿宋" w:eastAsia="仿宋" w:cs="仿宋"/>
                <w:sz w:val="30"/>
                <w:szCs w:val="30"/>
                <w:lang w:eastAsia="zh-CN"/>
              </w:rPr>
              <w:t>正</w:t>
            </w:r>
            <w:r>
              <w:rPr>
                <w:rFonts w:hint="eastAsia" w:ascii="仿宋" w:hAnsi="仿宋" w:eastAsia="仿宋" w:cs="仿宋"/>
                <w:sz w:val="30"/>
                <w:szCs w:val="30"/>
              </w:rPr>
              <w:t>科级</w:t>
            </w:r>
          </w:p>
        </w:tc>
        <w:tc>
          <w:tcPr>
            <w:tcW w:w="2902" w:type="dxa"/>
            <w:vAlign w:val="center"/>
          </w:tcPr>
          <w:p>
            <w:pPr>
              <w:shd w:val="clear" w:color="auto" w:fill="FFFFFF"/>
              <w:spacing w:line="300" w:lineRule="exact"/>
              <w:jc w:val="center"/>
              <w:rPr>
                <w:rFonts w:ascii="方正书宋_GBK" w:eastAsia="方正书宋_GBK"/>
              </w:rPr>
            </w:pPr>
            <w:r>
              <w:rPr>
                <w:rFonts w:hint="eastAsia" w:ascii="仿宋" w:hAnsi="仿宋" w:eastAsia="仿宋" w:cs="仿宋"/>
                <w:sz w:val="30"/>
                <w:szCs w:val="30"/>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Times New Roman" w:hAnsi="Times New Roman" w:eastAsia="仿宋" w:cs="Times New Roman"/>
          <w:sz w:val="32"/>
          <w:szCs w:val="32"/>
          <w:lang w:eastAsia="zh-CN"/>
        </w:rPr>
        <w:t>威县枣元乡人民政府</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hint="eastAsia" w:ascii="Times New Roman" w:hAnsi="Times New Roman" w:eastAsia="仿宋" w:cs="Times New Roman"/>
          <w:sz w:val="32"/>
          <w:szCs w:val="32"/>
          <w:lang w:val="en-US" w:eastAsia="zh-CN"/>
        </w:rPr>
        <w:t>859.71</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859.71</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威县枣元乡人民政府</w:t>
      </w:r>
      <w:r>
        <w:rPr>
          <w:rFonts w:hint="eastAsia" w:ascii="Times New Roman" w:hAnsi="Times New Roman" w:eastAsia="仿宋" w:cs="Times New Roman"/>
          <w:sz w:val="32"/>
          <w:szCs w:val="32"/>
        </w:rPr>
        <w:t>年度部门预算中支出预算的总体情况。2020年部门支出预算为</w:t>
      </w:r>
      <w:r>
        <w:rPr>
          <w:rFonts w:hint="eastAsia" w:ascii="Times New Roman" w:hAnsi="Times New Roman" w:eastAsia="仿宋" w:cs="Times New Roman"/>
          <w:sz w:val="32"/>
          <w:szCs w:val="32"/>
          <w:lang w:val="en-US" w:eastAsia="zh-CN"/>
        </w:rPr>
        <w:t>859.71</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430.87</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403.03</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27.84</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428.84</w:t>
      </w:r>
      <w:r>
        <w:rPr>
          <w:rFonts w:hint="eastAsia" w:ascii="Times New Roman" w:hAnsi="Times New Roman" w:eastAsia="仿宋" w:cs="Times New Roman"/>
          <w:sz w:val="32"/>
          <w:szCs w:val="32"/>
        </w:rPr>
        <w:t>万元，主要为</w:t>
      </w:r>
      <w:r>
        <w:rPr>
          <w:rFonts w:hint="eastAsia" w:ascii="Times New Roman" w:hAnsi="Times New Roman" w:eastAsia="仿宋" w:cs="Times New Roman"/>
          <w:sz w:val="32"/>
          <w:szCs w:val="32"/>
          <w:lang w:eastAsia="zh-CN"/>
        </w:rPr>
        <w:t>节能环保支出</w:t>
      </w:r>
      <w:r>
        <w:rPr>
          <w:rFonts w:hint="eastAsia" w:ascii="Times New Roman" w:hAnsi="Times New Roman" w:eastAsia="仿宋" w:cs="Times New Roman"/>
          <w:sz w:val="32"/>
          <w:szCs w:val="32"/>
          <w:lang w:val="en-US" w:eastAsia="zh-CN"/>
        </w:rPr>
        <w:t>2万元</w:t>
      </w:r>
      <w:r>
        <w:rPr>
          <w:rFonts w:hint="eastAsia" w:ascii="Times New Roman" w:hAnsi="Times New Roman" w:eastAsia="仿宋" w:cs="Times New Roman"/>
          <w:sz w:val="32"/>
          <w:szCs w:val="32"/>
          <w:lang w:eastAsia="zh-CN"/>
        </w:rPr>
        <w:t>、人大事务支出</w:t>
      </w:r>
      <w:r>
        <w:rPr>
          <w:rFonts w:hint="eastAsia" w:ascii="Times New Roman" w:hAnsi="Times New Roman" w:eastAsia="仿宋" w:cs="Times New Roman"/>
          <w:sz w:val="32"/>
          <w:szCs w:val="32"/>
          <w:lang w:val="en-US" w:eastAsia="zh-CN"/>
        </w:rPr>
        <w:t>3万元</w:t>
      </w:r>
      <w:r>
        <w:rPr>
          <w:rFonts w:hint="eastAsia" w:ascii="Times New Roman" w:hAnsi="Times New Roman" w:eastAsia="仿宋" w:cs="Times New Roman"/>
          <w:sz w:val="32"/>
          <w:szCs w:val="32"/>
          <w:lang w:eastAsia="zh-CN"/>
        </w:rPr>
        <w:t>、一般行政管理事务</w:t>
      </w:r>
      <w:r>
        <w:rPr>
          <w:rFonts w:hint="eastAsia" w:ascii="Times New Roman" w:hAnsi="Times New Roman" w:eastAsia="仿宋" w:cs="Times New Roman"/>
          <w:sz w:val="32"/>
          <w:szCs w:val="32"/>
          <w:lang w:val="en-US" w:eastAsia="zh-CN"/>
        </w:rPr>
        <w:t>21万元、农村特困人员救助供养支出101.52万元</w:t>
      </w:r>
      <w:r>
        <w:rPr>
          <w:rFonts w:hint="eastAsia" w:ascii="Times New Roman" w:hAnsi="Times New Roman" w:eastAsia="仿宋" w:cs="Times New Roman"/>
          <w:sz w:val="32"/>
          <w:szCs w:val="32"/>
        </w:rPr>
        <w:t>、义务兵</w:t>
      </w:r>
      <w:r>
        <w:rPr>
          <w:rFonts w:hint="eastAsia" w:ascii="Times New Roman" w:hAnsi="Times New Roman" w:eastAsia="仿宋" w:cs="Times New Roman"/>
          <w:sz w:val="32"/>
          <w:szCs w:val="32"/>
          <w:lang w:eastAsia="zh-CN"/>
        </w:rPr>
        <w:t>优待</w:t>
      </w:r>
      <w:r>
        <w:rPr>
          <w:rFonts w:hint="eastAsia" w:ascii="Times New Roman" w:hAnsi="Times New Roman" w:eastAsia="仿宋" w:cs="Times New Roman"/>
          <w:sz w:val="32"/>
          <w:szCs w:val="32"/>
          <w:lang w:val="en-US" w:eastAsia="zh-CN"/>
        </w:rPr>
        <w:t>17.37万元</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村民委员会和</w:t>
      </w:r>
      <w:r>
        <w:rPr>
          <w:rFonts w:hint="eastAsia" w:ascii="Times New Roman" w:hAnsi="Times New Roman" w:eastAsia="仿宋" w:cs="Times New Roman"/>
          <w:sz w:val="32"/>
          <w:szCs w:val="32"/>
        </w:rPr>
        <w:t>村</w:t>
      </w:r>
      <w:r>
        <w:rPr>
          <w:rFonts w:hint="eastAsia" w:ascii="Times New Roman" w:hAnsi="Times New Roman" w:eastAsia="仿宋" w:cs="Times New Roman"/>
          <w:sz w:val="32"/>
          <w:szCs w:val="32"/>
          <w:lang w:eastAsia="zh-CN"/>
        </w:rPr>
        <w:t>党支</w:t>
      </w:r>
      <w:r>
        <w:rPr>
          <w:rFonts w:hint="eastAsia" w:ascii="Times New Roman" w:hAnsi="Times New Roman" w:eastAsia="仿宋" w:cs="Times New Roman"/>
          <w:sz w:val="32"/>
          <w:szCs w:val="32"/>
        </w:rPr>
        <w:t>部补助</w:t>
      </w:r>
      <w:r>
        <w:rPr>
          <w:rFonts w:hint="eastAsia" w:ascii="Times New Roman" w:hAnsi="Times New Roman" w:eastAsia="仿宋" w:cs="Times New Roman"/>
          <w:sz w:val="32"/>
          <w:szCs w:val="32"/>
          <w:lang w:val="en-US" w:eastAsia="zh-CN"/>
        </w:rPr>
        <w:t>283.95万元</w:t>
      </w:r>
      <w:r>
        <w:rPr>
          <w:rFonts w:hint="eastAsia" w:ascii="Times New Roman" w:hAnsi="Times New Roman" w:eastAsia="仿宋" w:cs="Times New Roman"/>
          <w:sz w:val="32"/>
          <w:szCs w:val="32"/>
        </w:rPr>
        <w:t>等；其他支出0万元。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color w:val="000000"/>
          <w:sz w:val="32"/>
          <w:szCs w:val="32"/>
          <w:lang w:val="en-US" w:eastAsia="zh-CN"/>
        </w:rPr>
        <w:t>859.71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w:t>
      </w:r>
      <w:r>
        <w:rPr>
          <w:rFonts w:hint="eastAsia" w:ascii="Times New Roman" w:hAnsi="Times New Roman" w:eastAsia="仿宋" w:cs="Times New Roman"/>
          <w:sz w:val="32"/>
          <w:szCs w:val="32"/>
          <w:lang w:val="en-US" w:eastAsia="zh-CN"/>
        </w:rPr>
        <w:t>14.33</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53.86</w:t>
      </w:r>
      <w:r>
        <w:rPr>
          <w:rFonts w:hint="eastAsia" w:ascii="Times New Roman" w:hAnsi="Times New Roman" w:eastAsia="仿宋" w:cs="Times New Roman"/>
          <w:sz w:val="32"/>
          <w:szCs w:val="32"/>
        </w:rPr>
        <w:t>万元，主要是人员</w:t>
      </w:r>
      <w:r>
        <w:rPr>
          <w:rFonts w:hint="eastAsia" w:ascii="Times New Roman" w:hAnsi="Times New Roman" w:eastAsia="仿宋" w:cs="Times New Roman"/>
          <w:sz w:val="32"/>
          <w:szCs w:val="32"/>
          <w:lang w:eastAsia="zh-CN"/>
        </w:rPr>
        <w:t>津贴补贴增加</w:t>
      </w:r>
      <w:r>
        <w:rPr>
          <w:rFonts w:hint="eastAsia" w:ascii="Times New Roman" w:hAnsi="Times New Roman" w:eastAsia="仿宋" w:cs="Times New Roman"/>
          <w:sz w:val="32"/>
          <w:szCs w:val="32"/>
        </w:rPr>
        <w:t>；项目支出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39.53</w:t>
      </w:r>
      <w:r>
        <w:rPr>
          <w:rFonts w:hint="eastAsia" w:ascii="Times New Roman" w:hAnsi="Times New Roman" w:eastAsia="仿宋" w:cs="Times New Roman"/>
          <w:sz w:val="32"/>
          <w:szCs w:val="32"/>
        </w:rPr>
        <w:t>万元，主要是政府办公厅（室）及相关机构事务</w:t>
      </w:r>
      <w:r>
        <w:rPr>
          <w:rFonts w:hint="eastAsia" w:ascii="Times New Roman" w:hAnsi="Times New Roman" w:eastAsia="仿宋" w:cs="Times New Roman"/>
          <w:sz w:val="32"/>
          <w:szCs w:val="32"/>
          <w:lang w:eastAsia="zh-CN"/>
        </w:rPr>
        <w:t>支出减少</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w:t>
      </w:r>
      <w:r>
        <w:rPr>
          <w:rFonts w:hint="eastAsia" w:ascii="Times New Roman" w:hAnsi="Times New Roman" w:eastAsia="仿宋" w:cs="Times New Roman"/>
          <w:sz w:val="32"/>
          <w:szCs w:val="32"/>
          <w:lang w:val="en-US" w:eastAsia="zh-CN"/>
        </w:rPr>
        <w:t>17.22</w:t>
      </w:r>
      <w:r>
        <w:rPr>
          <w:rFonts w:hint="eastAsia" w:ascii="Times New Roman" w:hAnsi="Times New Roman" w:eastAsia="仿宋" w:cs="Times New Roman"/>
          <w:sz w:val="32"/>
          <w:szCs w:val="32"/>
        </w:rPr>
        <w:t>万元，主要用于保证机关正常运转的办公费、</w:t>
      </w:r>
      <w:r>
        <w:rPr>
          <w:rFonts w:hint="eastAsia" w:ascii="Times New Roman" w:hAnsi="Times New Roman" w:eastAsia="仿宋" w:cs="Times New Roman"/>
          <w:sz w:val="32"/>
          <w:szCs w:val="32"/>
          <w:lang w:eastAsia="zh-CN"/>
        </w:rPr>
        <w:t>电费、差旅费、</w:t>
      </w:r>
      <w:r>
        <w:rPr>
          <w:rFonts w:hint="eastAsia" w:ascii="Times New Roman" w:hAnsi="Times New Roman" w:eastAsia="仿宋" w:cs="Times New Roman"/>
          <w:sz w:val="32"/>
          <w:szCs w:val="32"/>
        </w:rPr>
        <w:t>维修(护)费、公务接待费、劳务费、公务用车运行维护费等支出。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2020年，我部门财政拨款“三公”经费预算安排3</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万元。“三公”经费</w:t>
      </w:r>
      <w:r>
        <w:rPr>
          <w:rFonts w:hint="eastAsia" w:ascii="Times New Roman" w:hAnsi="Times New Roman" w:eastAsia="仿宋" w:cs="Times New Roman"/>
          <w:sz w:val="32"/>
          <w:szCs w:val="32"/>
          <w:lang w:eastAsia="zh-CN"/>
        </w:rPr>
        <w:t>与201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lang w:eastAsia="zh-CN"/>
        </w:rPr>
        <w:t>年相比减少</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万元，减少的主要原因是：公务用车改革，减少公务用车，相应减少公务用车运维费。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1.和谐稳定，年内本乡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2.现代农业，加快农业结构调整步伐。着力发展现代高效农业，加快土地流转，大力发展蔬菜大棚、葡萄大棚、核桃种植和畜禽养殖，培植我乡新的经济增长点。</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3.招商引资，落实奖罚责任制，以推进招商引资的积极性，努力完成上级下达的招商任务，为全县招商引资工作做出贡献。</w:t>
      </w:r>
    </w:p>
    <w:p>
      <w:pPr>
        <w:autoSpaceDE w:val="0"/>
        <w:autoSpaceDN w:val="0"/>
        <w:adjustRightInd w:val="0"/>
        <w:ind w:left="198" w:firstLine="640" w:firstLineChars="200"/>
        <w:jc w:val="left"/>
        <w:rPr>
          <w:rFonts w:hint="eastAsia" w:ascii="宋体" w:hAnsi="宋体" w:cs="宋体"/>
          <w:sz w:val="32"/>
          <w:szCs w:val="32"/>
        </w:rPr>
      </w:pPr>
      <w:r>
        <w:rPr>
          <w:rFonts w:hint="eastAsia" w:ascii="Times New Roman" w:hAnsi="Times New Roman" w:eastAsia="仿宋" w:cs="Times New Roman"/>
          <w:sz w:val="32"/>
          <w:szCs w:val="32"/>
          <w:lang w:eastAsia="zh-CN"/>
        </w:rPr>
        <w:t>4.优化发展环境。加强对乡村党员干部素质教育，转变作风，规范行为，做好园区服务，建立园区企业定期巡防制度，严厉打击对干扰企业生产生活的“五霸”</w:t>
      </w:r>
      <w:r>
        <w:rPr>
          <w:rFonts w:hint="eastAsia" w:ascii="宋体" w:hAnsi="宋体" w:cs="宋体"/>
          <w:sz w:val="32"/>
          <w:szCs w:val="32"/>
        </w:rPr>
        <w:t>。</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80" w:lineRule="exact"/>
        <w:rPr>
          <w:rFonts w:hint="eastAsia" w:ascii="新宋体" w:hAnsi="新宋体" w:eastAsia="新宋体"/>
          <w:sz w:val="32"/>
        </w:rPr>
      </w:pPr>
      <w:r>
        <w:rPr>
          <w:rFonts w:hint="eastAsia" w:ascii="新宋体" w:hAnsi="新宋体" w:eastAsia="新宋体"/>
          <w:sz w:val="32"/>
          <w:lang w:val="en-US" w:eastAsia="zh-CN"/>
        </w:rPr>
        <w:t xml:space="preserve">    1、</w:t>
      </w:r>
      <w:r>
        <w:rPr>
          <w:rFonts w:hint="eastAsia" w:ascii="新宋体" w:hAnsi="新宋体" w:eastAsia="新宋体"/>
          <w:sz w:val="32"/>
        </w:rPr>
        <w:t xml:space="preserve">招商引资工作 </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80" w:lineRule="exact"/>
        <w:rPr>
          <w:rFonts w:hint="eastAsia" w:ascii="新宋体" w:hAnsi="新宋体" w:eastAsia="新宋体"/>
          <w:sz w:val="32"/>
        </w:rPr>
      </w:pPr>
      <w:r>
        <w:rPr>
          <w:rFonts w:hint="eastAsia" w:ascii="新宋体" w:hAnsi="新宋体" w:eastAsia="新宋体"/>
          <w:sz w:val="32"/>
          <w:lang w:val="en-US" w:eastAsia="zh-CN"/>
        </w:rPr>
        <w:t xml:space="preserve">    </w:t>
      </w:r>
      <w:r>
        <w:rPr>
          <w:rFonts w:hint="eastAsia" w:ascii="新宋体" w:hAnsi="新宋体" w:eastAsia="新宋体"/>
          <w:sz w:val="32"/>
        </w:rPr>
        <w:t>绩效目标：我乡日常招商签约项目分别是：（1）投资30亿元年产30万台工程机械项目，（2）投资5亿元农业硅谷项目，（3）投资2500万元辛台林养殖小区项目，（4）投资1100万元魏寨养殖场项目，（5）投资1500万元井湖寨养殖场项目。“百千亿”项目分别是：（1）投资2600万元汽车玻璃生产项目，（2）投资2000万元汽车滤芯生产项目，（3）投资1600万元汽车尿素生产项目，（4）投资2300万元饮品生产项目，（5）投资1500万元中空铝隔条生产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80" w:lineRule="exact"/>
        <w:rPr>
          <w:rFonts w:hint="eastAsia" w:ascii="新宋体" w:hAnsi="新宋体" w:eastAsia="新宋体"/>
          <w:sz w:val="32"/>
        </w:rPr>
      </w:pPr>
      <w:r>
        <w:rPr>
          <w:rFonts w:hint="eastAsia" w:ascii="新宋体" w:hAnsi="新宋体" w:eastAsia="新宋体"/>
          <w:sz w:val="32"/>
          <w:lang w:val="en-US" w:eastAsia="zh-CN"/>
        </w:rPr>
        <w:t xml:space="preserve">   </w:t>
      </w:r>
      <w:r>
        <w:rPr>
          <w:rFonts w:hint="eastAsia" w:ascii="新宋体" w:hAnsi="新宋体" w:eastAsia="新宋体"/>
          <w:sz w:val="32"/>
        </w:rPr>
        <w:t>2、文化卫生公共事业工作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80" w:lineRule="exact"/>
        <w:ind w:firstLine="480"/>
        <w:rPr>
          <w:rFonts w:hint="eastAsia" w:ascii="新宋体" w:hAnsi="新宋体" w:eastAsia="新宋体"/>
          <w:sz w:val="32"/>
        </w:rPr>
      </w:pPr>
      <w:r>
        <w:rPr>
          <w:rFonts w:hint="eastAsia" w:ascii="新宋体" w:hAnsi="新宋体" w:eastAsia="新宋体"/>
          <w:sz w:val="32"/>
        </w:rPr>
        <w:t xml:space="preserve"> 绩效目标：一是人口和计划生育工作有序推进。制定爱心提示卡制度，送证上门，使每个育龄对象都能做到持证生育。全乡人口出生率控制在13.07‰，符合政策生育率达到93.17%。全面推进基础设施建设。二绿化，街道两旁、河道新栽绿植约200余亩；农村面貌改造，为枣元、寺庄、西台吉、东台吉等22个村安装文化长廊、书柜和桌椅，在丁寨村建设两室1个，已投入使用，方便更好的服务群众。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80" w:lineRule="exact"/>
        <w:ind w:firstLine="560"/>
        <w:rPr>
          <w:rFonts w:hint="eastAsia" w:ascii="新宋体" w:hAnsi="新宋体" w:eastAsia="新宋体"/>
          <w:sz w:val="32"/>
        </w:rPr>
      </w:pPr>
      <w:r>
        <w:rPr>
          <w:rFonts w:hint="eastAsia" w:ascii="新宋体" w:hAnsi="新宋体" w:eastAsia="新宋体"/>
          <w:sz w:val="32"/>
        </w:rPr>
        <w:t>3、现代农业工作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80" w:lineRule="exact"/>
        <w:ind w:firstLine="560"/>
        <w:rPr>
          <w:rFonts w:hint="eastAsia" w:ascii="新宋体" w:hAnsi="新宋体" w:eastAsia="新宋体"/>
          <w:sz w:val="32"/>
        </w:rPr>
      </w:pPr>
      <w:r>
        <w:rPr>
          <w:rFonts w:hint="eastAsia" w:ascii="新宋体" w:hAnsi="新宋体" w:eastAsia="新宋体"/>
          <w:sz w:val="32"/>
        </w:rPr>
        <w:t>绩效目标：发展高效农业、特色农业作为促进农民增收致富、繁荣农村经济，推进农业建设进度，增加种植户收入。围绕社会主义新农村建设，把发展现代农业、加快农村经济发展贯穿始终。一是规划两个农业园区，分别是以牛寨现代蔬菜温室大棚为依托，发展万亩蔬菜园区，已建设冷棚32个，暖棚73个；以官地大棚葡萄种植为依托，发展万亩葡萄园区，已建设大棚41个，面积136亩；二是完成土地流转4192.6亩，已累计流转土地18480.6亩，建设万亩蔬菜，为农业产业化、规模化经营打下坚实基础。着力发展现代高效农业，加快土地流转，积极鼓励引导农民发展成立农业合作社，为农民建立合作社提供金融、人才、税收优惠等政策，通过一批优质合作社的成立，带动我乡农业致富，加快我乡农业发展升级，加快农业结构调整步伐。</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1、量化分解目标。将年度目标任务量化分解到班子成员和每个股室，明确责任人和完成时限，上墙公示、公开承诺、接受监督。</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2、强化跟踪要账。实行周汇报、月调度、季排队制度，明确专人督查指导、跟踪问效，及时表扬先进、通报后进，督促落实。</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4、加强绩效监控。积极开展绩效运行监控，发现问题及时采取措施，确保绩效目标如期保质实现。</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autoSpaceDE w:val="0"/>
        <w:autoSpaceDN w:val="0"/>
        <w:adjustRightInd w:val="0"/>
        <w:ind w:left="198" w:firstLine="643" w:firstLineChars="200"/>
        <w:jc w:val="left"/>
        <w:rPr>
          <w:rFonts w:ascii="Times New Roman" w:hAnsi="Times New Roman" w:eastAsia="方正仿宋_GBK" w:cs="Times New Roman"/>
          <w:b/>
          <w:color w:val="000000" w:themeColor="text1"/>
          <w:sz w:val="32"/>
          <w:szCs w:val="32"/>
        </w:rPr>
      </w:pPr>
      <w:r>
        <w:rPr>
          <w:rFonts w:hint="eastAsia" w:ascii="Times New Roman" w:hAnsi="Times New Roman" w:eastAsia="方正仿宋_GBK" w:cs="Times New Roman"/>
          <w:b/>
          <w:color w:val="000000" w:themeColor="text1"/>
          <w:sz w:val="32"/>
          <w:szCs w:val="32"/>
        </w:rPr>
        <w:t>第二部分  预算项目绩效目标</w:t>
      </w:r>
    </w:p>
    <w:bookmarkEnd w:id="0"/>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1、村干部补贴绩效目标表</w:t>
      </w:r>
      <w:bookmarkStart w:id="4" w:name="_Toc20015"/>
      <w:r>
        <w:fldChar w:fldCharType="begin"/>
      </w:r>
      <w:r>
        <w:rPr>
          <w:rFonts w:hint="eastAsia" w:ascii="方正仿宋_GBK" w:hAnsi="方正仿宋_GBK" w:eastAsia="方正仿宋_GBK" w:cs="方正仿宋_GBK"/>
          <w:b/>
          <w:sz w:val="28"/>
          <w:u w:val="none"/>
          <w:lang w:eastAsia="zh-CN"/>
        </w:rPr>
        <w:instrText xml:space="preserve"> TC 1、村干部补贴绩效目标表 \f C \l 1 </w:instrText>
      </w:r>
      <w:r>
        <w:rPr>
          <w:rFonts w:hint="eastAsia" w:ascii="方正仿宋_GBK" w:hAnsi="方正仿宋_GBK" w:eastAsia="方正仿宋_GBK" w:cs="方正仿宋_GBK"/>
          <w:b/>
          <w:sz w:val="28"/>
          <w:u w:val="none"/>
          <w:lang w:eastAsia="zh-CN"/>
        </w:rPr>
        <w:fldChar w:fldCharType="end"/>
      </w:r>
      <w:bookmarkEnd w:id="4"/>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809-0601-JXN-8GS1</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2051800.00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2051800.00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党支部是党在农村的最基层的组织，是本村各种组织和各项工作的领导核心，是团结带领广大党员和群众建设有中国特色社会主义新农村的战斗堡垒。村级党支部成员一般由村支部书记、村委委员（二到七人不等）组成。村委委员的多少一般与该村人口的多少有关，如果是人口大村，委员数量会多一点。按照县委县政府安排，各村村支书、村主任、村委、支委成员和大学生村官按月发放工资，村支书每人每月发放1500元，支书主任一人兼每月发放2250元，村委支委成员每人每月750元，大学生村官参照乡乡事业人员工资标准执行，由县财政按月统一发放到银行卡我乡2020年预算2051800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1、目标1：将工资如数如实的发放到每个村干部银行卡中。</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2、目标2：提高村干部的工作积极性。</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本乡内村数量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本乡内村数量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36个</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本乡内村数量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扶助资金到位率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扶助资金到位率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1年</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2、村级组织支出补助绩效目标表</w:t>
      </w:r>
      <w:bookmarkStart w:id="5" w:name="_Toc8430"/>
      <w:r>
        <w:fldChar w:fldCharType="begin"/>
      </w:r>
      <w:r>
        <w:rPr>
          <w:rFonts w:hint="eastAsia" w:ascii="方正仿宋_GBK" w:hAnsi="方正仿宋_GBK" w:eastAsia="方正仿宋_GBK" w:cs="方正仿宋_GBK"/>
          <w:b/>
          <w:sz w:val="28"/>
          <w:u w:val="none"/>
          <w:lang w:eastAsia="zh-CN"/>
        </w:rPr>
        <w:instrText xml:space="preserve"> TC 2、村级组织支出补助绩效目标表 \f C \l 1 </w:instrText>
      </w:r>
      <w:r>
        <w:rPr>
          <w:rFonts w:hint="eastAsia" w:ascii="方正仿宋_GBK" w:hAnsi="方正仿宋_GBK" w:eastAsia="方正仿宋_GBK" w:cs="方正仿宋_GBK"/>
          <w:b/>
          <w:sz w:val="28"/>
          <w:u w:val="none"/>
          <w:lang w:eastAsia="zh-CN"/>
        </w:rPr>
        <w:fldChar w:fldCharType="end"/>
      </w:r>
      <w:bookmarkEnd w:id="5"/>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809-0601-JXN-B14Z</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村级组织支出补助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521000.00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521000.00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转移支付是宏观调控的重要手段之一，一般指中央政府通过国民收入的分配和再分配，将其一部分财政收入单方面无偿地让渡给某些地方而发生的支出，通过财政转移支付形式，对村级组织运转经费进行了补助，村级转移支付成为了保障村级组织正常运转的重要资金来源，在加快新农村建设和促进和谐社会建设中发挥着极为重要的作用。按照县委县政府安排，县级财政对村级采用财政转移支付方式进行补助，以保障村级组织的正常运转。通过财政转移支付形式，对村级组织运转经费进行了补助，村级转移支付成为了保障村级组织正常运转的重要资金来源，在加快新农村建设和促进和谐社会建设中发挥着极为重要的作用。2020年我乡镇对村转移支付预算数521000元，涉及36个村，主要用于村级办公费和村内基础设施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1、更好的服务人民群众和维护改善村内基础设施建设维护</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2、正常保证村级办公的正常运转。</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补助村数量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经费补助的村数量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36个</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枣元乡所辖村数量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发放补助的时间</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每年年中和年末发放,一共两次</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村级组织补贴的发放完成率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村级组织服务水平增长率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村级组织服务村民的水平比上年提高</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村级组织服务村民的水平比上年提高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接受服务对提供服务的满意程度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3、环保所经费绩效目标表</w:t>
      </w:r>
      <w:bookmarkStart w:id="6" w:name="_Toc14428"/>
      <w:r>
        <w:fldChar w:fldCharType="begin"/>
      </w:r>
      <w:r>
        <w:rPr>
          <w:rFonts w:hint="eastAsia" w:ascii="方正仿宋_GBK" w:hAnsi="方正仿宋_GBK" w:eastAsia="方正仿宋_GBK" w:cs="方正仿宋_GBK"/>
          <w:b/>
          <w:sz w:val="28"/>
          <w:u w:val="none"/>
          <w:lang w:eastAsia="zh-CN"/>
        </w:rPr>
        <w:instrText xml:space="preserve"> TC 3、环保所经费绩效目标表 \f C \l 1 </w:instrText>
      </w:r>
      <w:r>
        <w:rPr>
          <w:rFonts w:hint="eastAsia" w:ascii="方正仿宋_GBK" w:hAnsi="方正仿宋_GBK" w:eastAsia="方正仿宋_GBK" w:cs="方正仿宋_GBK"/>
          <w:b/>
          <w:sz w:val="28"/>
          <w:u w:val="none"/>
          <w:lang w:eastAsia="zh-CN"/>
        </w:rPr>
        <w:fldChar w:fldCharType="end"/>
      </w:r>
      <w:bookmarkEnd w:id="6"/>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809-0703-YXN-DANR</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环保所经费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枣元乡辖区区域内环保事务工作经费20000元.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1、严格按照上级规定拨付资金.</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2、确保资金规范使用.</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开展外宣活动数量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反映开展外宣活动情况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≥50开展宣传次数</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社会影响力</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在全镇产生的重要影响，得到广大受众的充分认可。</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对居民产生的影响</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群众对当年环保工作的整体满意度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≤100群众对工作的满意度</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4、人大代表及联络站运行经费绩效目标表</w:t>
      </w:r>
      <w:bookmarkStart w:id="7" w:name="_Toc29441"/>
      <w:r>
        <w:fldChar w:fldCharType="begin"/>
      </w:r>
      <w:r>
        <w:rPr>
          <w:rFonts w:hint="eastAsia" w:ascii="方正仿宋_GBK" w:hAnsi="方正仿宋_GBK" w:eastAsia="方正仿宋_GBK" w:cs="方正仿宋_GBK"/>
          <w:b/>
          <w:sz w:val="28"/>
          <w:u w:val="none"/>
          <w:lang w:eastAsia="zh-CN"/>
        </w:rPr>
        <w:instrText xml:space="preserve"> TC 4、人大代表及联络站运行经费绩效目标表 \f C \l 1 </w:instrText>
      </w:r>
      <w:r>
        <w:rPr>
          <w:rFonts w:hint="eastAsia" w:ascii="方正仿宋_GBK" w:hAnsi="方正仿宋_GBK" w:eastAsia="方正仿宋_GBK" w:cs="方正仿宋_GBK"/>
          <w:b/>
          <w:sz w:val="28"/>
          <w:u w:val="none"/>
          <w:lang w:eastAsia="zh-CN"/>
        </w:rPr>
        <w:fldChar w:fldCharType="end"/>
      </w:r>
      <w:bookmarkEnd w:id="7"/>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809-0201-YXN-2BQ7</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人大代表及联络站运行经费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30000.00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30000.00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保障人大代表联络站日常运行，完善人大代表活动场所建设，保障人大代表依法履职，畅通社情民意表达和反应的渠道。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1、积极完善人大代表活动场所建设，保障人大代表依法履职。</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2、加强人大代表与人民群众联系的阵地和渠道，拓宽各级人大及其常委会和人大代表联系人民群众的方式，畅通社情民意表达和反应的渠道。</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人大代表登记、履职完成率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人大代表登记、履职完成数量占应登记数量比例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人大联络站有记录的会议完成情况</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人大联络站有记录的会议占总会议次数的比例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经济效益指标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人大代表履职活动完成情况</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人大代表履职活动完成占总任务比例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活动完成情况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≥97百分比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5、体制补助绩效目标表</w:t>
      </w:r>
      <w:bookmarkStart w:id="8" w:name="_Toc28792"/>
      <w:r>
        <w:fldChar w:fldCharType="begin"/>
      </w:r>
      <w:r>
        <w:rPr>
          <w:rFonts w:hint="eastAsia" w:ascii="方正仿宋_GBK" w:hAnsi="方正仿宋_GBK" w:eastAsia="方正仿宋_GBK" w:cs="方正仿宋_GBK"/>
          <w:b/>
          <w:sz w:val="28"/>
          <w:u w:val="none"/>
          <w:lang w:eastAsia="zh-CN"/>
        </w:rPr>
        <w:instrText xml:space="preserve"> TC 5、体制补助绩效目标表 \f C \l 1 </w:instrText>
      </w:r>
      <w:r>
        <w:rPr>
          <w:rFonts w:hint="eastAsia" w:ascii="方正仿宋_GBK" w:hAnsi="方正仿宋_GBK" w:eastAsia="方正仿宋_GBK" w:cs="方正仿宋_GBK"/>
          <w:b/>
          <w:sz w:val="28"/>
          <w:u w:val="none"/>
          <w:lang w:eastAsia="zh-CN"/>
        </w:rPr>
        <w:fldChar w:fldCharType="end"/>
      </w:r>
      <w:bookmarkEnd w:id="8"/>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809-0201-YXN-8MGH</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体制补助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210000.00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210000.00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县财政部门根据县经委、税务部门审核后的分类别、分企业、分税种收入情况和本细则确定的内容、口径，测算乡镇工业企业入库税收地方留成及增量情况，提出乡镇落实奖励政策方案，报县政府审定后一次性兑现到位。2020年县委县政府安排我镇体制补助预算数为 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1、资金及时拨付</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2、按照安排完成年初目标</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按照要求和计划完成研究任务的项目在所有立项项目中的比例（百分比）</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≥95比例</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开展外宣活动数量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反映开展外宣活动情况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≥5次数</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社会稳定水平</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通过实施扶助政策促进社会稳定水平逐步提高</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≥90比例</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≥95满意度</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6、网格员补助绩效目标表</w:t>
      </w:r>
      <w:bookmarkStart w:id="9" w:name="_Toc8018"/>
      <w:r>
        <w:fldChar w:fldCharType="begin"/>
      </w:r>
      <w:r>
        <w:rPr>
          <w:rFonts w:hint="eastAsia" w:ascii="方正仿宋_GBK" w:hAnsi="方正仿宋_GBK" w:eastAsia="方正仿宋_GBK" w:cs="方正仿宋_GBK"/>
          <w:b/>
          <w:sz w:val="28"/>
          <w:u w:val="none"/>
          <w:lang w:eastAsia="zh-CN"/>
        </w:rPr>
        <w:instrText xml:space="preserve"> TC 6、网格员补助绩效目标表 \f C \l 1 </w:instrText>
      </w:r>
      <w:r>
        <w:rPr>
          <w:rFonts w:hint="eastAsia" w:ascii="方正仿宋_GBK" w:hAnsi="方正仿宋_GBK" w:eastAsia="方正仿宋_GBK" w:cs="方正仿宋_GBK"/>
          <w:b/>
          <w:sz w:val="28"/>
          <w:u w:val="none"/>
          <w:lang w:eastAsia="zh-CN"/>
        </w:rPr>
        <w:fldChar w:fldCharType="end"/>
      </w:r>
      <w:bookmarkEnd w:id="9"/>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809-0601-JXN-3D2G</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266700.00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266700.00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整合原有村治保主任、育龄妇女小组长、市场监管协管员、民政员、村河长等5类人员的补贴进行整合捆绑，由县财政每年为各乡镇统一安排网格员专项经费，根据人口和工作数量核定各乡镇具体数额，村网格员待遇由乡镇统筹确定并负责发放。村级网格员补贴分为两部分，一是每月补贴通讯费、交通费60元；二是乡镇根据网格员的工作绩效情况给予适当补贴和奖励。我乡网格员补助金额为266700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1、积极发挥网格员人群的优势,做好全镇的基本工作.</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2、按时按需的发放网格员补助</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村数</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全乡有网格员的村数量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36个</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全乡共有36个村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补助全部发放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通过实施网格员政策促进社会稳定水平逐步提高</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社会水平稳定提高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能够长期较好地开展网格员工作，长期满足人民群众对精神文化的需求。</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1年</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接受网格员补助的人群的满意程度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7、五保供养补助绩效目标表</w:t>
      </w:r>
      <w:bookmarkStart w:id="10" w:name="_Toc20147"/>
      <w:r>
        <w:fldChar w:fldCharType="begin"/>
      </w:r>
      <w:r>
        <w:rPr>
          <w:rFonts w:hint="eastAsia" w:ascii="方正仿宋_GBK" w:hAnsi="方正仿宋_GBK" w:eastAsia="方正仿宋_GBK" w:cs="方正仿宋_GBK"/>
          <w:b/>
          <w:sz w:val="28"/>
          <w:u w:val="none"/>
          <w:lang w:eastAsia="zh-CN"/>
        </w:rPr>
        <w:instrText xml:space="preserve"> TC 7、五保供养补助绩效目标表 \f C \l 1 </w:instrText>
      </w:r>
      <w:r>
        <w:rPr>
          <w:rFonts w:hint="eastAsia" w:ascii="方正仿宋_GBK" w:hAnsi="方正仿宋_GBK" w:eastAsia="方正仿宋_GBK" w:cs="方正仿宋_GBK"/>
          <w:b/>
          <w:sz w:val="28"/>
          <w:u w:val="none"/>
          <w:lang w:eastAsia="zh-CN"/>
        </w:rPr>
        <w:fldChar w:fldCharType="end"/>
      </w:r>
      <w:bookmarkEnd w:id="10"/>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809-0708-JXN-N7PR</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五保供养补助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1015200.00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1015200.00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我国农村依照《农村五保供养工作条例》规定对丧失劳动能力和生活没有依靠的老、弱、孤、寡、残的农民实行保吃、保穿、保住、保医、保葬的一种社会救助制度，按照《河北省农村五保供养实施办法》，对于年满60周岁的老年人、残疾人或未满16周岁的农村居民，无劳动能力、无生活来源又无法定赡养、抚养、扶养义务人，或者其法定赡养、抚养、扶养义务人无赡养、抚养、扶养能力的，为上述人员符合条件者，由本人或村委干部提交材料申请，主管部门对其进行材料评审、事实考察，凡符合《河北省农村五保供养实施办法》条件者，均可享受农村五保供养待遇。我乡镇2020年预算资金1015200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1、将补助资金按时发放到五保户银行卡中。</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2、为五保户提供基本生活保障。</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补贴发放及时率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扶助资金到位率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扶助资金到位率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1年</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8、义务兵补助绩效目标表</w:t>
      </w:r>
      <w:bookmarkStart w:id="11" w:name="_Toc14263"/>
      <w:r>
        <w:fldChar w:fldCharType="begin"/>
      </w:r>
      <w:r>
        <w:rPr>
          <w:rFonts w:hint="eastAsia" w:ascii="方正仿宋_GBK" w:hAnsi="方正仿宋_GBK" w:eastAsia="方正仿宋_GBK" w:cs="方正仿宋_GBK"/>
          <w:b/>
          <w:sz w:val="28"/>
          <w:u w:val="none"/>
          <w:lang w:eastAsia="zh-CN"/>
        </w:rPr>
        <w:instrText xml:space="preserve"> TC 8、义务兵补助绩效目标表 \f C \l 1 </w:instrText>
      </w:r>
      <w:r>
        <w:rPr>
          <w:rFonts w:hint="eastAsia" w:ascii="方正仿宋_GBK" w:hAnsi="方正仿宋_GBK" w:eastAsia="方正仿宋_GBK" w:cs="方正仿宋_GBK"/>
          <w:b/>
          <w:sz w:val="28"/>
          <w:u w:val="none"/>
          <w:lang w:eastAsia="zh-CN"/>
        </w:rPr>
        <w:fldChar w:fldCharType="end"/>
      </w:r>
      <w:bookmarkEnd w:id="11"/>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809002威县枣元乡政府办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809-0709-JXN-IBPG</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义务兵补助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173700.00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173700.00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兵役制度是国家关于公民参加军队和其他武装组织、承担军事任务或在军队外接受军事训练的一项重要的军事制度。它随着国家的出现而产生，又随着国家的经济情况、政治制度和军事需要而变化。按照县委县政府安排，对于农村义务兵家庭优待金按照每户每年当地上年度农村居民人均可支配收入计发;大学生义务兵家庭优待金标准按照当地上年度农村居民人均可支配收入的110%计发；进藏和到新疆艰苦地区服役义务兵，其家庭优待金按照当地同类户口性质义务兵家庭优待金标准的150%计发。我乡镇有义务兵预算数173700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1、将补助及时发放到义务兵银行卡中。</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2、保证义务兵正常生活水平。</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补贴发放情况</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是否按时发放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扶助资金到位率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扶助资金到位率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群众认可度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1年</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autoSpaceDE w:val="0"/>
        <w:autoSpaceDN w:val="0"/>
        <w:adjustRightInd w:val="0"/>
        <w:ind w:firstLine="960" w:firstLineChars="300"/>
        <w:jc w:val="left"/>
        <w:rPr>
          <w:rFonts w:hint="eastAsia" w:ascii="黑体" w:hAnsi="黑体" w:eastAsia="黑体" w:cs="Times New Roman"/>
          <w:sz w:val="32"/>
          <w:szCs w:val="32"/>
        </w:rPr>
        <w:sectPr>
          <w:footerReference r:id="rId3" w:type="default"/>
          <w:pgSz w:w="11907" w:h="16839"/>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2"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0.9</w:t>
      </w:r>
      <w:r>
        <w:rPr>
          <w:rFonts w:ascii="Times New Roman" w:hAnsi="Times New Roman" w:eastAsia="仿宋" w:cs="Times New Roman"/>
          <w:sz w:val="32"/>
          <w:szCs w:val="24"/>
        </w:rPr>
        <w:t>万元。具体内容见下表。</w:t>
      </w:r>
      <w:bookmarkEnd w:id="12"/>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3" w:name="_Toc28848395"/>
      <w:r>
        <w:rPr>
          <w:rFonts w:hint="eastAsia" w:ascii="方正小标宋_GBK" w:eastAsia="方正小标宋_GBK"/>
          <w:sz w:val="32"/>
        </w:rPr>
        <w:instrText xml:space="preserve">部门政府采购预算</w:instrText>
      </w:r>
      <w:bookmarkEnd w:id="13"/>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9"/>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809威县枣元乡人民政府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hint="eastAsia" w:ascii="方正书宋_GBK" w:eastAsia="方正书宋_GBK"/>
                <w:b/>
                <w:lang w:val="en-US" w:eastAsia="zh-CN"/>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center"/>
              <w:rPr>
                <w:rFonts w:hint="eastAsia" w:ascii="方正书宋_GBK" w:hAnsi="宋体" w:eastAsia="方正书宋_GBK" w:cs="宋体"/>
                <w:b/>
                <w:bCs/>
                <w:color w:val="000000"/>
                <w:szCs w:val="21"/>
                <w:lang w:val="en-US" w:eastAsia="zh-CN"/>
              </w:rPr>
            </w:pPr>
            <w:r>
              <w:rPr>
                <w:rFonts w:hint="eastAsia" w:ascii="方正书宋_GBK" w:hAnsi="宋体" w:eastAsia="方正书宋_GBK" w:cs="宋体"/>
                <w:b/>
                <w:bCs/>
                <w:color w:val="000000"/>
                <w:szCs w:val="21"/>
                <w:lang w:val="en-US" w:eastAsia="zh-CN"/>
              </w:rPr>
              <w:t>0.9</w:t>
            </w:r>
          </w:p>
        </w:tc>
        <w:tc>
          <w:tcPr>
            <w:tcW w:w="992" w:type="dxa"/>
            <w:vAlign w:val="center"/>
          </w:tcPr>
          <w:p>
            <w:pPr>
              <w:adjustRightInd w:val="0"/>
              <w:snapToGrid w:val="0"/>
              <w:jc w:val="center"/>
              <w:rPr>
                <w:rFonts w:hint="eastAsia" w:ascii="方正书宋_GBK" w:hAnsi="宋体" w:eastAsia="方正书宋_GBK" w:cs="宋体"/>
                <w:b/>
                <w:bCs/>
                <w:color w:val="000000"/>
                <w:szCs w:val="21"/>
                <w:lang w:val="en-US" w:eastAsia="zh-CN"/>
              </w:rPr>
            </w:pPr>
            <w:r>
              <w:rPr>
                <w:rFonts w:hint="eastAsia" w:ascii="方正书宋_GBK" w:hAnsi="宋体" w:eastAsia="方正书宋_GBK" w:cs="宋体"/>
                <w:b/>
                <w:bCs/>
                <w:color w:val="000000"/>
                <w:szCs w:val="21"/>
                <w:lang w:val="en-US" w:eastAsia="zh-CN"/>
              </w:rPr>
              <w:t>0.9</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val="0"/>
                <w:bCs/>
              </w:rPr>
              <w:t>日常公用</w:t>
            </w:r>
          </w:p>
        </w:tc>
        <w:tc>
          <w:tcPr>
            <w:tcW w:w="1134"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val="0"/>
                <w:bCs/>
                <w:lang w:val="en-US" w:eastAsia="zh-CN"/>
              </w:rPr>
              <w:t>6.52</w:t>
            </w:r>
          </w:p>
        </w:tc>
        <w:tc>
          <w:tcPr>
            <w:tcW w:w="1559"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color w:val="000000"/>
                <w:kern w:val="0"/>
                <w:sz w:val="18"/>
                <w:szCs w:val="18"/>
                <w:u w:val="none"/>
                <w:lang w:val="en-US" w:eastAsia="zh-CN" w:bidi="ar"/>
              </w:rPr>
              <w:t>金属质柜类</w:t>
            </w:r>
          </w:p>
        </w:tc>
        <w:tc>
          <w:tcPr>
            <w:tcW w:w="1417" w:type="dxa"/>
            <w:vAlign w:val="center"/>
          </w:tcPr>
          <w:p>
            <w:pPr>
              <w:spacing w:line="300" w:lineRule="exact"/>
              <w:jc w:val="left"/>
              <w:rPr>
                <w:rFonts w:ascii="方正书宋_GBK" w:eastAsia="方正书宋_GBK"/>
                <w:b/>
              </w:rPr>
            </w:pPr>
            <w:r>
              <w:rPr>
                <w:rFonts w:hint="eastAsia" w:ascii="宋体" w:hAnsi="宋体" w:eastAsia="宋体" w:cs="宋体"/>
                <w:i w:val="0"/>
                <w:color w:val="000000"/>
                <w:kern w:val="0"/>
                <w:sz w:val="18"/>
                <w:szCs w:val="18"/>
                <w:u w:val="none"/>
                <w:lang w:val="en-US" w:eastAsia="zh-CN" w:bidi="ar"/>
              </w:rPr>
              <w:t>[A060503]</w:t>
            </w:r>
          </w:p>
        </w:tc>
        <w:tc>
          <w:tcPr>
            <w:tcW w:w="709"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val="0"/>
                <w:bCs/>
                <w:lang w:val="en-US" w:eastAsia="zh-CN"/>
              </w:rPr>
              <w:t>个</w:t>
            </w:r>
          </w:p>
        </w:tc>
        <w:tc>
          <w:tcPr>
            <w:tcW w:w="851"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val="0"/>
                <w:bCs/>
                <w:lang w:val="en-US" w:eastAsia="zh-CN"/>
              </w:rPr>
              <w:t>10</w:t>
            </w:r>
          </w:p>
        </w:tc>
        <w:tc>
          <w:tcPr>
            <w:tcW w:w="992"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val="0"/>
                <w:bCs/>
                <w:lang w:val="en-US" w:eastAsia="zh-CN"/>
              </w:rPr>
              <w:t>0.0400</w:t>
            </w:r>
          </w:p>
        </w:tc>
        <w:tc>
          <w:tcPr>
            <w:tcW w:w="992" w:type="dxa"/>
            <w:vAlign w:val="center"/>
          </w:tcPr>
          <w:p>
            <w:pPr>
              <w:adjustRightInd w:val="0"/>
              <w:snapToGrid w:val="0"/>
              <w:jc w:val="center"/>
              <w:rPr>
                <w:rFonts w:hint="eastAsia" w:ascii="方正书宋_GBK" w:hAnsi="宋体" w:eastAsia="方正书宋_GBK" w:cs="宋体"/>
                <w:b w:val="0"/>
                <w:bCs w:val="0"/>
                <w:color w:val="000000"/>
                <w:szCs w:val="21"/>
                <w:lang w:val="en-US" w:eastAsia="zh-CN"/>
              </w:rPr>
            </w:pPr>
            <w:r>
              <w:rPr>
                <w:rFonts w:hint="eastAsia" w:ascii="方正书宋_GBK" w:hAnsi="宋体" w:eastAsia="方正书宋_GBK" w:cs="宋体"/>
                <w:b w:val="0"/>
                <w:bCs w:val="0"/>
                <w:color w:val="000000"/>
                <w:szCs w:val="21"/>
                <w:lang w:val="en-US" w:eastAsia="zh-CN"/>
              </w:rPr>
              <w:t>0.4</w:t>
            </w:r>
          </w:p>
        </w:tc>
        <w:tc>
          <w:tcPr>
            <w:tcW w:w="992" w:type="dxa"/>
            <w:vAlign w:val="center"/>
          </w:tcPr>
          <w:p>
            <w:pPr>
              <w:adjustRightInd w:val="0"/>
              <w:snapToGrid w:val="0"/>
              <w:jc w:val="center"/>
              <w:rPr>
                <w:rFonts w:hint="eastAsia" w:ascii="方正书宋_GBK" w:hAnsi="宋体" w:eastAsia="方正书宋_GBK" w:cs="宋体"/>
                <w:b w:val="0"/>
                <w:bCs w:val="0"/>
                <w:color w:val="000000"/>
                <w:szCs w:val="21"/>
                <w:lang w:val="en-US" w:eastAsia="zh-CN"/>
              </w:rPr>
            </w:pPr>
            <w:r>
              <w:rPr>
                <w:rFonts w:hint="eastAsia" w:ascii="方正书宋_GBK" w:hAnsi="宋体" w:eastAsia="方正书宋_GBK" w:cs="宋体"/>
                <w:b w:val="0"/>
                <w:bCs w:val="0"/>
                <w:color w:val="000000"/>
                <w:szCs w:val="21"/>
                <w:lang w:val="en-US" w:eastAsia="zh-CN"/>
              </w:rPr>
              <w:t>0.4</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rPr>
            </w:pPr>
            <w:r>
              <w:rPr>
                <w:rFonts w:hint="eastAsia" w:ascii="方正书宋_GBK" w:eastAsia="方正书宋_GBK"/>
              </w:rPr>
              <w:t>日常公用</w:t>
            </w:r>
          </w:p>
        </w:tc>
        <w:tc>
          <w:tcPr>
            <w:tcW w:w="1134"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6.52</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激光打印机</w:t>
            </w:r>
          </w:p>
        </w:tc>
        <w:tc>
          <w:tcPr>
            <w:tcW w:w="1417" w:type="dxa"/>
            <w:vAlign w:val="center"/>
          </w:tcPr>
          <w:p>
            <w:pPr>
              <w:spacing w:line="300" w:lineRule="exact"/>
              <w:jc w:val="left"/>
              <w:rPr>
                <w:rFonts w:ascii="方正书宋_GBK" w:eastAsia="方正书宋_GBK"/>
              </w:rPr>
            </w:pPr>
            <w:r>
              <w:rPr>
                <w:rFonts w:hint="eastAsia" w:ascii="宋体" w:hAnsi="宋体" w:eastAsia="宋体" w:cs="宋体"/>
                <w:i w:val="0"/>
                <w:color w:val="000000"/>
                <w:kern w:val="0"/>
                <w:sz w:val="18"/>
                <w:szCs w:val="18"/>
                <w:u w:val="none"/>
                <w:lang w:val="en-US" w:eastAsia="zh-CN" w:bidi="ar"/>
              </w:rPr>
              <w:t>[A0201060102]</w:t>
            </w: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851" w:type="dxa"/>
            <w:vAlign w:val="center"/>
          </w:tcPr>
          <w:p>
            <w:pPr>
              <w:spacing w:line="300" w:lineRule="exact"/>
              <w:ind w:firstLine="379" w:firstLineChars="0"/>
              <w:jc w:val="both"/>
              <w:rPr>
                <w:rFonts w:hint="eastAsia" w:ascii="方正书宋_GBK" w:eastAsia="方正书宋_GBK"/>
                <w:lang w:val="en-US" w:eastAsia="zh-CN"/>
              </w:rPr>
            </w:pPr>
            <w:r>
              <w:rPr>
                <w:rFonts w:hint="eastAsia" w:ascii="方正书宋_GBK" w:eastAsia="方正书宋_GBK"/>
                <w:lang w:val="en-US" w:eastAsia="zh-CN"/>
              </w:rPr>
              <w:t>1</w:t>
            </w:r>
          </w:p>
        </w:tc>
        <w:tc>
          <w:tcPr>
            <w:tcW w:w="992"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0.2000</w:t>
            </w:r>
          </w:p>
        </w:tc>
        <w:tc>
          <w:tcPr>
            <w:tcW w:w="992"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0.2</w:t>
            </w:r>
          </w:p>
        </w:tc>
        <w:tc>
          <w:tcPr>
            <w:tcW w:w="992"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0.2</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rPr>
            </w:pPr>
            <w:r>
              <w:rPr>
                <w:rFonts w:hint="eastAsia" w:ascii="方正书宋_GBK" w:eastAsia="方正书宋_GBK"/>
              </w:rPr>
              <w:t>日常公用</w:t>
            </w:r>
          </w:p>
        </w:tc>
        <w:tc>
          <w:tcPr>
            <w:tcW w:w="1134"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6.52</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台式计算机</w:t>
            </w:r>
          </w:p>
        </w:tc>
        <w:tc>
          <w:tcPr>
            <w:tcW w:w="1417" w:type="dxa"/>
            <w:vAlign w:val="center"/>
          </w:tcPr>
          <w:p>
            <w:pPr>
              <w:spacing w:line="300" w:lineRule="exact"/>
              <w:jc w:val="left"/>
              <w:rPr>
                <w:rFonts w:ascii="方正书宋_GBK" w:eastAsia="方正书宋_GBK"/>
              </w:rPr>
            </w:pPr>
            <w:r>
              <w:rPr>
                <w:rFonts w:hint="eastAsia" w:ascii="宋体" w:hAnsi="宋体" w:eastAsia="宋体" w:cs="宋体"/>
                <w:i w:val="0"/>
                <w:color w:val="000000"/>
                <w:kern w:val="0"/>
                <w:sz w:val="18"/>
                <w:szCs w:val="18"/>
                <w:u w:val="none"/>
                <w:lang w:val="en-US" w:eastAsia="zh-CN" w:bidi="ar"/>
              </w:rPr>
              <w:t>[A02010104]</w:t>
            </w:r>
          </w:p>
        </w:tc>
        <w:tc>
          <w:tcPr>
            <w:tcW w:w="709"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台</w:t>
            </w:r>
          </w:p>
        </w:tc>
        <w:tc>
          <w:tcPr>
            <w:tcW w:w="851" w:type="dxa"/>
            <w:vAlign w:val="center"/>
          </w:tcPr>
          <w:p>
            <w:pPr>
              <w:spacing w:line="300" w:lineRule="exact"/>
              <w:ind w:firstLine="514" w:firstLineChars="0"/>
              <w:jc w:val="both"/>
              <w:rPr>
                <w:rFonts w:hint="eastAsia" w:ascii="方正书宋_GBK" w:eastAsia="方正书宋_GBK"/>
                <w:lang w:val="en-US" w:eastAsia="zh-CN"/>
              </w:rPr>
            </w:pPr>
            <w:r>
              <w:rPr>
                <w:rFonts w:hint="eastAsia" w:ascii="方正书宋_GBK" w:eastAsia="方正书宋_GBK"/>
                <w:lang w:val="en-US" w:eastAsia="zh-CN"/>
              </w:rPr>
              <w:t>1</w:t>
            </w:r>
          </w:p>
        </w:tc>
        <w:tc>
          <w:tcPr>
            <w:tcW w:w="992"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0.3000</w:t>
            </w:r>
          </w:p>
        </w:tc>
        <w:tc>
          <w:tcPr>
            <w:tcW w:w="992"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0.3</w:t>
            </w:r>
          </w:p>
        </w:tc>
        <w:tc>
          <w:tcPr>
            <w:tcW w:w="992"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0.3</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bl>
    <w:p>
      <w:pPr>
        <w:spacing w:line="300" w:lineRule="exact"/>
        <w:ind w:firstLine="420" w:firstLineChars="200"/>
        <w:jc w:val="left"/>
        <w:outlineLvl w:val="0"/>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威县枣元乡人民政府</w:t>
      </w:r>
      <w:r>
        <w:rPr>
          <w:rFonts w:hint="eastAsia" w:ascii="Times New Roman" w:hAnsi="Times New Roman" w:eastAsia="仿宋" w:cs="Times New Roman"/>
          <w:color w:val="000000"/>
          <w:sz w:val="32"/>
          <w:szCs w:val="32"/>
        </w:rPr>
        <w:t>201</w:t>
      </w:r>
      <w:r>
        <w:rPr>
          <w:rFonts w:hint="eastAsia" w:ascii="Times New Roman" w:hAnsi="Times New Roman" w:eastAsia="仿宋" w:cs="Times New Roman"/>
          <w:color w:val="000000"/>
          <w:sz w:val="32"/>
          <w:szCs w:val="32"/>
          <w:lang w:val="en-US" w:eastAsia="zh-CN"/>
        </w:rPr>
        <w:t>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101.25</w:t>
      </w:r>
      <w:r>
        <w:rPr>
          <w:rFonts w:ascii="Times New Roman" w:hAnsi="Times New Roman" w:eastAsia="仿宋" w:cs="Times New Roman"/>
          <w:color w:val="000000"/>
          <w:sz w:val="32"/>
          <w:szCs w:val="32"/>
        </w:rPr>
        <w:t>万元（详见下表）</w:t>
      </w:r>
      <w:r>
        <w:rPr>
          <w:rFonts w:hint="eastAsia" w:ascii="Times New Roman" w:hAnsi="Times New Roman" w:eastAsia="仿宋" w:cs="Times New Roman"/>
          <w:color w:val="000000"/>
          <w:sz w:val="32"/>
          <w:szCs w:val="32"/>
        </w:rPr>
        <w:t>。</w:t>
      </w:r>
    </w:p>
    <w:tbl>
      <w:tblPr>
        <w:tblStyle w:val="9"/>
        <w:tblW w:w="8022" w:type="dxa"/>
        <w:tblInd w:w="93" w:type="dxa"/>
        <w:tblLayout w:type="fixed"/>
        <w:tblCellMar>
          <w:top w:w="0" w:type="dxa"/>
          <w:left w:w="108" w:type="dxa"/>
          <w:bottom w:w="0" w:type="dxa"/>
          <w:right w:w="108" w:type="dxa"/>
        </w:tblCellMar>
      </w:tblPr>
      <w:tblGrid>
        <w:gridCol w:w="3342"/>
        <w:gridCol w:w="1845"/>
        <w:gridCol w:w="2835"/>
      </w:tblGrid>
      <w:tr>
        <w:tblPrEx>
          <w:tblLayout w:type="fixed"/>
          <w:tblCellMar>
            <w:top w:w="0" w:type="dxa"/>
            <w:left w:w="108" w:type="dxa"/>
            <w:bottom w:w="0" w:type="dxa"/>
            <w:right w:w="108" w:type="dxa"/>
          </w:tblCellMar>
        </w:tblPrEx>
        <w:trPr>
          <w:trHeight w:val="705" w:hRule="atLeast"/>
        </w:trPr>
        <w:tc>
          <w:tcPr>
            <w:tcW w:w="802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5187"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威县枣元乡人民政府</w:t>
            </w:r>
          </w:p>
        </w:tc>
        <w:tc>
          <w:tcPr>
            <w:tcW w:w="2835" w:type="dxa"/>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3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334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18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2835" w:type="dxa"/>
            <w:tcBorders>
              <w:top w:val="nil"/>
              <w:left w:val="nil"/>
              <w:bottom w:val="single" w:color="auto" w:sz="4" w:space="0"/>
              <w:right w:val="single" w:color="auto" w:sz="4" w:space="0"/>
            </w:tcBorders>
            <w:vAlign w:val="center"/>
          </w:tcPr>
          <w:p>
            <w:pPr>
              <w:widowControl/>
              <w:tabs>
                <w:tab w:val="left" w:pos="1612"/>
              </w:tabs>
              <w:jc w:val="center"/>
              <w:rPr>
                <w:rFonts w:hint="eastAsia" w:ascii="Times New Roman" w:hAnsi="Times New Roman" w:eastAsia="仿宋" w:cs="Times New Roman"/>
                <w:color w:val="000000" w:themeColor="text1"/>
                <w:kern w:val="0"/>
                <w:sz w:val="22"/>
                <w:lang w:val="en-US" w:eastAsia="zh-CN"/>
              </w:rPr>
            </w:pPr>
            <w:r>
              <w:rPr>
                <w:rFonts w:hint="eastAsia" w:ascii="Times New Roman" w:hAnsi="Times New Roman" w:eastAsia="仿宋" w:cs="Times New Roman"/>
                <w:color w:val="000000" w:themeColor="text1"/>
                <w:kern w:val="0"/>
                <w:sz w:val="22"/>
                <w:lang w:val="en-US" w:eastAsia="zh-CN"/>
              </w:rPr>
              <w:t>101.25</w:t>
            </w:r>
          </w:p>
        </w:tc>
      </w:tr>
      <w:tr>
        <w:tblPrEx>
          <w:tblLayout w:type="fixed"/>
          <w:tblCellMar>
            <w:top w:w="0" w:type="dxa"/>
            <w:left w:w="108" w:type="dxa"/>
            <w:bottom w:w="0" w:type="dxa"/>
            <w:right w:w="108" w:type="dxa"/>
          </w:tblCellMar>
        </w:tblPrEx>
        <w:trPr>
          <w:trHeight w:val="645" w:hRule="atLeast"/>
        </w:trPr>
        <w:tc>
          <w:tcPr>
            <w:tcW w:w="33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184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1560</w:t>
            </w:r>
          </w:p>
        </w:tc>
        <w:tc>
          <w:tcPr>
            <w:tcW w:w="283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64.6</w:t>
            </w:r>
          </w:p>
        </w:tc>
      </w:tr>
      <w:tr>
        <w:tblPrEx>
          <w:tblLayout w:type="fixed"/>
          <w:tblCellMar>
            <w:top w:w="0" w:type="dxa"/>
            <w:left w:w="108" w:type="dxa"/>
            <w:bottom w:w="0" w:type="dxa"/>
            <w:right w:w="108" w:type="dxa"/>
          </w:tblCellMar>
        </w:tblPrEx>
        <w:trPr>
          <w:trHeight w:val="645" w:hRule="atLeast"/>
        </w:trPr>
        <w:tc>
          <w:tcPr>
            <w:tcW w:w="33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184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1560</w:t>
            </w:r>
          </w:p>
        </w:tc>
        <w:tc>
          <w:tcPr>
            <w:tcW w:w="283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64.6</w:t>
            </w:r>
          </w:p>
        </w:tc>
      </w:tr>
      <w:tr>
        <w:tblPrEx>
          <w:tblLayout w:type="fixed"/>
          <w:tblCellMar>
            <w:top w:w="0" w:type="dxa"/>
            <w:left w:w="108" w:type="dxa"/>
            <w:bottom w:w="0" w:type="dxa"/>
            <w:right w:w="108" w:type="dxa"/>
          </w:tblCellMar>
        </w:tblPrEx>
        <w:trPr>
          <w:trHeight w:val="645" w:hRule="atLeast"/>
        </w:trPr>
        <w:tc>
          <w:tcPr>
            <w:tcW w:w="33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184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w:t>
            </w:r>
          </w:p>
        </w:tc>
        <w:tc>
          <w:tcPr>
            <w:tcW w:w="283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14.1</w:t>
            </w:r>
          </w:p>
        </w:tc>
      </w:tr>
      <w:tr>
        <w:tblPrEx>
          <w:tblLayout w:type="fixed"/>
          <w:tblCellMar>
            <w:top w:w="0" w:type="dxa"/>
            <w:left w:w="108" w:type="dxa"/>
            <w:bottom w:w="0" w:type="dxa"/>
            <w:right w:w="108" w:type="dxa"/>
          </w:tblCellMar>
        </w:tblPrEx>
        <w:trPr>
          <w:trHeight w:val="645" w:hRule="atLeast"/>
        </w:trPr>
        <w:tc>
          <w:tcPr>
            <w:tcW w:w="33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18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28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33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18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283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22.55</w:t>
            </w:r>
          </w:p>
        </w:tc>
      </w:tr>
    </w:tbl>
    <w:p>
      <w:pPr>
        <w:autoSpaceDE w:val="0"/>
        <w:autoSpaceDN w:val="0"/>
        <w:adjustRightInd w:val="0"/>
        <w:ind w:firstLine="640" w:firstLineChars="200"/>
        <w:jc w:val="left"/>
        <w:rPr>
          <w:rFonts w:hint="eastAsia" w:ascii="黑体" w:hAnsi="黑体" w:eastAsia="黑体" w:cs="Times New Roman"/>
          <w:sz w:val="32"/>
          <w:szCs w:val="32"/>
        </w:rPr>
      </w:pPr>
      <w:r>
        <w:rPr>
          <w:rFonts w:hint="eastAsia" w:ascii="Times New Roman" w:hAnsi="Times New Roman" w:eastAsia="仿宋" w:cs="Times New Roman"/>
          <w:sz w:val="32"/>
          <w:szCs w:val="32"/>
          <w:lang w:eastAsia="zh-CN"/>
        </w:rPr>
        <w:t>我单位</w:t>
      </w:r>
      <w:r>
        <w:rPr>
          <w:rFonts w:hint="eastAsia" w:ascii="Times New Roman" w:hAnsi="Times New Roman" w:eastAsia="仿宋" w:cs="Times New Roman"/>
          <w:sz w:val="32"/>
          <w:szCs w:val="32"/>
        </w:rPr>
        <w:t>本年度拟购置</w:t>
      </w:r>
      <w:r>
        <w:rPr>
          <w:rFonts w:hint="eastAsia" w:ascii="Times New Roman" w:hAnsi="Times New Roman" w:eastAsia="仿宋" w:cs="Times New Roman"/>
          <w:sz w:val="32"/>
          <w:szCs w:val="32"/>
          <w:lang w:eastAsia="zh-CN"/>
        </w:rPr>
        <w:t>固定资产</w:t>
      </w:r>
      <w:r>
        <w:rPr>
          <w:rFonts w:hint="eastAsia" w:ascii="Times New Roman" w:hAnsi="Times New Roman" w:eastAsia="仿宋" w:cs="Times New Roman"/>
          <w:sz w:val="32"/>
          <w:szCs w:val="32"/>
          <w:lang w:val="en-US" w:eastAsia="zh-CN"/>
        </w:rPr>
        <w:t>0.9万元，主要物品是金属柜子、激光打印机、台式计算机。</w:t>
      </w:r>
      <w:bookmarkStart w:id="14" w:name="_GoBack"/>
      <w:bookmarkEnd w:id="14"/>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auto"/>
    <w:pitch w:val="default"/>
    <w:sig w:usb0="80001AFF" w:usb1="0000396B" w:usb2="00000000" w:usb3="00000000" w:csb0="200000BF" w:csb1="D7F7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12</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BE4C"/>
    <w:multiLevelType w:val="singleLevel"/>
    <w:tmpl w:val="5EB3BE4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C7140"/>
    <w:rsid w:val="00323B29"/>
    <w:rsid w:val="0039059E"/>
    <w:rsid w:val="007F0341"/>
    <w:rsid w:val="009A521C"/>
    <w:rsid w:val="00D607DA"/>
    <w:rsid w:val="00DC6EE5"/>
    <w:rsid w:val="00EE71BA"/>
    <w:rsid w:val="00F867E4"/>
    <w:rsid w:val="011E2F90"/>
    <w:rsid w:val="02FC56BC"/>
    <w:rsid w:val="052749DA"/>
    <w:rsid w:val="05B72793"/>
    <w:rsid w:val="05D4765D"/>
    <w:rsid w:val="071C679C"/>
    <w:rsid w:val="08A77E72"/>
    <w:rsid w:val="08C2293D"/>
    <w:rsid w:val="0B6A50D5"/>
    <w:rsid w:val="0F9D058B"/>
    <w:rsid w:val="12B879D7"/>
    <w:rsid w:val="147A1435"/>
    <w:rsid w:val="14FA2D02"/>
    <w:rsid w:val="16C123AD"/>
    <w:rsid w:val="17BC1691"/>
    <w:rsid w:val="19104361"/>
    <w:rsid w:val="197A2C1A"/>
    <w:rsid w:val="1B4C3D28"/>
    <w:rsid w:val="1B916013"/>
    <w:rsid w:val="1D6E05AE"/>
    <w:rsid w:val="1E127610"/>
    <w:rsid w:val="1E9623D6"/>
    <w:rsid w:val="1EB77633"/>
    <w:rsid w:val="1ED72170"/>
    <w:rsid w:val="201501A5"/>
    <w:rsid w:val="225921CF"/>
    <w:rsid w:val="23826817"/>
    <w:rsid w:val="26FA105B"/>
    <w:rsid w:val="28FF7AD9"/>
    <w:rsid w:val="2907309F"/>
    <w:rsid w:val="2A455F15"/>
    <w:rsid w:val="2B426A1A"/>
    <w:rsid w:val="313C17FC"/>
    <w:rsid w:val="34EE7426"/>
    <w:rsid w:val="359139BC"/>
    <w:rsid w:val="368507C6"/>
    <w:rsid w:val="36B57339"/>
    <w:rsid w:val="3BE909FF"/>
    <w:rsid w:val="3C645A14"/>
    <w:rsid w:val="3CDE5F35"/>
    <w:rsid w:val="3EB42935"/>
    <w:rsid w:val="421E5586"/>
    <w:rsid w:val="42B62E30"/>
    <w:rsid w:val="42F06E47"/>
    <w:rsid w:val="43140850"/>
    <w:rsid w:val="432D2AEE"/>
    <w:rsid w:val="48125E5F"/>
    <w:rsid w:val="48390568"/>
    <w:rsid w:val="4A9B015E"/>
    <w:rsid w:val="4C9E07FE"/>
    <w:rsid w:val="4D484D11"/>
    <w:rsid w:val="4D9B5B79"/>
    <w:rsid w:val="4E3D2EBA"/>
    <w:rsid w:val="4F624EFD"/>
    <w:rsid w:val="4FC27830"/>
    <w:rsid w:val="502E4DA0"/>
    <w:rsid w:val="50DC3F30"/>
    <w:rsid w:val="50E72790"/>
    <w:rsid w:val="5105074F"/>
    <w:rsid w:val="53526904"/>
    <w:rsid w:val="53D60BEF"/>
    <w:rsid w:val="55381706"/>
    <w:rsid w:val="56530071"/>
    <w:rsid w:val="574D390F"/>
    <w:rsid w:val="5800647F"/>
    <w:rsid w:val="58442501"/>
    <w:rsid w:val="5AC17C59"/>
    <w:rsid w:val="5BB54270"/>
    <w:rsid w:val="5D9B5068"/>
    <w:rsid w:val="5F60459E"/>
    <w:rsid w:val="5FC95B98"/>
    <w:rsid w:val="6152258E"/>
    <w:rsid w:val="61910A3A"/>
    <w:rsid w:val="6395140A"/>
    <w:rsid w:val="63C06E49"/>
    <w:rsid w:val="652C5727"/>
    <w:rsid w:val="670E17C8"/>
    <w:rsid w:val="67FF656F"/>
    <w:rsid w:val="697F4877"/>
    <w:rsid w:val="6C4F70DC"/>
    <w:rsid w:val="6EB13CF9"/>
    <w:rsid w:val="6F1C1591"/>
    <w:rsid w:val="6F612BD0"/>
    <w:rsid w:val="6F8E4124"/>
    <w:rsid w:val="70E76756"/>
    <w:rsid w:val="713853AF"/>
    <w:rsid w:val="74954A08"/>
    <w:rsid w:val="75BC7405"/>
    <w:rsid w:val="77515561"/>
    <w:rsid w:val="792A0228"/>
    <w:rsid w:val="7DF64F14"/>
    <w:rsid w:val="7E130AA8"/>
    <w:rsid w:val="7E7B724B"/>
    <w:rsid w:val="7FCF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footnote reference"/>
    <w:uiPriority w:val="0"/>
    <w:rPr>
      <w:vertAlign w:val="superscript"/>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w:basedOn w:val="1"/>
    <w:uiPriority w:val="0"/>
    <w:rPr>
      <w:rFonts w:ascii="Times New Roman" w:hAnsi="Times New Roman" w:cs="Times New Roman"/>
      <w:szCs w:val="24"/>
    </w:rPr>
  </w:style>
  <w:style w:type="character" w:customStyle="1" w:styleId="12">
    <w:name w:val="页码1"/>
    <w:uiPriority w:val="0"/>
  </w:style>
  <w:style w:type="character" w:customStyle="1" w:styleId="13">
    <w:name w:val="页脚 Char"/>
    <w:link w:val="2"/>
    <w:semiHidden/>
    <w:uiPriority w:val="0"/>
    <w:rPr>
      <w:rFonts w:ascii="Times New Roman" w:hAnsi="Times New Roman" w:eastAsia="宋体" w:cs="Times New Roman"/>
      <w:sz w:val="18"/>
      <w:szCs w:val="18"/>
    </w:rPr>
  </w:style>
  <w:style w:type="character" w:customStyle="1" w:styleId="14">
    <w:name w:val="页眉 Char"/>
    <w:link w:val="3"/>
    <w:semiHidden/>
    <w:uiPriority w:val="0"/>
    <w:rPr>
      <w:rFonts w:ascii="Times New Roman" w:hAnsi="Times New Roman" w:eastAsia="宋体" w:cs="Times New Roman"/>
      <w:sz w:val="18"/>
      <w:szCs w:val="18"/>
    </w:rPr>
  </w:style>
  <w:style w:type="paragraph" w:customStyle="1" w:styleId="15">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1322</Words>
  <Characters>7536</Characters>
  <Lines>62</Lines>
  <Paragraphs>17</Paragraphs>
  <TotalTime>0</TotalTime>
  <ScaleCrop>false</ScaleCrop>
  <LinksUpToDate>false</LinksUpToDate>
  <CharactersWithSpaces>8841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2020-01-10T15:53:00Z</cp:lastPrinted>
  <dcterms:modified xsi:type="dcterms:W3CDTF">2021-04-28T10:07:45Z</dcterms:modified>
  <dc:title>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