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威县洺州镇人民政府</w:t>
      </w:r>
      <w:r>
        <w:rPr>
          <w:rFonts w:ascii="Times New Roman" w:hAnsi="Times New Roman" w:eastAsia="方正小标宋_GBK"/>
          <w:sz w:val="44"/>
          <w:szCs w:val="44"/>
        </w:rPr>
        <w:t>2019</w:t>
      </w:r>
      <w:r>
        <w:rPr>
          <w:rFonts w:hint="eastAsia" w:ascii="Times New Roman" w:hAnsi="Times New Roman" w:eastAsia="方正小标宋_GBK"/>
          <w:sz w:val="44"/>
          <w:szCs w:val="44"/>
        </w:rPr>
        <w:t>年部门预算信息公开情况说明</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按照《预算法》、《地方预决算公开操作规程》和《河北省县级预算公开办法》规定，现将洺州镇人民政府</w:t>
      </w:r>
      <w:r>
        <w:rPr>
          <w:rFonts w:ascii="Times New Roman" w:hAnsi="Times New Roman" w:eastAsia="方正仿宋_GBK"/>
          <w:sz w:val="32"/>
          <w:szCs w:val="32"/>
        </w:rPr>
        <w:t>2019</w:t>
      </w:r>
      <w:r>
        <w:rPr>
          <w:rFonts w:hint="eastAsia" w:ascii="Times New Roman" w:hAnsi="Times New Roman" w:eastAsia="方正仿宋_GBK"/>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0" w:firstLineChars="200"/>
        <w:rPr>
          <w:rFonts w:ascii="Times New Roman" w:hAnsi="Times New Roman" w:eastAsia="方正仿宋_GBK"/>
          <w:b/>
          <w:sz w:val="32"/>
          <w:szCs w:val="32"/>
        </w:rPr>
      </w:pPr>
      <w:r>
        <w:rPr>
          <w:rFonts w:hint="eastAsia" w:ascii="Times New Roman" w:hAnsi="Times New Roman" w:eastAsia="方正仿宋_GBK"/>
          <w:b/>
          <w:sz w:val="32"/>
          <w:szCs w:val="32"/>
        </w:rPr>
        <w:t>部门职责：</w:t>
      </w:r>
    </w:p>
    <w:p>
      <w:pPr>
        <w:numPr>
          <w:ilvl w:val="0"/>
          <w:numId w:val="1"/>
        </w:numPr>
        <w:ind w:firstLine="640"/>
        <w:rPr>
          <w:rFonts w:ascii="Times New Roman" w:hAnsi="Times New Roman" w:eastAsia="方正仿宋_GBK"/>
          <w:sz w:val="32"/>
          <w:szCs w:val="32"/>
        </w:rPr>
      </w:pPr>
      <w:r>
        <w:rPr>
          <w:rFonts w:hint="eastAsia" w:ascii="Times New Roman" w:hAnsi="Times New Roman" w:eastAsia="方正仿宋_GBK"/>
          <w:sz w:val="32"/>
          <w:szCs w:val="32"/>
        </w:rPr>
        <w:t>在镇党委的领导下和镇人大的监督下，以邓小平理论和“三个代表”重要思想为指导，认真贯彻执行党的路线、方针、政策和党中央、国务院的总体部署，严格执行国家法律、法规，坚决贯彻落实省委、省政府、市委、市政府、县委、县政府以及镇党委的决定、指示，贯彻执行镇人大及主席团会的决议，坚持以人为本，树立和落实科学发展观，全面履行政府职能，实行科学民主决策，坚持依法行政。加强行政监督，形成行为规范、运转协调、公正透明、廉洁高效的行政管理体制，建设学习型、务实型、服务型、廉洁型政府。依照法律规定的权限，管理全镇行政区域内的经济、科教、文体事业、社会治安综合治理、城镇建设、财政及税务等行政事务。</w:t>
      </w:r>
    </w:p>
    <w:p>
      <w:pPr>
        <w:numPr>
          <w:ilvl w:val="0"/>
          <w:numId w:val="1"/>
        </w:numPr>
        <w:ind w:firstLine="640"/>
        <w:rPr>
          <w:rFonts w:ascii="Times New Roman" w:hAnsi="Times New Roman" w:eastAsia="方正仿宋_GBK"/>
          <w:sz w:val="32"/>
          <w:szCs w:val="32"/>
        </w:rPr>
      </w:pPr>
      <w:r>
        <w:rPr>
          <w:rFonts w:hint="eastAsia" w:ascii="Times New Roman" w:hAnsi="Times New Roman" w:eastAsia="方正仿宋_GBK"/>
          <w:sz w:val="32"/>
          <w:szCs w:val="32"/>
        </w:rPr>
        <w:t>镇政府组成人员要忠实履行宪法和法律赋予的职责，坚持依法行政，执政为民；坚持解放思想，实事求是，与时俱进，开拓创新；顾全大局，忠于职守，服从命令，讲究效率，发扬谦虚谨慎、不骄不躁和艰苦奋斗的精神；深入实际，调查研究，清正廉洁，全心全意为人民服务，自觉接受人民群众的监督。</w:t>
      </w:r>
    </w:p>
    <w:p>
      <w:pPr>
        <w:numPr>
          <w:ilvl w:val="0"/>
          <w:numId w:val="1"/>
        </w:numPr>
        <w:ind w:firstLine="640"/>
        <w:rPr>
          <w:rFonts w:ascii="Times New Roman" w:hAnsi="Times New Roman" w:eastAsia="方正仿宋_GBK"/>
          <w:sz w:val="32"/>
          <w:szCs w:val="32"/>
        </w:rPr>
      </w:pPr>
      <w:r>
        <w:rPr>
          <w:rFonts w:hint="eastAsia" w:ascii="Times New Roman" w:hAnsi="Times New Roman" w:eastAsia="方正仿宋_GBK"/>
          <w:sz w:val="32"/>
          <w:szCs w:val="32"/>
        </w:rPr>
        <w:t>认真贯彻执行党中央、国务院的路线、方针、政策和市委、市政府、县委、政府和镇党委的决策部署，执行镇人民代表大会及其主席团会的决议。执行本级人民代表大会的决议、决定和上级政府机关的决定、命令；组织各职能部门搞好服务，指导、帮助、支持好村委会的工作，努力完成年度经济、社会发展计划指标任务。组织财政、税务部门完成财税收入计划，严肃财经纪律，依法监督各部门的财务收支管理，实现财政收支平衡。</w:t>
      </w:r>
    </w:p>
    <w:p>
      <w:pPr>
        <w:autoSpaceDE w:val="0"/>
        <w:autoSpaceDN w:val="0"/>
        <w:adjustRightInd w:val="0"/>
        <w:spacing w:line="580" w:lineRule="exact"/>
        <w:ind w:firstLine="640" w:firstLineChars="20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（四）加强水利建设、土地使用管理和环境综合整治，合理开发、利用自然资源，保护耕地，改善生态环境和生活环境。</w:t>
      </w:r>
    </w:p>
    <w:p>
      <w:pPr>
        <w:autoSpaceDE w:val="0"/>
        <w:autoSpaceDN w:val="0"/>
        <w:adjustRightInd w:val="0"/>
        <w:spacing w:line="580" w:lineRule="exact"/>
        <w:ind w:firstLine="640" w:firstLineChars="20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（五）开展政务公开建设和社会主义民主与法制教育，加强社会治安综合治理，调解民事纠纷，维护社会秩序。</w:t>
      </w:r>
    </w:p>
    <w:p>
      <w:pPr>
        <w:autoSpaceDE w:val="0"/>
        <w:autoSpaceDN w:val="0"/>
        <w:adjustRightInd w:val="0"/>
        <w:spacing w:line="580" w:lineRule="exact"/>
        <w:ind w:firstLine="640" w:firstLineChars="20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（六）推行计划生育，控制人口增长，保护妇女、儿童和老年人的合法权益。</w:t>
      </w:r>
    </w:p>
    <w:p>
      <w:pPr>
        <w:autoSpaceDE w:val="0"/>
        <w:autoSpaceDN w:val="0"/>
        <w:adjustRightInd w:val="0"/>
        <w:spacing w:line="580" w:lineRule="exact"/>
        <w:ind w:firstLine="640" w:firstLineChars="200"/>
        <w:jc w:val="left"/>
        <w:rPr>
          <w:rFonts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（七）管理民政行政工作，发展社会福利事业，做好就业和社会保障工作，办理兵役事项。</w:t>
      </w:r>
    </w:p>
    <w:p>
      <w:pPr>
        <w:autoSpaceDE w:val="0"/>
        <w:autoSpaceDN w:val="0"/>
        <w:adjustRightInd w:val="0"/>
        <w:spacing w:line="58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bCs/>
          <w:sz w:val="32"/>
          <w:szCs w:val="32"/>
        </w:rPr>
        <w:t>（八）管理镇财政，执行本级预算。</w:t>
      </w:r>
    </w:p>
    <w:p>
      <w:pPr>
        <w:autoSpaceDE w:val="0"/>
        <w:autoSpaceDN w:val="0"/>
        <w:adjustRightInd w:val="0"/>
        <w:ind w:left="198" w:firstLine="640" w:firstLineChars="200"/>
        <w:jc w:val="left"/>
        <w:rPr>
          <w:rFonts w:ascii="方正仿宋_GBK" w:hAnsi="Times New Roman" w:eastAsia="方正仿宋_GBK"/>
          <w:b/>
          <w:sz w:val="32"/>
          <w:szCs w:val="32"/>
        </w:rPr>
      </w:pPr>
      <w:r>
        <w:rPr>
          <w:rFonts w:hint="eastAsia" w:ascii="方正仿宋_GBK" w:hAnsi="Times New Roman" w:eastAsia="方正仿宋_GBK"/>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9"/>
        <w:tblpPr w:leftFromText="180" w:rightFromText="180" w:vertAnchor="text" w:tblpXSpec="center" w:tblpY="1"/>
        <w:tblOverlap w:val="never"/>
        <w:tblW w:w="10083" w:type="dxa"/>
        <w:tblInd w:w="0" w:type="dxa"/>
        <w:tblLayout w:type="fixed"/>
        <w:tblCellMar>
          <w:top w:w="0" w:type="dxa"/>
          <w:left w:w="108" w:type="dxa"/>
          <w:bottom w:w="0" w:type="dxa"/>
          <w:right w:w="108" w:type="dxa"/>
        </w:tblCellMar>
      </w:tblPr>
      <w:tblGrid>
        <w:gridCol w:w="3783"/>
        <w:gridCol w:w="1365"/>
        <w:gridCol w:w="1995"/>
        <w:gridCol w:w="2940"/>
      </w:tblGrid>
      <w:tr>
        <w:tblPrEx>
          <w:tblCellMar>
            <w:top w:w="0" w:type="dxa"/>
            <w:left w:w="108" w:type="dxa"/>
            <w:bottom w:w="0" w:type="dxa"/>
            <w:right w:w="108" w:type="dxa"/>
          </w:tblCellMar>
        </w:tblPrEx>
        <w:trPr>
          <w:trHeight w:val="1020" w:hRule="atLeast"/>
        </w:trPr>
        <w:tc>
          <w:tcPr>
            <w:tcW w:w="37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部门机构设置情况</w:t>
            </w:r>
            <w:r>
              <w:rPr>
                <w:rFonts w:ascii="仿宋_GB2312" w:hAnsi="仿宋_GB2312" w:eastAsia="仿宋_GB2312" w:cs="仿宋_GB2312"/>
                <w:sz w:val="28"/>
                <w:szCs w:val="28"/>
                <w:lang w:val="zh-CN"/>
              </w:rPr>
              <w:t xml:space="preserve">    </w:t>
            </w:r>
          </w:p>
          <w:p>
            <w:pPr>
              <w:autoSpaceDE w:val="0"/>
              <w:autoSpaceDN w:val="0"/>
              <w:adjustRightInd w:val="0"/>
              <w:spacing w:line="300" w:lineRule="exact"/>
              <w:jc w:val="center"/>
              <w:rPr>
                <w:rFonts w:ascii="仿宋_GB2312" w:hAnsi="仿宋_GB2312" w:eastAsia="仿宋_GB2312" w:cs="仿宋_GB2312"/>
                <w:sz w:val="28"/>
                <w:szCs w:val="28"/>
                <w:lang w:val="zh-CN"/>
              </w:rPr>
            </w:pPr>
            <w:r>
              <w:rPr>
                <w:rFonts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lang w:val="zh-CN"/>
              </w:rPr>
              <w:t>单位名称</w:t>
            </w: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单位性质</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单位规格</w:t>
            </w:r>
          </w:p>
        </w:tc>
        <w:tc>
          <w:tcPr>
            <w:tcW w:w="29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经费保障形式</w:t>
            </w:r>
          </w:p>
        </w:tc>
      </w:tr>
      <w:tr>
        <w:tblPrEx>
          <w:tblCellMar>
            <w:top w:w="0" w:type="dxa"/>
            <w:left w:w="108" w:type="dxa"/>
            <w:bottom w:w="0" w:type="dxa"/>
            <w:right w:w="108" w:type="dxa"/>
          </w:tblCellMar>
        </w:tblPrEx>
        <w:trPr>
          <w:trHeight w:val="1065" w:hRule="atLeast"/>
        </w:trPr>
        <w:tc>
          <w:tcPr>
            <w:tcW w:w="37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威县洺州镇人民政府</w:t>
            </w: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正科级</w:t>
            </w:r>
          </w:p>
        </w:tc>
        <w:tc>
          <w:tcPr>
            <w:tcW w:w="29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pPr>
        <w:ind w:firstLine="640"/>
        <w:rPr>
          <w:rFonts w:ascii="黑体" w:hAnsi="黑体" w:eastAsia="黑体"/>
          <w:sz w:val="32"/>
          <w:szCs w:val="32"/>
        </w:rPr>
      </w:pPr>
    </w:p>
    <w:p>
      <w:pPr>
        <w:ind w:firstLine="640"/>
        <w:rPr>
          <w:rFonts w:ascii="黑体" w:hAnsi="黑体" w:eastAsia="黑体"/>
          <w:sz w:val="32"/>
          <w:szCs w:val="32"/>
        </w:rPr>
      </w:pPr>
    </w:p>
    <w:p>
      <w:pPr>
        <w:ind w:firstLine="640"/>
        <w:rPr>
          <w:rFonts w:ascii="黑体" w:hAnsi="黑体" w:eastAsia="黑体"/>
          <w:sz w:val="32"/>
          <w:szCs w:val="32"/>
        </w:rPr>
      </w:pPr>
    </w:p>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按照预算管理有关规定，目前我县部门预算的编制实行综合预算管理，即全部收入和支出都反映在预算中。</w:t>
      </w:r>
    </w:p>
    <w:p>
      <w:pPr>
        <w:ind w:firstLine="64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、收入说明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反映本部门当年全部收入。</w:t>
      </w:r>
      <w:r>
        <w:rPr>
          <w:rFonts w:ascii="Times New Roman" w:hAnsi="Times New Roman" w:eastAsia="方正仿宋_GBK"/>
          <w:sz w:val="32"/>
          <w:szCs w:val="32"/>
        </w:rPr>
        <w:t>2019</w:t>
      </w:r>
      <w:r>
        <w:rPr>
          <w:rFonts w:hint="eastAsia" w:ascii="Times New Roman" w:hAnsi="Times New Roman" w:eastAsia="方正仿宋_GBK"/>
          <w:sz w:val="32"/>
          <w:szCs w:val="32"/>
        </w:rPr>
        <w:t>年预算收入</w:t>
      </w:r>
      <w:r>
        <w:rPr>
          <w:rFonts w:ascii="Times New Roman" w:hAnsi="Times New Roman" w:eastAsia="方正仿宋_GBK"/>
          <w:sz w:val="32"/>
          <w:szCs w:val="32"/>
        </w:rPr>
        <w:t>8628.07</w:t>
      </w:r>
      <w:r>
        <w:rPr>
          <w:rFonts w:hint="eastAsia" w:ascii="Times New Roman" w:hAnsi="Times New Roman" w:eastAsia="方正仿宋_GBK"/>
          <w:sz w:val="32"/>
          <w:szCs w:val="32"/>
        </w:rPr>
        <w:t>万元，其中：一般公共预算收入</w:t>
      </w:r>
      <w:r>
        <w:rPr>
          <w:rFonts w:ascii="Times New Roman" w:hAnsi="Times New Roman" w:eastAsia="方正仿宋_GBK"/>
          <w:sz w:val="32"/>
          <w:szCs w:val="32"/>
        </w:rPr>
        <w:t>1301.62</w:t>
      </w:r>
      <w:r>
        <w:rPr>
          <w:rFonts w:hint="eastAsia" w:ascii="Times New Roman" w:hAnsi="Times New Roman" w:eastAsia="方正仿宋_GBK"/>
          <w:sz w:val="32"/>
          <w:szCs w:val="32"/>
        </w:rPr>
        <w:t>万元，基金预算收入</w:t>
      </w:r>
      <w:r>
        <w:rPr>
          <w:rFonts w:ascii="Times New Roman" w:hAnsi="Times New Roman" w:eastAsia="方正仿宋_GBK"/>
          <w:sz w:val="32"/>
          <w:szCs w:val="32"/>
        </w:rPr>
        <w:t>7326.45</w:t>
      </w:r>
      <w:r>
        <w:rPr>
          <w:rFonts w:hint="eastAsia" w:ascii="Times New Roman" w:hAnsi="Times New Roman" w:eastAsia="方正仿宋_GBK"/>
          <w:sz w:val="32"/>
          <w:szCs w:val="32"/>
        </w:rPr>
        <w:t>万元，财政专户核拨收入</w:t>
      </w:r>
      <w:r>
        <w:rPr>
          <w:rFonts w:ascii="Times New Roman" w:hAnsi="Times New Roman" w:eastAsia="方正仿宋_GBK"/>
          <w:sz w:val="32"/>
          <w:szCs w:val="32"/>
        </w:rPr>
        <w:t>0</w:t>
      </w:r>
      <w:r>
        <w:rPr>
          <w:rFonts w:hint="eastAsia" w:ascii="Times New Roman" w:hAnsi="Times New Roman" w:eastAsia="方正仿宋_GBK"/>
          <w:sz w:val="32"/>
          <w:szCs w:val="32"/>
        </w:rPr>
        <w:t>万元，其他来源收入</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、支出说明</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收支预算总表支出栏、基本支出表、项目支出表按经济分类和支出功能分类科目编制，反映洺州镇人民政府年度部门预算中支出预算的总体情况。</w:t>
      </w:r>
      <w:r>
        <w:rPr>
          <w:rFonts w:ascii="Times New Roman" w:hAnsi="Times New Roman" w:eastAsia="方正仿宋_GBK"/>
          <w:sz w:val="32"/>
          <w:szCs w:val="32"/>
        </w:rPr>
        <w:t>2019</w:t>
      </w:r>
      <w:r>
        <w:rPr>
          <w:rFonts w:hint="eastAsia" w:ascii="Times New Roman" w:hAnsi="Times New Roman" w:eastAsia="方正仿宋_GBK"/>
          <w:sz w:val="32"/>
          <w:szCs w:val="32"/>
        </w:rPr>
        <w:t>年支出预算</w:t>
      </w:r>
      <w:r>
        <w:rPr>
          <w:rFonts w:ascii="Times New Roman" w:hAnsi="Times New Roman" w:eastAsia="方正仿宋_GBK"/>
          <w:sz w:val="32"/>
          <w:szCs w:val="32"/>
        </w:rPr>
        <w:t>1301.62</w:t>
      </w:r>
      <w:r>
        <w:rPr>
          <w:rFonts w:hint="eastAsia" w:ascii="Times New Roman" w:hAnsi="Times New Roman" w:eastAsia="方正仿宋_GBK"/>
          <w:sz w:val="32"/>
          <w:szCs w:val="32"/>
        </w:rPr>
        <w:t>万元，其中基本支出</w:t>
      </w:r>
      <w:r>
        <w:rPr>
          <w:rFonts w:ascii="Times New Roman" w:hAnsi="Times New Roman" w:eastAsia="方正仿宋_GBK"/>
          <w:sz w:val="32"/>
          <w:szCs w:val="32"/>
        </w:rPr>
        <w:t>787.86</w:t>
      </w:r>
      <w:r>
        <w:rPr>
          <w:rFonts w:hint="eastAsia" w:ascii="Times New Roman" w:hAnsi="Times New Roman" w:eastAsia="方正仿宋_GBK"/>
          <w:sz w:val="32"/>
          <w:szCs w:val="32"/>
        </w:rPr>
        <w:t>万元，包括人员经费</w:t>
      </w:r>
      <w:r>
        <w:rPr>
          <w:rFonts w:ascii="Times New Roman" w:hAnsi="Times New Roman" w:eastAsia="方正仿宋_GBK"/>
          <w:sz w:val="32"/>
          <w:szCs w:val="32"/>
        </w:rPr>
        <w:t>746.52</w:t>
      </w:r>
      <w:r>
        <w:rPr>
          <w:rFonts w:hint="eastAsia" w:ascii="Times New Roman" w:hAnsi="Times New Roman" w:eastAsia="方正仿宋_GBK"/>
          <w:sz w:val="32"/>
          <w:szCs w:val="32"/>
        </w:rPr>
        <w:t>万元和日常公用经费</w:t>
      </w:r>
      <w:r>
        <w:rPr>
          <w:rFonts w:ascii="Times New Roman" w:hAnsi="Times New Roman" w:eastAsia="方正仿宋_GBK"/>
          <w:sz w:val="32"/>
          <w:szCs w:val="32"/>
        </w:rPr>
        <w:t>41.34</w:t>
      </w:r>
      <w:r>
        <w:rPr>
          <w:rFonts w:hint="eastAsia" w:ascii="Times New Roman" w:hAnsi="Times New Roman" w:eastAsia="方正仿宋_GBK"/>
          <w:sz w:val="32"/>
          <w:szCs w:val="32"/>
        </w:rPr>
        <w:t>万元；项目支出</w:t>
      </w:r>
      <w:r>
        <w:rPr>
          <w:rFonts w:ascii="Times New Roman" w:hAnsi="Times New Roman" w:eastAsia="方正仿宋_GBK"/>
          <w:sz w:val="32"/>
          <w:szCs w:val="32"/>
        </w:rPr>
        <w:t>513.76</w:t>
      </w:r>
      <w:r>
        <w:rPr>
          <w:rFonts w:hint="eastAsia" w:ascii="Times New Roman" w:hAnsi="Times New Roman" w:eastAsia="方正仿宋_GBK"/>
          <w:sz w:val="32"/>
          <w:szCs w:val="32"/>
        </w:rPr>
        <w:t>万元，主要为社会保障和就业支出、农林水支出等；其他支出</w:t>
      </w:r>
      <w:r>
        <w:rPr>
          <w:rFonts w:ascii="Times New Roman" w:hAnsi="Times New Roman" w:eastAsia="方正仿宋_GBK"/>
          <w:sz w:val="32"/>
          <w:szCs w:val="32"/>
        </w:rPr>
        <w:t>0</w:t>
      </w:r>
      <w:r>
        <w:rPr>
          <w:rFonts w:hint="eastAsia" w:ascii="Times New Roman" w:hAnsi="Times New Roman" w:eastAsia="方正仿宋_GBK"/>
          <w:sz w:val="32"/>
          <w:szCs w:val="32"/>
        </w:rPr>
        <w:t>万元。</w:t>
      </w:r>
    </w:p>
    <w:p>
      <w:pPr>
        <w:ind w:firstLine="64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、比上年增减情况</w:t>
      </w:r>
    </w:p>
    <w:p>
      <w:pPr>
        <w:ind w:firstLine="640"/>
        <w:rPr>
          <w:rFonts w:ascii="仿宋_GB2312" w:hAnsi="黑体" w:eastAsia="仿宋_GB2312"/>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年预算收支安排</w:t>
      </w:r>
      <w:r>
        <w:rPr>
          <w:rFonts w:ascii="Times New Roman" w:hAnsi="Times New Roman" w:eastAsia="方正仿宋_GBK"/>
          <w:sz w:val="32"/>
          <w:szCs w:val="32"/>
        </w:rPr>
        <w:t>8628.07</w:t>
      </w:r>
      <w:r>
        <w:rPr>
          <w:rFonts w:hint="eastAsia" w:ascii="Times New Roman" w:hAnsi="Times New Roman" w:eastAsia="方正仿宋_GBK"/>
          <w:sz w:val="32"/>
          <w:szCs w:val="32"/>
        </w:rPr>
        <w:t>万元，较</w:t>
      </w:r>
      <w:r>
        <w:rPr>
          <w:rFonts w:ascii="Times New Roman" w:hAnsi="Times New Roman" w:eastAsia="方正仿宋_GBK"/>
          <w:sz w:val="32"/>
          <w:szCs w:val="32"/>
        </w:rPr>
        <w:t>2018</w:t>
      </w:r>
      <w:r>
        <w:rPr>
          <w:rFonts w:hint="eastAsia" w:ascii="Times New Roman" w:hAnsi="Times New Roman" w:eastAsia="方正仿宋_GBK"/>
          <w:sz w:val="32"/>
          <w:szCs w:val="32"/>
        </w:rPr>
        <w:t>年预算增加</w:t>
      </w:r>
      <w:r>
        <w:rPr>
          <w:rFonts w:ascii="Times New Roman" w:hAnsi="Times New Roman" w:eastAsia="方正仿宋_GBK"/>
          <w:sz w:val="32"/>
          <w:szCs w:val="32"/>
        </w:rPr>
        <w:t>7435.83</w:t>
      </w:r>
      <w:r>
        <w:rPr>
          <w:rFonts w:hint="eastAsia" w:ascii="Times New Roman" w:hAnsi="Times New Roman" w:eastAsia="方正仿宋_GBK"/>
          <w:sz w:val="32"/>
          <w:szCs w:val="32"/>
        </w:rPr>
        <w:t>万元，其中：基本支出增加</w:t>
      </w:r>
      <w:r>
        <w:rPr>
          <w:rFonts w:ascii="Times New Roman" w:hAnsi="Times New Roman" w:eastAsia="方正仿宋_GBK"/>
          <w:sz w:val="32"/>
          <w:szCs w:val="32"/>
        </w:rPr>
        <w:t>42.81</w:t>
      </w:r>
      <w:r>
        <w:rPr>
          <w:rFonts w:hint="eastAsia" w:ascii="Times New Roman" w:hAnsi="Times New Roman" w:eastAsia="方正仿宋_GBK"/>
          <w:sz w:val="32"/>
          <w:szCs w:val="32"/>
        </w:rPr>
        <w:t>万元，主要为增加人员经费支出；项目支出增加</w:t>
      </w:r>
      <w:r>
        <w:rPr>
          <w:rFonts w:ascii="Times New Roman" w:hAnsi="Times New Roman" w:eastAsia="方正仿宋_GBK"/>
          <w:sz w:val="32"/>
          <w:szCs w:val="32"/>
        </w:rPr>
        <w:t>7393.02</w:t>
      </w:r>
      <w:r>
        <w:rPr>
          <w:rFonts w:hint="eastAsia" w:ascii="Times New Roman" w:hAnsi="Times New Roman" w:eastAsia="方正仿宋_GBK"/>
          <w:sz w:val="32"/>
          <w:szCs w:val="32"/>
        </w:rPr>
        <w:t>万元，主要为增加征地农民生活补助。</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年，机关运行经费共计安排</w:t>
      </w:r>
      <w:r>
        <w:rPr>
          <w:rFonts w:ascii="Times New Roman" w:hAnsi="Times New Roman" w:eastAsia="方正仿宋_GBK"/>
          <w:sz w:val="32"/>
          <w:szCs w:val="32"/>
        </w:rPr>
        <w:t>41.34</w:t>
      </w:r>
      <w:r>
        <w:rPr>
          <w:rFonts w:hint="eastAsia" w:ascii="Times New Roman" w:hAnsi="Times New Roman" w:eastAsia="方正仿宋_GBK"/>
          <w:sz w:val="32"/>
          <w:szCs w:val="32"/>
        </w:rPr>
        <w:t>万元，主要用于办公费、邮电费、差旅费、日常维修费等日常运行支出。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年，我镇财政拨款</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经费预算安排</w:t>
      </w:r>
      <w:r>
        <w:rPr>
          <w:rFonts w:ascii="Times New Roman" w:hAnsi="Times New Roman" w:eastAsia="方正仿宋_GBK"/>
          <w:sz w:val="32"/>
          <w:szCs w:val="32"/>
        </w:rPr>
        <w:t>5</w:t>
      </w:r>
      <w:r>
        <w:rPr>
          <w:rFonts w:hint="eastAsia" w:ascii="Times New Roman" w:hAnsi="Times New Roman" w:eastAsia="方正仿宋_GBK"/>
          <w:sz w:val="32"/>
          <w:szCs w:val="32"/>
        </w:rPr>
        <w:t>万元，其中因公出国（境）费</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万元；公务用车购置及运维费</w:t>
      </w:r>
      <w:r>
        <w:rPr>
          <w:rFonts w:ascii="Times New Roman" w:hAnsi="Times New Roman" w:eastAsia="方正仿宋_GBK"/>
          <w:sz w:val="32"/>
          <w:szCs w:val="32"/>
        </w:rPr>
        <w:t>5</w:t>
      </w:r>
      <w:r>
        <w:rPr>
          <w:rFonts w:hint="eastAsia" w:ascii="Times New Roman" w:hAnsi="Times New Roman" w:eastAsia="方正仿宋_GBK"/>
          <w:sz w:val="32"/>
          <w:szCs w:val="32"/>
        </w:rPr>
        <w:t>万元（其中：公务用车购置费为</w:t>
      </w:r>
      <w:r>
        <w:rPr>
          <w:rFonts w:ascii="Times New Roman" w:hAnsi="Times New Roman" w:eastAsia="方正仿宋_GBK"/>
          <w:sz w:val="32"/>
          <w:szCs w:val="32"/>
        </w:rPr>
        <w:t>0</w:t>
      </w:r>
      <w:r>
        <w:rPr>
          <w:rFonts w:hint="eastAsia" w:ascii="Times New Roman" w:hAnsi="Times New Roman" w:eastAsia="方正仿宋_GBK"/>
          <w:sz w:val="32"/>
          <w:szCs w:val="32"/>
        </w:rPr>
        <w:t>万元，公务用车运维费</w:t>
      </w:r>
      <w:r>
        <w:rPr>
          <w:rFonts w:ascii="Times New Roman" w:hAnsi="Times New Roman" w:eastAsia="方正仿宋_GBK"/>
          <w:sz w:val="32"/>
          <w:szCs w:val="32"/>
        </w:rPr>
        <w:t>5</w:t>
      </w:r>
      <w:r>
        <w:rPr>
          <w:rFonts w:hint="eastAsia" w:ascii="Times New Roman" w:hAnsi="Times New Roman" w:eastAsia="方正仿宋_GBK"/>
          <w:sz w:val="32"/>
          <w:szCs w:val="32"/>
        </w:rPr>
        <w:t>万元</w:t>
      </w:r>
      <w:r>
        <w:rPr>
          <w:rFonts w:ascii="Times New Roman" w:hAnsi="Times New Roman" w:eastAsia="方正仿宋_GBK"/>
          <w:sz w:val="32"/>
          <w:szCs w:val="32"/>
        </w:rPr>
        <w:t>)</w:t>
      </w:r>
      <w:r>
        <w:rPr>
          <w:rFonts w:hint="eastAsia" w:ascii="Times New Roman" w:hAnsi="Times New Roman" w:eastAsia="方正仿宋_GBK"/>
          <w:sz w:val="32"/>
          <w:szCs w:val="32"/>
        </w:rPr>
        <w:t>；公务接待费</w:t>
      </w:r>
      <w:r>
        <w:rPr>
          <w:rFonts w:ascii="Times New Roman" w:hAnsi="Times New Roman" w:eastAsia="方正仿宋_GBK"/>
          <w:sz w:val="32"/>
          <w:szCs w:val="32"/>
        </w:rPr>
        <w:t>0</w:t>
      </w:r>
      <w:r>
        <w:rPr>
          <w:rFonts w:hint="eastAsia" w:ascii="Times New Roman" w:hAnsi="Times New Roman" w:eastAsia="方正仿宋_GBK"/>
          <w:sz w:val="32"/>
          <w:szCs w:val="32"/>
        </w:rPr>
        <w:t>万元。与</w:t>
      </w:r>
      <w:r>
        <w:rPr>
          <w:rFonts w:ascii="Times New Roman" w:hAnsi="Times New Roman" w:eastAsia="方正仿宋_GBK"/>
          <w:sz w:val="32"/>
          <w:szCs w:val="32"/>
        </w:rPr>
        <w:t>2018</w:t>
      </w:r>
      <w:r>
        <w:rPr>
          <w:rFonts w:hint="eastAsia" w:ascii="Times New Roman" w:hAnsi="Times New Roman" w:eastAsia="方正仿宋_GBK"/>
          <w:sz w:val="32"/>
          <w:szCs w:val="32"/>
        </w:rPr>
        <w:t>年相比减少</w:t>
      </w:r>
      <w:r>
        <w:rPr>
          <w:rFonts w:ascii="Times New Roman" w:hAnsi="Times New Roman" w:eastAsia="方正仿宋_GBK"/>
          <w:sz w:val="32"/>
          <w:szCs w:val="32"/>
        </w:rPr>
        <w:t>4.2</w:t>
      </w:r>
      <w:r>
        <w:rPr>
          <w:rFonts w:hint="eastAsia" w:ascii="Times New Roman" w:hAnsi="Times New Roman" w:eastAsia="方正仿宋_GBK"/>
          <w:sz w:val="32"/>
          <w:szCs w:val="32"/>
        </w:rPr>
        <w:t>万元，减少的主要原因是：事业单位公务用车改革，减少公务用车，相应减少公务用车运维费。</w:t>
      </w:r>
    </w:p>
    <w:p>
      <w:pPr>
        <w:ind w:firstLine="640"/>
        <w:rPr>
          <w:rFonts w:ascii="黑体" w:hAnsi="黑体" w:eastAsia="黑体"/>
          <w:sz w:val="32"/>
          <w:szCs w:val="32"/>
        </w:rPr>
      </w:pPr>
      <w:r>
        <w:rPr>
          <w:rFonts w:hint="eastAsia" w:ascii="黑体" w:hAnsi="黑体" w:eastAsia="黑体"/>
          <w:sz w:val="32"/>
          <w:szCs w:val="32"/>
        </w:rPr>
        <w:t>五、绩效预算信息</w:t>
      </w:r>
    </w:p>
    <w:p>
      <w:pPr>
        <w:ind w:firstLine="640" w:firstLineChars="200"/>
        <w:jc w:val="left"/>
        <w:rPr>
          <w:rFonts w:ascii="Times New Roman" w:hAnsi="Times New Roman" w:eastAsia="方正仿宋_GBK"/>
          <w:b/>
          <w:sz w:val="32"/>
          <w:szCs w:val="32"/>
        </w:rPr>
      </w:pPr>
      <w:bookmarkStart w:id="0" w:name="_Toc471398463"/>
      <w:r>
        <w:rPr>
          <w:rFonts w:hint="eastAsia" w:ascii="Times New Roman" w:hAnsi="Times New Roman" w:eastAsia="方正仿宋_GBK"/>
          <w:b/>
          <w:sz w:val="32"/>
          <w:szCs w:val="32"/>
        </w:rPr>
        <w:t>总体绩效目标：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以深入学习宣传贯彻党的十九大精神为主线，以习近平新时代中国特色社会主义思想为统领，认真落实上级有关安排要求，聚焦社会主要矛盾转变，按照高质量发展的要求，优化财政保障结构；聚焦供给侧结构性改革，增强财政政策有效供给；聚焦提高质量和效益，深化绩效预算管理改革；聚焦实现稳中求进，稳定政策预期、强化风险管理，努力为我镇发展作财政支撑。重点抓好以下六方面工作：</w:t>
      </w:r>
    </w:p>
    <w:p>
      <w:pPr>
        <w:ind w:firstLine="56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和谐稳定，年内本乡（镇）辖区内：（</w:t>
      </w:r>
      <w:r>
        <w:rPr>
          <w:rFonts w:ascii="Times New Roman" w:hAnsi="Times New Roman" w:eastAsia="方正仿宋_GBK"/>
          <w:sz w:val="32"/>
          <w:szCs w:val="32"/>
        </w:rPr>
        <w:t>1</w:t>
      </w:r>
      <w:r>
        <w:rPr>
          <w:rFonts w:hint="eastAsia" w:ascii="Times New Roman" w:hAnsi="Times New Roman" w:eastAsia="方正仿宋_GBK"/>
          <w:sz w:val="32"/>
          <w:szCs w:val="32"/>
        </w:rPr>
        <w:t>）不发生生产安全事故；（</w:t>
      </w:r>
      <w:r>
        <w:rPr>
          <w:rFonts w:ascii="Times New Roman" w:hAnsi="Times New Roman" w:eastAsia="方正仿宋_GBK"/>
          <w:sz w:val="32"/>
          <w:szCs w:val="32"/>
        </w:rPr>
        <w:t>2</w:t>
      </w:r>
      <w:r>
        <w:rPr>
          <w:rFonts w:hint="eastAsia" w:ascii="Times New Roman" w:hAnsi="Times New Roman" w:eastAsia="方正仿宋_GBK"/>
          <w:sz w:val="32"/>
          <w:szCs w:val="32"/>
        </w:rPr>
        <w:t>）不发生可防性刑事案件；（</w:t>
      </w:r>
      <w:r>
        <w:rPr>
          <w:rFonts w:ascii="Times New Roman" w:hAnsi="Times New Roman" w:eastAsia="方正仿宋_GBK"/>
          <w:sz w:val="32"/>
          <w:szCs w:val="32"/>
        </w:rPr>
        <w:t>3</w:t>
      </w:r>
      <w:r>
        <w:rPr>
          <w:rFonts w:hint="eastAsia" w:ascii="Times New Roman" w:hAnsi="Times New Roman" w:eastAsia="方正仿宋_GBK"/>
          <w:sz w:val="32"/>
          <w:szCs w:val="32"/>
        </w:rPr>
        <w:t>）不发生涉众型案件；（</w:t>
      </w:r>
      <w:r>
        <w:rPr>
          <w:rFonts w:ascii="Times New Roman" w:hAnsi="Times New Roman" w:eastAsia="方正仿宋_GBK"/>
          <w:sz w:val="32"/>
          <w:szCs w:val="32"/>
        </w:rPr>
        <w:t>4</w:t>
      </w:r>
      <w:r>
        <w:rPr>
          <w:rFonts w:hint="eastAsia" w:ascii="Times New Roman" w:hAnsi="Times New Roman" w:eastAsia="方正仿宋_GBK"/>
          <w:sz w:val="32"/>
          <w:szCs w:val="32"/>
        </w:rPr>
        <w:t>）不发生群体性事件；（</w:t>
      </w:r>
      <w:r>
        <w:rPr>
          <w:rFonts w:ascii="Times New Roman" w:hAnsi="Times New Roman" w:eastAsia="方正仿宋_GBK"/>
          <w:sz w:val="32"/>
          <w:szCs w:val="32"/>
        </w:rPr>
        <w:t>5</w:t>
      </w:r>
      <w:r>
        <w:rPr>
          <w:rFonts w:hint="eastAsia" w:ascii="Times New Roman" w:hAnsi="Times New Roman" w:eastAsia="方正仿宋_GBK"/>
          <w:sz w:val="32"/>
          <w:szCs w:val="32"/>
        </w:rPr>
        <w:t>）不发生食品药品安全事故；（</w:t>
      </w:r>
      <w:r>
        <w:rPr>
          <w:rFonts w:ascii="Times New Roman" w:hAnsi="Times New Roman" w:eastAsia="方正仿宋_GBK"/>
          <w:sz w:val="32"/>
          <w:szCs w:val="32"/>
        </w:rPr>
        <w:t>6</w:t>
      </w:r>
      <w:r>
        <w:rPr>
          <w:rFonts w:hint="eastAsia" w:ascii="Times New Roman" w:hAnsi="Times New Roman" w:eastAsia="方正仿宋_GBK"/>
          <w:sz w:val="32"/>
          <w:szCs w:val="32"/>
        </w:rPr>
        <w:t>）不发生公共安全事故；（</w:t>
      </w:r>
      <w:r>
        <w:rPr>
          <w:rFonts w:ascii="Times New Roman" w:hAnsi="Times New Roman" w:eastAsia="方正仿宋_GBK"/>
          <w:sz w:val="32"/>
          <w:szCs w:val="32"/>
        </w:rPr>
        <w:t>7</w:t>
      </w:r>
      <w:r>
        <w:rPr>
          <w:rFonts w:hint="eastAsia" w:ascii="Times New Roman" w:hAnsi="Times New Roman" w:eastAsia="方正仿宋_GBK"/>
          <w:sz w:val="32"/>
          <w:szCs w:val="32"/>
        </w:rPr>
        <w:t>）社会舆论应对及时、处理妥当；（</w:t>
      </w:r>
      <w:r>
        <w:rPr>
          <w:rFonts w:ascii="Times New Roman" w:hAnsi="Times New Roman" w:eastAsia="方正仿宋_GBK"/>
          <w:sz w:val="32"/>
          <w:szCs w:val="32"/>
        </w:rPr>
        <w:t>8</w:t>
      </w:r>
      <w:r>
        <w:rPr>
          <w:rFonts w:hint="eastAsia" w:ascii="Times New Roman" w:hAnsi="Times New Roman" w:eastAsia="方正仿宋_GBK"/>
          <w:sz w:val="32"/>
          <w:szCs w:val="32"/>
        </w:rPr>
        <w:t>）不发生非正常进京访和进京、赴省、赴市、赴县集体访。</w:t>
      </w:r>
    </w:p>
    <w:p>
      <w:pPr>
        <w:ind w:firstLine="56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现代农业，继续发展葡萄园区建设。</w:t>
      </w:r>
    </w:p>
    <w:p>
      <w:pPr>
        <w:ind w:firstLine="56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招商引资，努力完成上级下达的招商任务，落实奖罚责任制，以增强招商引资的积极性，开创招商引资工作新局面。</w:t>
      </w:r>
    </w:p>
    <w:p>
      <w:pPr>
        <w:ind w:firstLine="56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强化重点项目建设，围绕经济发展社会进步，谋划工业项目和公益事业项目建设，推进工业化进程，为实现小康社会奠定基础。</w:t>
      </w:r>
    </w:p>
    <w:p>
      <w:pPr>
        <w:ind w:firstLine="56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优化发展环境。加强对乡村党员干部素质教育，转变作风，规范行为，做好园区服务，建立园区企业定期巡防制度，严厉打击对干扰企业生产生活的</w:t>
      </w:r>
      <w:r>
        <w:rPr>
          <w:rFonts w:ascii="Times New Roman" w:hAnsi="Times New Roman" w:eastAsia="方正仿宋_GBK"/>
          <w:sz w:val="32"/>
          <w:szCs w:val="32"/>
        </w:rPr>
        <w:t>“</w:t>
      </w:r>
      <w:r>
        <w:rPr>
          <w:rFonts w:hint="eastAsia" w:ascii="Times New Roman" w:hAnsi="Times New Roman" w:eastAsia="方正仿宋_GBK"/>
          <w:sz w:val="32"/>
          <w:szCs w:val="32"/>
        </w:rPr>
        <w:t>五霸</w:t>
      </w:r>
      <w:r>
        <w:rPr>
          <w:rFonts w:ascii="Times New Roman" w:hAnsi="Times New Roman" w:eastAsia="方正仿宋_GBK"/>
          <w:sz w:val="32"/>
          <w:szCs w:val="32"/>
        </w:rPr>
        <w:t>”</w:t>
      </w:r>
      <w:r>
        <w:rPr>
          <w:rFonts w:hint="eastAsia" w:ascii="Times New Roman" w:hAnsi="Times New Roman" w:eastAsia="方正仿宋_GBK"/>
          <w:sz w:val="32"/>
          <w:szCs w:val="32"/>
        </w:rPr>
        <w:t>。</w:t>
      </w:r>
    </w:p>
    <w:p>
      <w:pPr>
        <w:ind w:firstLine="56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新农村建设，加强镇区规划。加快加快霍寨葡萄、香花营核桃采摘旅游业发展，推进乡村旅游业发展</w:t>
      </w:r>
      <w:r>
        <w:rPr>
          <w:rFonts w:hint="eastAsia" w:ascii="方正书宋_GBK" w:eastAsia="方正书宋_GBK"/>
        </w:rPr>
        <w:t>。</w:t>
      </w:r>
    </w:p>
    <w:p>
      <w:pPr>
        <w:ind w:firstLine="640" w:firstLineChars="200"/>
        <w:rPr>
          <w:rFonts w:ascii="Times New Roman" w:hAnsi="Times New Roman" w:eastAsia="方正仿宋_GBK"/>
          <w:sz w:val="32"/>
          <w:szCs w:val="32"/>
        </w:rPr>
      </w:pPr>
    </w:p>
    <w:p>
      <w:pPr>
        <w:spacing w:line="580" w:lineRule="exact"/>
        <w:ind w:firstLine="640" w:firstLineChars="200"/>
        <w:jc w:val="left"/>
        <w:rPr>
          <w:rFonts w:ascii="Times New Roman" w:hAnsi="Times New Roman" w:eastAsia="方正仿宋_GBK"/>
          <w:sz w:val="32"/>
          <w:szCs w:val="32"/>
        </w:rPr>
      </w:pPr>
    </w:p>
    <w:p>
      <w:pPr>
        <w:spacing w:line="580" w:lineRule="exact"/>
        <w:ind w:firstLine="640" w:firstLineChars="200"/>
        <w:jc w:val="left"/>
        <w:rPr>
          <w:rFonts w:ascii="仿宋_GB2312" w:hAnsi="仿宋_GB2312" w:eastAsia="仿宋_GB2312" w:cs="仿宋_GB2312"/>
          <w:sz w:val="32"/>
          <w:szCs w:val="32"/>
        </w:rPr>
      </w:pPr>
    </w:p>
    <w:p>
      <w:pPr>
        <w:jc w:val="left"/>
        <w:rPr>
          <w:rFonts w:ascii="Times New Roman" w:hAnsi="Times New Roman" w:eastAsia="方正仿宋_GBK"/>
          <w:b/>
          <w:sz w:val="32"/>
          <w:szCs w:val="32"/>
        </w:rPr>
      </w:pPr>
      <w:r>
        <w:rPr>
          <w:rFonts w:ascii="方正楷体_GBK" w:eastAsia="方正楷体_GBK"/>
          <w:b/>
          <w:sz w:val="28"/>
        </w:rPr>
        <w:t xml:space="preserve"> </w:t>
      </w:r>
      <w:r>
        <w:rPr>
          <w:rFonts w:hint="eastAsia" w:ascii="Times New Roman" w:hAnsi="Times New Roman" w:eastAsia="方正仿宋_GBK"/>
          <w:b/>
          <w:sz w:val="32"/>
          <w:szCs w:val="32"/>
        </w:rPr>
        <w:t>职责分类绩效目标：</w:t>
      </w:r>
    </w:p>
    <w:p>
      <w:pPr>
        <w:ind w:firstLine="56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、基层党建工作</w:t>
      </w:r>
    </w:p>
    <w:p>
      <w:pPr>
        <w:ind w:firstLine="560"/>
        <w:rPr>
          <w:rFonts w:ascii="Times New Roman" w:hAnsi="Times New Roman" w:eastAsia="方正仿宋_GBK"/>
          <w:sz w:val="32"/>
          <w:szCs w:val="32"/>
        </w:rPr>
      </w:pPr>
      <w:r>
        <w:rPr>
          <w:rFonts w:hint="eastAsia" w:ascii="Times New Roman" w:hAnsi="Times New Roman" w:eastAsia="方正仿宋_GBK"/>
          <w:sz w:val="32"/>
          <w:szCs w:val="32"/>
        </w:rPr>
        <w:t>绩效目标：进一步贯彻落实</w:t>
      </w:r>
      <w:r>
        <w:rPr>
          <w:rFonts w:ascii="Times New Roman" w:hAnsi="Times New Roman" w:eastAsia="方正仿宋_GBK"/>
          <w:sz w:val="32"/>
          <w:szCs w:val="32"/>
        </w:rPr>
        <w:t>“</w:t>
      </w:r>
      <w:r>
        <w:rPr>
          <w:rFonts w:hint="eastAsia" w:ascii="Times New Roman" w:hAnsi="Times New Roman" w:eastAsia="方正仿宋_GBK"/>
          <w:sz w:val="32"/>
          <w:szCs w:val="32"/>
        </w:rPr>
        <w:t>四个统筹</w:t>
      </w:r>
      <w:r>
        <w:rPr>
          <w:rFonts w:ascii="Times New Roman" w:hAnsi="Times New Roman" w:eastAsia="方正仿宋_GBK"/>
          <w:sz w:val="32"/>
          <w:szCs w:val="32"/>
        </w:rPr>
        <w:t>”</w:t>
      </w:r>
      <w:r>
        <w:rPr>
          <w:rFonts w:hint="eastAsia" w:ascii="Times New Roman" w:hAnsi="Times New Roman" w:eastAsia="方正仿宋_GBK"/>
          <w:sz w:val="32"/>
          <w:szCs w:val="32"/>
        </w:rPr>
        <w:t>开展</w:t>
      </w:r>
      <w:r>
        <w:rPr>
          <w:rFonts w:ascii="Times New Roman" w:hAnsi="Times New Roman" w:eastAsia="方正仿宋_GBK"/>
          <w:sz w:val="32"/>
          <w:szCs w:val="32"/>
        </w:rPr>
        <w:t>“</w:t>
      </w:r>
      <w:r>
        <w:rPr>
          <w:rFonts w:hint="eastAsia" w:ascii="Times New Roman" w:hAnsi="Times New Roman" w:eastAsia="方正仿宋_GBK"/>
          <w:sz w:val="32"/>
          <w:szCs w:val="32"/>
        </w:rPr>
        <w:t>六化六提升</w:t>
      </w:r>
      <w:r>
        <w:rPr>
          <w:rFonts w:ascii="Times New Roman" w:hAnsi="Times New Roman" w:eastAsia="方正仿宋_GBK"/>
          <w:sz w:val="32"/>
          <w:szCs w:val="32"/>
        </w:rPr>
        <w:t>”</w:t>
      </w:r>
      <w:r>
        <w:rPr>
          <w:rFonts w:hint="eastAsia" w:ascii="Times New Roman" w:hAnsi="Times New Roman" w:eastAsia="方正仿宋_GBK"/>
          <w:sz w:val="32"/>
          <w:szCs w:val="32"/>
        </w:rPr>
        <w:t>活动，进一步完善乡便民服务中心建设。</w:t>
      </w:r>
    </w:p>
    <w:p>
      <w:pPr>
        <w:ind w:firstLine="56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、党风廉政建设工作</w:t>
      </w:r>
    </w:p>
    <w:p>
      <w:pPr>
        <w:ind w:firstLine="560"/>
        <w:rPr>
          <w:rFonts w:ascii="Times New Roman" w:hAnsi="Times New Roman" w:eastAsia="方正仿宋_GBK"/>
          <w:sz w:val="32"/>
          <w:szCs w:val="32"/>
        </w:rPr>
      </w:pPr>
      <w:r>
        <w:rPr>
          <w:rFonts w:hint="eastAsia" w:ascii="Times New Roman" w:hAnsi="Times New Roman" w:eastAsia="方正仿宋_GBK"/>
          <w:sz w:val="32"/>
          <w:szCs w:val="32"/>
        </w:rPr>
        <w:t>绩效目标：</w:t>
      </w:r>
      <w:r>
        <w:rPr>
          <w:rFonts w:ascii="Times New Roman" w:hAnsi="Times New Roman" w:eastAsia="方正仿宋_GBK"/>
          <w:sz w:val="32"/>
          <w:szCs w:val="32"/>
        </w:rPr>
        <w:t xml:space="preserve"> </w:t>
      </w:r>
      <w:r>
        <w:rPr>
          <w:rFonts w:hint="eastAsia" w:ascii="Times New Roman" w:hAnsi="Times New Roman" w:eastAsia="方正仿宋_GBK"/>
          <w:sz w:val="32"/>
          <w:szCs w:val="32"/>
        </w:rPr>
        <w:t>全面提升党员干部队伍的素质水平，加强教育、监督和惩戒并重，努力保持党员队伍</w:t>
      </w:r>
      <w:r>
        <w:rPr>
          <w:rFonts w:ascii="Times New Roman" w:hAnsi="Times New Roman" w:eastAsia="方正仿宋_GBK"/>
          <w:sz w:val="32"/>
          <w:szCs w:val="32"/>
        </w:rPr>
        <w:t>“</w:t>
      </w:r>
      <w:r>
        <w:rPr>
          <w:rFonts w:hint="eastAsia" w:ascii="Times New Roman" w:hAnsi="Times New Roman" w:eastAsia="方正仿宋_GBK"/>
          <w:sz w:val="32"/>
          <w:szCs w:val="32"/>
        </w:rPr>
        <w:t>零违纪</w:t>
      </w:r>
      <w:r>
        <w:rPr>
          <w:rFonts w:ascii="Times New Roman" w:hAnsi="Times New Roman" w:eastAsia="方正仿宋_GBK"/>
          <w:sz w:val="32"/>
          <w:szCs w:val="32"/>
        </w:rPr>
        <w:t>”</w:t>
      </w:r>
      <w:r>
        <w:rPr>
          <w:rFonts w:hint="eastAsia" w:ascii="Times New Roman" w:hAnsi="Times New Roman" w:eastAsia="方正仿宋_GBK"/>
          <w:sz w:val="32"/>
          <w:szCs w:val="32"/>
        </w:rPr>
        <w:t>，确保不出现违法乱纪、破坏发展环境行为。</w:t>
      </w:r>
      <w:r>
        <w:rPr>
          <w:rFonts w:ascii="Times New Roman" w:hAnsi="Times New Roman" w:eastAsia="方正仿宋_GBK"/>
          <w:sz w:val="32"/>
          <w:szCs w:val="32"/>
        </w:rPr>
        <w:t xml:space="preserve">   </w:t>
      </w:r>
    </w:p>
    <w:p>
      <w:pPr>
        <w:ind w:firstLine="56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、征地拆迁工作</w:t>
      </w:r>
    </w:p>
    <w:p>
      <w:pPr>
        <w:ind w:firstLine="560"/>
        <w:rPr>
          <w:rFonts w:ascii="Times New Roman" w:hAnsi="Times New Roman" w:eastAsia="方正仿宋_GBK"/>
          <w:sz w:val="32"/>
          <w:szCs w:val="32"/>
        </w:rPr>
      </w:pPr>
      <w:r>
        <w:rPr>
          <w:rFonts w:hint="eastAsia" w:ascii="Times New Roman" w:hAnsi="Times New Roman" w:eastAsia="方正仿宋_GBK"/>
          <w:sz w:val="32"/>
          <w:szCs w:val="32"/>
        </w:rPr>
        <w:t>绩效目标：大力继续发展北郭庄征地拆迁建设，以及白伏等互通口征地拆迁建设。</w:t>
      </w:r>
    </w:p>
    <w:p>
      <w:pPr>
        <w:ind w:firstLine="56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、新农村建设工作</w:t>
      </w:r>
    </w:p>
    <w:p>
      <w:pPr>
        <w:ind w:firstLine="560"/>
        <w:rPr>
          <w:rFonts w:ascii="Times New Roman" w:hAnsi="Times New Roman" w:eastAsia="方正仿宋_GBK"/>
          <w:sz w:val="32"/>
          <w:szCs w:val="32"/>
        </w:rPr>
      </w:pPr>
      <w:r>
        <w:rPr>
          <w:rFonts w:hint="eastAsia" w:ascii="Times New Roman" w:hAnsi="Times New Roman" w:eastAsia="方正仿宋_GBK"/>
          <w:sz w:val="32"/>
          <w:szCs w:val="32"/>
        </w:rPr>
        <w:t>绩效目标：加强镇区规划，加快葡萄、核桃采摘旅游业发展，推进乡村旅游业发展。</w:t>
      </w:r>
    </w:p>
    <w:p>
      <w:pPr>
        <w:ind w:firstLine="56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、教育工作</w:t>
      </w:r>
    </w:p>
    <w:p>
      <w:pPr>
        <w:ind w:firstLine="560"/>
        <w:rPr>
          <w:rFonts w:ascii="Times New Roman" w:hAnsi="Times New Roman" w:eastAsia="方正仿宋_GBK"/>
          <w:sz w:val="32"/>
          <w:szCs w:val="32"/>
        </w:rPr>
      </w:pPr>
      <w:r>
        <w:rPr>
          <w:rFonts w:hint="eastAsia" w:ascii="Times New Roman" w:hAnsi="Times New Roman" w:eastAsia="方正仿宋_GBK"/>
          <w:sz w:val="32"/>
          <w:szCs w:val="32"/>
        </w:rPr>
        <w:t>绩效目标：建立健全各项日常工作管理制度，落实各项工作责任制。</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部门职责</w:t>
      </w:r>
      <w:r>
        <w:rPr>
          <w:rFonts w:ascii="方正小标宋_GBK" w:hAnsi="Times New Roman" w:eastAsia="方正小标宋_GBK"/>
          <w:sz w:val="32"/>
          <w:szCs w:val="24"/>
        </w:rPr>
        <w:t>-</w:t>
      </w:r>
      <w:r>
        <w:rPr>
          <w:rFonts w:hint="eastAsia" w:ascii="方正小标宋_GBK" w:hAnsi="Times New Roman" w:eastAsia="方正小标宋_GBK"/>
          <w:sz w:val="32"/>
          <w:szCs w:val="24"/>
        </w:rPr>
        <w:t>工作活动绩效目标</w:t>
      </w:r>
      <w:bookmarkEnd w:id="0"/>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_GB2312" w:hAnsi="仿宋_GB2312" w:eastAsia="仿宋_GB2312" w:cs="仿宋_GB2312"/>
                <w:sz w:val="24"/>
              </w:rPr>
            </w:pPr>
            <w:bookmarkStart w:id="1" w:name="_Toc504489147"/>
            <w:r>
              <w:rPr>
                <w:rFonts w:ascii="仿宋_GB2312" w:hAnsi="仿宋_GB2312" w:eastAsia="仿宋_GB2312" w:cs="仿宋_GB2312"/>
                <w:sz w:val="24"/>
              </w:rPr>
              <w:t>801</w:t>
            </w:r>
            <w:r>
              <w:rPr>
                <w:rFonts w:hint="eastAsia" w:ascii="仿宋_GB2312" w:hAnsi="仿宋_GB2312" w:eastAsia="仿宋_GB2312" w:cs="仿宋_GB2312"/>
                <w:sz w:val="24"/>
              </w:rPr>
              <w:t>威县洺州镇人民政府</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_GB2312" w:hAnsi="仿宋_GB2312" w:eastAsia="仿宋_GB2312" w:cs="仿宋_GB2312"/>
                <w:sz w:val="24"/>
              </w:rPr>
            </w:pPr>
            <w:r>
              <w:rPr>
                <w:rFonts w:hint="eastAsia" w:ascii="仿宋_GB2312" w:hAnsi="仿宋_GB2312" w:eastAsia="仿宋_GB2312" w:cs="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left"/>
              <w:rPr>
                <w:rFonts w:ascii="方正书宋_GBK" w:eastAsia="方正书宋_GBK"/>
              </w:rPr>
            </w:pPr>
            <w:r>
              <w:rPr>
                <w:rFonts w:hint="eastAsia" w:ascii="方正书宋_GBK" w:eastAsia="方正书宋_GBK"/>
              </w:rPr>
              <w:t>职责活动</w:t>
            </w:r>
          </w:p>
        </w:tc>
        <w:tc>
          <w:tcPr>
            <w:tcW w:w="1276" w:type="dxa"/>
            <w:vMerge w:val="restart"/>
            <w:vAlign w:val="center"/>
          </w:tcPr>
          <w:p>
            <w:pPr>
              <w:spacing w:line="300" w:lineRule="exact"/>
              <w:jc w:val="left"/>
              <w:rPr>
                <w:rFonts w:ascii="方正书宋_GBK" w:eastAsia="方正书宋_GBK"/>
              </w:rPr>
            </w:pPr>
            <w:r>
              <w:rPr>
                <w:rFonts w:hint="eastAsia" w:ascii="方正书宋_GBK" w:eastAsia="方正书宋_GBK"/>
              </w:rPr>
              <w:t>年度预算数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内容描述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绩效目标</w:t>
            </w:r>
          </w:p>
        </w:tc>
        <w:tc>
          <w:tcPr>
            <w:tcW w:w="1417" w:type="dxa"/>
            <w:vMerge w:val="restart"/>
            <w:vAlign w:val="center"/>
          </w:tcPr>
          <w:p>
            <w:pPr>
              <w:spacing w:line="300" w:lineRule="exact"/>
              <w:jc w:val="left"/>
              <w:rPr>
                <w:rFonts w:ascii="方正书宋_GBK" w:eastAsia="方正书宋_GBK"/>
              </w:rPr>
            </w:pPr>
            <w:r>
              <w:rPr>
                <w:rFonts w:hint="eastAsia" w:ascii="方正书宋_GBK" w:eastAsia="方正书宋_GBK"/>
              </w:rPr>
              <w:t>绩效指标</w:t>
            </w:r>
          </w:p>
        </w:tc>
        <w:tc>
          <w:tcPr>
            <w:tcW w:w="2948" w:type="dxa"/>
            <w:gridSpan w:val="4"/>
            <w:vAlign w:val="center"/>
          </w:tcPr>
          <w:p>
            <w:pPr>
              <w:spacing w:line="300" w:lineRule="exact"/>
              <w:jc w:val="left"/>
              <w:rPr>
                <w:rFonts w:ascii="方正书宋_GBK" w:eastAsia="方正书宋_GBK"/>
              </w:rPr>
            </w:pPr>
            <w:r>
              <w:rPr>
                <w:rFonts w:hint="eastAsia" w:ascii="方正书宋_GBK" w:eastAsia="方正书宋_GBK"/>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Merge w:val="continue"/>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r>
              <w:rPr>
                <w:rFonts w:hint="eastAsia" w:ascii="方正书宋_GBK" w:eastAsia="方正书宋_GBK"/>
              </w:rPr>
              <w:t>优</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良</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中</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一、招商引资</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通过加大对工业性项目的招商，增强全镇经济实力，实现镇域经济越快越好发展</w:t>
            </w:r>
          </w:p>
        </w:tc>
        <w:tc>
          <w:tcPr>
            <w:tcW w:w="2976" w:type="dxa"/>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年协议引资</w:t>
            </w:r>
            <w:r>
              <w:rPr>
                <w:rFonts w:ascii="方正书宋_GBK" w:eastAsia="方正书宋_GBK"/>
              </w:rPr>
              <w:t>3</w:t>
            </w:r>
            <w:r>
              <w:rPr>
                <w:rFonts w:hint="eastAsia" w:ascii="方正书宋_GBK" w:eastAsia="方正书宋_GBK"/>
              </w:rPr>
              <w:t>亿元，“百千亿”招商</w:t>
            </w:r>
            <w:r>
              <w:rPr>
                <w:rFonts w:ascii="方正书宋_GBK" w:eastAsia="方正书宋_GBK"/>
              </w:rPr>
              <w:t>3</w:t>
            </w:r>
            <w:r>
              <w:rPr>
                <w:rFonts w:hint="eastAsia" w:ascii="方正书宋_GBK" w:eastAsia="方正书宋_GBK"/>
              </w:rPr>
              <w:t>个。</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加强对外宣传</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进一步拓宽招商渠道，创新引资思路，加大力度向客商宣传我镇发展环境、优惠政策、奖励政策等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提高我镇招商外部形象，形成招商工作助力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外出招商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通过开展“主体招商活动”，瞄准京津地区外迁项目，引进一批战略支撑项目、龙头企业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通过招商活动为镇引进一批重点项目、优质企业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超额完成我镇全县分配招商任务数量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优化服务环境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通过专人负责全程协调为客商提供优质服务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落实招商优惠政策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为引进企业从土地、水电、金融、税收等提供优惠政策，并派专人进行协调督办</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提供多种优惠政策吸引客商投资，为引进企业发展提供便利</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二、项目建设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促进重大项目落地；加快我镇战略性新兴产业项目、传统产业技术升级和结构调整项目、产业技术创新平台与基础设施项目建设，促进我镇产业结构调整和优化升级。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有效引导行业健康发展，提升全镇产业和行业竞争力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技术改造提升</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全镇项目改造提升数目</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安全生产</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与安监、市场监管、消防等部门合作，继续开展“打非治违”工作；编制安全生产规划，开展安全生产调研和相关政策制订；开展行政复议及行政应诉工作等；为保障机关履行安全生产监管基本职责提供必要条件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安全生产业务保障率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rPr>
            </w:pPr>
            <w:r>
              <w:rPr>
                <w:rFonts w:hint="eastAsia" w:ascii="方正书宋_GBK" w:eastAsia="方正书宋_GBK"/>
              </w:rPr>
              <w:t>　　污染防治</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老旧车、黄标车淘汰率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治理水污染进度</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ascii="方正书宋_GBK" w:eastAsia="方正书宋_GBK"/>
              </w:rPr>
              <w:t>PM2.5</w:t>
            </w:r>
            <w:r>
              <w:rPr>
                <w:rFonts w:hint="eastAsia" w:ascii="方正书宋_GBK" w:eastAsia="方正书宋_GBK"/>
              </w:rPr>
              <w:t>削减率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企业服务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积极为企业落实金融、土地、水电、用工等优惠政策，加快企业发展步伐</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工作落实程度</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电商管理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督促供销、卖货郎电子商务在全县各村完成网点建设，再引进一家乡间货的电子商务公司促进农副产品收购、销售，提高电子商务平台知名度，完善服务体系。在审批、服务等工作上给予大力支持，推进快递业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全镇电子平台数量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三、园区建设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提升园区服务能力、优化园区发展环境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通过制定园区发展规划，提升园区发展水平充分发挥园区比较优势、切实提升园区核心竞争力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形象宣传</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大力宣传“一三二九”发展思路和“建设县级商贸名镇、打造市级工业强镇”工作目标。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打造“金水河畔、商贸名镇、投资福地、生态家园”发展新名片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基础设施建设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对各个园区基础设施进行项目建设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通过园区基础设施建设，完善园区服务能力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项目完工数量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融资平台建设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建立由政府主导，企业、银行及社会参与的融资平台，推进农村产权确权工作，为企业发展提供助力</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通过政府参与降低企业融资成本，解决企业融资难题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企业融资金额</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园区服务规范化建设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精简审批服务项目，优化服务流程，创新服务方式，大力推行规范化服务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服务规范化目标完成情况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四、城建城管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城市管理队伍建设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组织开展城管队伍培训，加强城市管理队伍规范化建设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提高城市管理队伍形象，加快城市发展步伐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镇区卫生整治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配合县城管局开展背街小巷整治工作，辖区内环境卫生的清扫、保洁和生活垃圾的清运；环卫设施的建设与管理工作；垃圾无害化处理工作；建筑垃圾的管理；垃圾处理场的规划选址、建设和运行的监督管理；生活垃圾的处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提高县城环境卫生管理水平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镇区道路、社区卫生保洁完成率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镇区道路美化亮化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加大镇区道路绿地树木的保护力度；加强大镇区林木绿化工程的建设进行管理监督；保持镇区道路环境卫生等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提高镇区道路承载能力和宜居度，改善镇区环境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镇区道路工程数量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镇区新民居建设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制定新民居工程建设规划，拟定年度建设目标并监督实施；承担全镇保新民居工程领导小组办公室职责；研究拟定新民居工程政策并监督实施，对项目分配、管理和运营情况监督指导；组织实施镇区新民居建设和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完成镇区新民居工程年度建设任务，建立健全公平、公正、公开的分配机制和优质、高效管理服务机制。及时出台政策，建立基本完善的城镇新民居工程政策体系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新建镇区新民居开工率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五、发展现代农业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打造美丽乡村精品村，发展梨产业带、核桃种植、葡萄观光、旅游、采摘产业，有效增加农民收入，提高农民生活水平。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发展高效农业、特色农业作为促进农民增收致富、繁荣农村经济，推进西沙河流域梨产业带建设进度，增加种植户收入；加快葡萄、核桃采摘旅游业发展，推进乡村旅游业发展。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活动农业招商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组织开展农业招商活动，鼓励引导符合我镇农业产业发展方向的项目，吸引外资投资农业开发，从事农产品加工、流通，引进农业新品种、新技术</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改善我镇传统农业落后局面，提高农民收入，促进我真农业向现代农业转型升级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外出招商、洽谈次数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推进农业合作社建设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积极鼓励引导农民发展成立农业合作社，为农民建立合作社提供金融、人才、税收优惠等政策</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通过一批优质合作社的成立，带动我镇农业致富，加快我镇农业发展升级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发展成立农业合作社的个数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推进土地流转</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建立运转顺畅、便捷高效的农村土地承包经营权流转服务平台，带动土地流转依法、有序开展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土地保护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充分利用国家有关规定实行合理土地管理与保护，保证土地永续利用，不断提高土地生产力所采取的生物和工程措施</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构建科学的土地资源质量指标体系，探讨农田均衡化的生产模式和管理对策。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土地资源质量动态监测，农村土地合理使用情况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六、基层党建</w:t>
            </w:r>
          </w:p>
        </w:tc>
        <w:tc>
          <w:tcPr>
            <w:tcW w:w="1276" w:type="dxa"/>
            <w:vAlign w:val="center"/>
          </w:tcPr>
          <w:p>
            <w:pPr>
              <w:spacing w:line="300" w:lineRule="exact"/>
              <w:jc w:val="left"/>
              <w:rPr>
                <w:rFonts w:ascii="方正书宋_GBK" w:eastAsia="方正书宋_GBK"/>
              </w:rPr>
            </w:pPr>
            <w:r>
              <w:rPr>
                <w:rFonts w:ascii="方正书宋_GBK" w:eastAsia="方正书宋_GBK"/>
              </w:rPr>
              <w:t>422.17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加强基层组织建设，创新工作机制，为“绿色洺州、和谐洺州、生态洺州”建设提供重要组织保证</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落实主体责任，增强基础保障，包括基层党建的场所、制度等规范化、标准化管理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加强农村党建阵地建设</w:t>
            </w:r>
          </w:p>
        </w:tc>
        <w:tc>
          <w:tcPr>
            <w:tcW w:w="1276" w:type="dxa"/>
            <w:vAlign w:val="center"/>
          </w:tcPr>
          <w:p>
            <w:pPr>
              <w:spacing w:line="300" w:lineRule="exact"/>
              <w:jc w:val="left"/>
              <w:rPr>
                <w:rFonts w:ascii="方正书宋_GBK" w:eastAsia="方正书宋_GBK"/>
              </w:rPr>
            </w:pPr>
            <w:r>
              <w:rPr>
                <w:rFonts w:ascii="方正书宋_GBK" w:eastAsia="方正书宋_GBK"/>
              </w:rPr>
              <w:t>110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根据国家政策适时推动农村党建阵地的发展，及时满足党员活动和群众办事的合理需求，全方位发挥基层党建阵地的作用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多渠道争取党建资金，高标准科学谋划，强化农村阵地的政治职能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党务信息公开栏的建设和使用情况，村党支的硬件配套和使用情况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加强基层党员队伍建设和监督</w:t>
            </w:r>
          </w:p>
        </w:tc>
        <w:tc>
          <w:tcPr>
            <w:tcW w:w="1276" w:type="dxa"/>
            <w:vAlign w:val="center"/>
          </w:tcPr>
          <w:p>
            <w:pPr>
              <w:spacing w:line="300" w:lineRule="exact"/>
              <w:jc w:val="left"/>
              <w:rPr>
                <w:rFonts w:ascii="方正书宋_GBK" w:eastAsia="方正书宋_GBK"/>
              </w:rPr>
            </w:pPr>
            <w:r>
              <w:rPr>
                <w:rFonts w:ascii="方正书宋_GBK" w:eastAsia="方正书宋_GBK"/>
              </w:rPr>
              <w:t>70.5</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完善基层党支部的软件和硬件建设，落实主体责任，增强基础保障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推进基层服务型党组织建设，发挥党员的模范带头作用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基层党员数量和党员活动的开展次数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指导村委会建设</w:t>
            </w:r>
          </w:p>
        </w:tc>
        <w:tc>
          <w:tcPr>
            <w:tcW w:w="1276" w:type="dxa"/>
            <w:vAlign w:val="center"/>
          </w:tcPr>
          <w:p>
            <w:pPr>
              <w:spacing w:line="300" w:lineRule="exact"/>
              <w:jc w:val="left"/>
              <w:rPr>
                <w:rFonts w:ascii="方正书宋_GBK" w:eastAsia="方正书宋_GBK"/>
              </w:rPr>
            </w:pPr>
            <w:r>
              <w:rPr>
                <w:rFonts w:ascii="方正书宋_GBK" w:eastAsia="方正书宋_GBK"/>
              </w:rPr>
              <w:t>241.67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健全完善村委会的组织体系，优化村委会队伍结构，理顺村委会于基层组织关系，充分发挥村委会的应有职能</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加快建设符合服务型标准的村委会，切实为基层群众提供良好的专业性服务，维护基层组织的稳定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村委会的组织队伍建设及相关职能的利用情况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加强解决信访问题</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建立完善的信访接待机制，保证人员物资的充足供应，维护乡镇的和谐稳定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及时掌握基层群众的精神状况，及时解决村镇居民的合理诉求</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年度内信访事件数量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七、文化卫生公共事业管理</w:t>
            </w:r>
          </w:p>
        </w:tc>
        <w:tc>
          <w:tcPr>
            <w:tcW w:w="1276" w:type="dxa"/>
            <w:vAlign w:val="center"/>
          </w:tcPr>
          <w:p>
            <w:pPr>
              <w:spacing w:line="300" w:lineRule="exact"/>
              <w:jc w:val="left"/>
              <w:rPr>
                <w:rFonts w:ascii="方正书宋_GBK" w:eastAsia="方正书宋_GBK"/>
              </w:rPr>
            </w:pPr>
            <w:r>
              <w:rPr>
                <w:rFonts w:ascii="方正书宋_GBK" w:eastAsia="方正书宋_GBK"/>
              </w:rPr>
              <w:t>91.49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落实教育、卫生、科技、文化、体育事业发展规划、工作计划和措施；抓好人口与计划生育工作；落实科教兴镇计划、项目；搞好卫生防疫、妇幼保健工作；抓好群众性文化、体育工作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满足镇区群众文化需要为目的健全镇、村文化中心建设，推动多元化公共事业体系建设；加强卫生、计生、科技政务公开和业务宣传工作，落实计划生育制度；提高公共事业服务水平、规范公共事业管理。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镇消防队建设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建立健全应急队伍，配备标准消防器材，组织专业培训，适应城镇日常消防及教育任务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掌握并利用好镇的应急人员装备，保障本镇的安全环境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消防事故有效控制比例</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养老院建设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建设上规模上档次高标准养老院</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为居民提供良好的生活保障，保证老有所依</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养老院基础设施人员配备情况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农村环境卫生整治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按照国家园林城市的建设标准，组织全镇基层环境卫生机构开展实施基本公共卫生服务项目。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努力打造村容村貌的整体提升，积极向文明村镇标准靠拢</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乡镇卫生达标情况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计划生育</w:t>
            </w:r>
          </w:p>
        </w:tc>
        <w:tc>
          <w:tcPr>
            <w:tcW w:w="1276" w:type="dxa"/>
            <w:vAlign w:val="center"/>
          </w:tcPr>
          <w:p>
            <w:pPr>
              <w:spacing w:line="300" w:lineRule="exact"/>
              <w:jc w:val="left"/>
              <w:rPr>
                <w:rFonts w:ascii="方正书宋_GBK" w:eastAsia="方正书宋_GBK"/>
              </w:rPr>
            </w:pPr>
            <w:r>
              <w:rPr>
                <w:rFonts w:ascii="方正书宋_GBK" w:eastAsia="方正书宋_GBK"/>
              </w:rPr>
              <w:t>14.22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加大农村群众计生政策宣传；免费为公民提供计划生育避孕节育基本技术服务；免费为农村已婚育龄妇女提供生殖健康检查服务。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适时掌握村镇居民的计划生育情况，及时处理违反国家政策情况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处理违反计划生育比例</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文化事业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提高村镇居民的整体文化素质，建设符合现代化标准的村镇文化服务中心，满足和丰富村镇居民的精神文化需求。</w:t>
            </w:r>
          </w:p>
          <w:p>
            <w:pPr>
              <w:spacing w:line="300" w:lineRule="exact"/>
              <w:jc w:val="left"/>
              <w:rPr>
                <w:rFonts w:ascii="方正书宋_GBK" w:eastAsia="方正书宋_GBK"/>
              </w:rPr>
            </w:pPr>
            <w:r>
              <w:rPr>
                <w:rFonts w:hint="eastAsia" w:ascii="方正书宋_GBK" w:eastAsia="方正书宋_GBK"/>
              </w:rPr>
              <w:t>继续开展孝道文化建设，再确定</w:t>
            </w:r>
            <w:r>
              <w:rPr>
                <w:rFonts w:ascii="方正书宋_GBK" w:eastAsia="方正书宋_GBK"/>
              </w:rPr>
              <w:t>5</w:t>
            </w:r>
            <w:r>
              <w:rPr>
                <w:rFonts w:hint="eastAsia" w:ascii="方正书宋_GBK" w:eastAsia="方正书宋_GBK"/>
              </w:rPr>
              <w:t>个村开展孝道文化村。</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建设高质量的村镇文化中心，及时为居民提供有利信息，完成村镇居民精神面貌的提升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村镇文化中心的建设完成率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教育事业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加强教育的统筹规划和管理，监督完善教育政策措施，督促规范办学秩序，促进教育事业发展，保障村镇适龄学生受</w:t>
            </w:r>
            <w:r>
              <w:rPr>
                <w:rFonts w:ascii="方正书宋_GBK" w:eastAsia="方正书宋_GBK"/>
              </w:rPr>
              <w:t>100%</w:t>
            </w:r>
            <w:r>
              <w:rPr>
                <w:rFonts w:hint="eastAsia" w:ascii="方正书宋_GBK" w:eastAsia="方正书宋_GBK"/>
              </w:rPr>
              <w:t>的享受教育权利</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准确掌握村镇居民的受教育情况，保障村民的合法权利</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卫生事业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按照国家基本公共卫生服务项目《规范》，组织全镇基层医疗卫生机构开展实施基本公共卫生服务项目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对城乡居民健康实行干预，有效预防传染病及慢性病，使其享有平等的基本卫生服务。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居民健康档案总体建档率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福利救助</w:t>
            </w:r>
          </w:p>
        </w:tc>
        <w:tc>
          <w:tcPr>
            <w:tcW w:w="1276" w:type="dxa"/>
            <w:vAlign w:val="center"/>
          </w:tcPr>
          <w:p>
            <w:pPr>
              <w:spacing w:line="300" w:lineRule="exact"/>
              <w:jc w:val="left"/>
              <w:rPr>
                <w:rFonts w:ascii="方正书宋_GBK" w:eastAsia="方正书宋_GBK"/>
              </w:rPr>
            </w:pPr>
            <w:r>
              <w:rPr>
                <w:rFonts w:ascii="方正书宋_GBK" w:eastAsia="方正书宋_GBK"/>
              </w:rPr>
              <w:t>63.77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引导提升社会对福利救助合理认识，建立专项救助基金。面向困难群体开展符合其宗旨的福利救助，重点救助患病儿童及困难群众。</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使更多的贫困家庭、患病儿童得到救助</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救助困难群众人数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兵役管理</w:t>
            </w:r>
          </w:p>
        </w:tc>
        <w:tc>
          <w:tcPr>
            <w:tcW w:w="1276" w:type="dxa"/>
            <w:vAlign w:val="center"/>
          </w:tcPr>
          <w:p>
            <w:pPr>
              <w:spacing w:line="300" w:lineRule="exact"/>
              <w:jc w:val="left"/>
              <w:rPr>
                <w:rFonts w:ascii="方正书宋_GBK" w:eastAsia="方正书宋_GBK"/>
              </w:rPr>
            </w:pPr>
            <w:r>
              <w:rPr>
                <w:rFonts w:ascii="方正书宋_GBK" w:eastAsia="方正书宋_GBK"/>
              </w:rPr>
              <w:t>13.50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完善对村镇入伍青年进行建档登记，广泛宣传征兵政策和重大意义，增强群众对兵役的合理正确认识，营造良好的入伍从军氛围。</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准确掌握兵役的基本情况，保障上级下达任务的快速、高效完成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年度征兵工作完成情况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档案管理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规范档案管理制度，对现存档案进行规范分类、保存，完善进档出档登记制度</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八、政府机关规范化建设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提高工作效能和服务质量，转变工作作风，树立政府良好社会形象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完善各项规章制度，细化部门职责，严格落实考评机制，实现规范化管理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政府大厅正规化建设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制定完善大厅考勤、人员管理、来人接待制度，组织业务骨干办理窗口业务，打造高效服务型政府形象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信息提供安全有效，窗口建设稳步推进；提高人员业务水平；研究学习政策法规，推动公共服务事业发展。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政府机关日常管理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规范机关日常事务管理；机关办公区物业管理；机关车辆日常管理，保障机关日常运转。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规范财务管理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拟订行政性经费的财务管理制度，以及乡镇的财务管理制度，对会计进行专业培训。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搞好服务保障，为乡镇工作提供安全、快捷、细致、周到的环境；加强财务管理，确保资金安全，提高财政资金使用效益。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历史性债务管理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组织开展历史性债务的梳理认定工作，建立规范的债务管理机制，而发挥积极作用、防范化解风险和促进健康发展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建立规范的地方政府举债机制，逐步减少消化存量债务，防范化解风险和促进健康发展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本年度化解历史性债务金额</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机关后勤日常管理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后勤保障、财务管理、办公用房和车辆、办公用品和其他固定资产管理以及办公区物业管理和机关安全保卫工作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提升保障能力及管理水平，完成各项工作任务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九、社会治安综合治理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落实社会治安综合治理规划、工作计划和措施，抓好依法治镇等工作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完善社会治安综合治理制度，加大接访工作力度，确保社会和谐稳定。</w:t>
            </w:r>
          </w:p>
          <w:p>
            <w:pPr>
              <w:spacing w:line="300" w:lineRule="exact"/>
              <w:jc w:val="left"/>
              <w:rPr>
                <w:rFonts w:ascii="方正书宋_GBK" w:eastAsia="方正书宋_GBK"/>
              </w:rPr>
            </w:pPr>
            <w:r>
              <w:rPr>
                <w:rFonts w:hint="eastAsia" w:ascii="方正书宋_GBK" w:eastAsia="方正书宋_GBK"/>
              </w:rPr>
              <w:t>依法打击、防范、教育、管理、建设、改造六个方面的有机结合，营造良好本镇安全稳定环境。</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调节民事纠纷</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确立群众利益无小事，全力解决群众反映问题，快速处置缠访、闹访、非访事件；依法对民事诉讼和行政诉讼实行法律监督，维护司法公正和司法权威，保障法律的统一正确实施，维护乡镇和谐稳定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法律监督到位，乡镇和谐稳定程度得到提高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调节成功率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加强食品安全</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组织实施全镇食品安全风险监测工作；开展食品安全宣传和风险交流；食品安全风险监测预警评估机构建设。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保障餐饮业食品安全，为群众提供放心食品</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食药问题在年度中发生次数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rPr>
            </w:pPr>
            <w:r>
              <w:rPr>
                <w:rFonts w:hint="eastAsia" w:ascii="方正书宋_GBK" w:eastAsia="方正书宋_GBK"/>
              </w:rPr>
              <w:t>　　其他应急事务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镇重大自然灾害防御能力；保证救灾应急预案科学性和实效性；提高专业队伍业务素质，提升救灾科技支持能力；推进以农房保险为主要险种的救灾保险，提高抗灾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物资保障受灾群众人数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十、第三次全国农业普查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全面了解“三农”发展变化情况</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充分掌握农村发展新面貌和农民生活新变化，为科学制定“三农”政策、实现农业现代化、全面建成小康社会，打下坚实基础。</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农业普查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查清我国农业、农村、农民基本情况，掌握农村土地流转、农业生产、新型农业经营主体、农业规模化和产业化等新情况，</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协助县统计局查清我国农业、农村、农民基本情况，掌握农村土地流转、农业生产、新型农业经营主体、农业规模化和产业化等新情况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圆满完成三农”发展变化摸底调查情况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bookmarkEnd w:id="1"/>
    </w:tbl>
    <w:p>
      <w:pPr>
        <w:jc w:val="center"/>
        <w:outlineLvl w:val="0"/>
        <w:rPr>
          <w:rFonts w:ascii="方正小标宋_GBK" w:hAnsi="Times New Roman" w:eastAsia="方正小标宋_GBK"/>
          <w:sz w:val="32"/>
          <w:szCs w:val="24"/>
        </w:rPr>
      </w:pPr>
    </w:p>
    <w:p>
      <w:pPr>
        <w:autoSpaceDE w:val="0"/>
        <w:autoSpaceDN w:val="0"/>
        <w:adjustRightInd w:val="0"/>
        <w:ind w:left="20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outlineLvl w:val="0"/>
        <w:rPr>
          <w:rFonts w:ascii="Times New Roman" w:hAnsi="Times New Roman" w:eastAsia="方正仿宋_GBK"/>
          <w:sz w:val="32"/>
          <w:szCs w:val="24"/>
        </w:rPr>
      </w:pPr>
      <w:bookmarkStart w:id="2"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2019</w:t>
      </w:r>
      <w:r>
        <w:rPr>
          <w:rFonts w:hint="eastAsia" w:ascii="Times New Roman" w:hAnsi="Times New Roman" w:eastAsia="方正仿宋_GBK"/>
          <w:sz w:val="32"/>
          <w:szCs w:val="24"/>
        </w:rPr>
        <w:t>年，我镇安排政府采购预算</w:t>
      </w:r>
      <w:r>
        <w:rPr>
          <w:rFonts w:ascii="Times New Roman" w:hAnsi="Times New Roman" w:eastAsia="方正仿宋_GBK"/>
          <w:sz w:val="32"/>
          <w:szCs w:val="24"/>
        </w:rPr>
        <w:t>10</w:t>
      </w:r>
      <w:r>
        <w:rPr>
          <w:rFonts w:hint="eastAsia" w:ascii="Times New Roman" w:hAnsi="Times New Roman" w:eastAsia="方正仿宋_GBK"/>
          <w:sz w:val="32"/>
          <w:szCs w:val="24"/>
        </w:rPr>
        <w:t>万元。具体内容见下表。</w:t>
      </w: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2"/>
    </w:p>
    <w:tbl>
      <w:tblPr>
        <w:tblStyle w:val="9"/>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5"/>
        <w:gridCol w:w="976"/>
        <w:gridCol w:w="672"/>
        <w:gridCol w:w="1524"/>
        <w:gridCol w:w="564"/>
        <w:gridCol w:w="976"/>
        <w:gridCol w:w="976"/>
        <w:gridCol w:w="976"/>
        <w:gridCol w:w="976"/>
        <w:gridCol w:w="976"/>
        <w:gridCol w:w="754"/>
        <w:gridCol w:w="756"/>
        <w:gridCol w:w="859"/>
        <w:gridCol w:w="6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4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801</w:t>
            </w:r>
            <w:r>
              <w:rPr>
                <w:rFonts w:hint="eastAsia" w:ascii="方正小标宋_GBK" w:eastAsia="方正小标宋_GBK"/>
                <w:sz w:val="24"/>
              </w:rPr>
              <w:t>洺州镇人民政府</w:t>
            </w:r>
          </w:p>
        </w:tc>
        <w:tc>
          <w:tcPr>
            <w:tcW w:w="590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131"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672"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2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90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55"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672"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564"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321"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612"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55"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672"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564"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Merge w:val="continue"/>
            <w:vAlign w:val="center"/>
          </w:tcPr>
          <w:p>
            <w:pPr>
              <w:spacing w:line="300" w:lineRule="exact"/>
              <w:jc w:val="left"/>
              <w:outlineLvl w:val="0"/>
            </w:pP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76"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5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5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5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61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76" w:type="dxa"/>
            <w:vAlign w:val="center"/>
          </w:tcPr>
          <w:p>
            <w:pPr>
              <w:spacing w:line="300" w:lineRule="exact"/>
              <w:jc w:val="right"/>
              <w:rPr>
                <w:rFonts w:ascii="方正书宋_GBK" w:eastAsia="方正书宋_GBK"/>
                <w:b/>
              </w:rPr>
            </w:pPr>
          </w:p>
        </w:tc>
        <w:tc>
          <w:tcPr>
            <w:tcW w:w="672"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564" w:type="dxa"/>
            <w:vAlign w:val="center"/>
          </w:tcPr>
          <w:p>
            <w:pPr>
              <w:spacing w:line="300" w:lineRule="exact"/>
              <w:jc w:val="lef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r>
              <w:rPr>
                <w:rFonts w:ascii="方正书宋_GBK" w:eastAsia="方正书宋_GBK"/>
                <w:b/>
              </w:rPr>
              <w:t>10</w:t>
            </w:r>
          </w:p>
        </w:tc>
        <w:tc>
          <w:tcPr>
            <w:tcW w:w="976" w:type="dxa"/>
            <w:vAlign w:val="center"/>
          </w:tcPr>
          <w:p>
            <w:pPr>
              <w:spacing w:line="300" w:lineRule="exact"/>
              <w:jc w:val="right"/>
              <w:rPr>
                <w:rFonts w:ascii="方正书宋_GBK" w:eastAsia="方正书宋_GBK"/>
                <w:b/>
              </w:rPr>
            </w:pPr>
            <w:r>
              <w:rPr>
                <w:rFonts w:ascii="方正书宋_GBK" w:eastAsia="方正书宋_GBK"/>
                <w:b/>
              </w:rPr>
              <w:t>10</w:t>
            </w:r>
          </w:p>
        </w:tc>
        <w:tc>
          <w:tcPr>
            <w:tcW w:w="976" w:type="dxa"/>
            <w:vAlign w:val="center"/>
          </w:tcPr>
          <w:p>
            <w:pPr>
              <w:spacing w:line="300" w:lineRule="exact"/>
              <w:jc w:val="right"/>
              <w:rPr>
                <w:rFonts w:ascii="方正书宋_GBK" w:eastAsia="方正书宋_GBK"/>
                <w:b/>
              </w:rPr>
            </w:pPr>
            <w:r>
              <w:rPr>
                <w:rFonts w:ascii="方正书宋_GBK" w:eastAsia="方正书宋_GBK"/>
                <w:b/>
              </w:rPr>
              <w:t>10</w:t>
            </w:r>
          </w:p>
        </w:tc>
        <w:tc>
          <w:tcPr>
            <w:tcW w:w="754" w:type="dxa"/>
            <w:vAlign w:val="center"/>
          </w:tcPr>
          <w:p>
            <w:pPr>
              <w:spacing w:line="300" w:lineRule="exact"/>
              <w:jc w:val="right"/>
              <w:rPr>
                <w:rFonts w:ascii="方正书宋_GBK" w:eastAsia="方正书宋_GBK"/>
                <w:b/>
              </w:rPr>
            </w:pPr>
          </w:p>
        </w:tc>
        <w:tc>
          <w:tcPr>
            <w:tcW w:w="756"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r>
              <w:rPr>
                <w:rFonts w:ascii="方正书宋_GBK" w:eastAsia="方正书宋_GBK"/>
                <w:b/>
              </w:rPr>
              <w:t>10</w:t>
            </w:r>
          </w:p>
        </w:tc>
        <w:tc>
          <w:tcPr>
            <w:tcW w:w="61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976" w:type="dxa"/>
            <w:vAlign w:val="center"/>
          </w:tcPr>
          <w:p>
            <w:pPr>
              <w:spacing w:line="300" w:lineRule="exact"/>
              <w:jc w:val="right"/>
              <w:rPr>
                <w:rFonts w:ascii="方正书宋_GBK" w:eastAsia="方正书宋_GBK"/>
                <w:b/>
              </w:rPr>
            </w:pPr>
          </w:p>
        </w:tc>
        <w:tc>
          <w:tcPr>
            <w:tcW w:w="672"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564" w:type="dxa"/>
            <w:vAlign w:val="center"/>
          </w:tcPr>
          <w:p>
            <w:pPr>
              <w:spacing w:line="300" w:lineRule="exact"/>
              <w:jc w:val="lef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p>
        </w:tc>
        <w:tc>
          <w:tcPr>
            <w:tcW w:w="976" w:type="dxa"/>
            <w:vAlign w:val="center"/>
          </w:tcPr>
          <w:p>
            <w:pPr>
              <w:spacing w:line="300" w:lineRule="exact"/>
              <w:jc w:val="right"/>
              <w:rPr>
                <w:rFonts w:ascii="方正书宋_GBK" w:eastAsia="方正书宋_GBK"/>
                <w:b/>
              </w:rPr>
            </w:pPr>
            <w:r>
              <w:rPr>
                <w:rFonts w:ascii="方正书宋_GBK" w:eastAsia="方正书宋_GBK"/>
                <w:b/>
              </w:rPr>
              <w:t>10</w:t>
            </w:r>
          </w:p>
        </w:tc>
        <w:tc>
          <w:tcPr>
            <w:tcW w:w="976" w:type="dxa"/>
            <w:vAlign w:val="center"/>
          </w:tcPr>
          <w:p>
            <w:pPr>
              <w:spacing w:line="300" w:lineRule="exact"/>
              <w:jc w:val="right"/>
              <w:rPr>
                <w:rFonts w:ascii="方正书宋_GBK" w:eastAsia="方正书宋_GBK"/>
                <w:b/>
              </w:rPr>
            </w:pPr>
            <w:r>
              <w:rPr>
                <w:rFonts w:ascii="方正书宋_GBK" w:eastAsia="方正书宋_GBK"/>
                <w:b/>
              </w:rPr>
              <w:t>10</w:t>
            </w:r>
          </w:p>
        </w:tc>
        <w:tc>
          <w:tcPr>
            <w:tcW w:w="976" w:type="dxa"/>
            <w:vAlign w:val="center"/>
          </w:tcPr>
          <w:p>
            <w:pPr>
              <w:spacing w:line="300" w:lineRule="exact"/>
              <w:jc w:val="right"/>
              <w:rPr>
                <w:rFonts w:ascii="方正书宋_GBK" w:eastAsia="方正书宋_GBK"/>
                <w:b/>
              </w:rPr>
            </w:pPr>
            <w:r>
              <w:rPr>
                <w:rFonts w:ascii="方正书宋_GBK" w:eastAsia="方正书宋_GBK"/>
                <w:b/>
              </w:rPr>
              <w:t>10</w:t>
            </w:r>
          </w:p>
        </w:tc>
        <w:tc>
          <w:tcPr>
            <w:tcW w:w="754" w:type="dxa"/>
            <w:vAlign w:val="center"/>
          </w:tcPr>
          <w:p>
            <w:pPr>
              <w:spacing w:line="300" w:lineRule="exact"/>
              <w:jc w:val="right"/>
              <w:rPr>
                <w:rFonts w:ascii="方正书宋_GBK" w:eastAsia="方正书宋_GBK"/>
                <w:b/>
              </w:rPr>
            </w:pPr>
          </w:p>
        </w:tc>
        <w:tc>
          <w:tcPr>
            <w:tcW w:w="756"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612"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215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672" w:type="dxa"/>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1524" w:type="dxa"/>
            <w:vAlign w:val="center"/>
          </w:tcPr>
          <w:p>
            <w:pPr>
              <w:spacing w:line="300" w:lineRule="exact"/>
              <w:jc w:val="left"/>
              <w:rPr>
                <w:rFonts w:ascii="方正书宋_GBK" w:eastAsia="方正书宋_GBK"/>
              </w:rPr>
            </w:pPr>
            <w:r>
              <w:rPr>
                <w:rFonts w:ascii="方正书宋_GBK" w:eastAsia="方正书宋_GBK"/>
              </w:rPr>
              <w:t>30201</w:t>
            </w:r>
          </w:p>
        </w:tc>
        <w:tc>
          <w:tcPr>
            <w:tcW w:w="564" w:type="dxa"/>
            <w:vAlign w:val="center"/>
          </w:tcPr>
          <w:p>
            <w:pPr>
              <w:spacing w:line="300" w:lineRule="exact"/>
              <w:jc w:val="left"/>
              <w:rPr>
                <w:rFonts w:ascii="方正书宋_GBK" w:eastAsia="方正书宋_GBK"/>
              </w:rPr>
            </w:pPr>
          </w:p>
        </w:tc>
        <w:tc>
          <w:tcPr>
            <w:tcW w:w="976" w:type="dxa"/>
            <w:vAlign w:val="center"/>
          </w:tcPr>
          <w:p>
            <w:pPr>
              <w:spacing w:line="300" w:lineRule="exact"/>
              <w:jc w:val="right"/>
              <w:rPr>
                <w:rFonts w:ascii="方正书宋_GBK" w:eastAsia="方正书宋_GBK"/>
              </w:rPr>
            </w:pPr>
            <w:r>
              <w:rPr>
                <w:rFonts w:ascii="方正书宋_GBK" w:eastAsia="方正书宋_GBK"/>
              </w:rPr>
              <w:t>20.00</w:t>
            </w:r>
          </w:p>
        </w:tc>
        <w:tc>
          <w:tcPr>
            <w:tcW w:w="976" w:type="dxa"/>
            <w:vAlign w:val="center"/>
          </w:tcPr>
          <w:p>
            <w:pPr>
              <w:spacing w:line="300" w:lineRule="exact"/>
              <w:jc w:val="right"/>
              <w:rPr>
                <w:rFonts w:ascii="方正书宋_GBK" w:eastAsia="方正书宋_GBK"/>
              </w:rPr>
            </w:pPr>
            <w:r>
              <w:rPr>
                <w:rFonts w:ascii="方正书宋_GBK" w:eastAsia="方正书宋_GBK"/>
              </w:rPr>
              <w:t>0.25</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75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61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55" w:type="dxa"/>
            <w:vAlign w:val="center"/>
          </w:tcPr>
          <w:p>
            <w:pPr>
              <w:spacing w:line="300" w:lineRule="exact"/>
              <w:jc w:val="left"/>
              <w:rPr>
                <w:rFonts w:ascii="方正书宋_GBK" w:eastAsia="方正书宋_GBK"/>
              </w:rPr>
            </w:pPr>
            <w:r>
              <w:rPr>
                <w:rFonts w:hint="eastAsia" w:ascii="方正书宋_GBK" w:eastAsia="方正书宋_GBK"/>
              </w:rPr>
              <w:t>办公费</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672" w:type="dxa"/>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524" w:type="dxa"/>
            <w:vAlign w:val="center"/>
          </w:tcPr>
          <w:p>
            <w:pPr>
              <w:spacing w:line="300" w:lineRule="exact"/>
              <w:jc w:val="left"/>
              <w:rPr>
                <w:rFonts w:ascii="方正书宋_GBK" w:eastAsia="方正书宋_GBK"/>
              </w:rPr>
            </w:pPr>
            <w:r>
              <w:rPr>
                <w:rFonts w:ascii="方正书宋_GBK" w:eastAsia="方正书宋_GBK"/>
              </w:rPr>
              <w:t>30201</w:t>
            </w:r>
          </w:p>
        </w:tc>
        <w:tc>
          <w:tcPr>
            <w:tcW w:w="564" w:type="dxa"/>
            <w:vAlign w:val="center"/>
          </w:tcPr>
          <w:p>
            <w:pPr>
              <w:spacing w:line="300" w:lineRule="exact"/>
              <w:jc w:val="left"/>
              <w:rPr>
                <w:rFonts w:ascii="方正书宋_GBK" w:eastAsia="方正书宋_GBK"/>
              </w:rPr>
            </w:pPr>
          </w:p>
        </w:tc>
        <w:tc>
          <w:tcPr>
            <w:tcW w:w="976" w:type="dxa"/>
            <w:vAlign w:val="center"/>
          </w:tcPr>
          <w:p>
            <w:pPr>
              <w:spacing w:line="300" w:lineRule="exact"/>
              <w:jc w:val="right"/>
              <w:rPr>
                <w:rFonts w:ascii="方正书宋_GBK" w:eastAsia="方正书宋_GBK"/>
              </w:rPr>
            </w:pPr>
            <w:r>
              <w:rPr>
                <w:rFonts w:ascii="方正书宋_GBK" w:eastAsia="方正书宋_GBK"/>
              </w:rPr>
              <w:t>20.00</w:t>
            </w:r>
          </w:p>
        </w:tc>
        <w:tc>
          <w:tcPr>
            <w:tcW w:w="976" w:type="dxa"/>
            <w:vAlign w:val="center"/>
          </w:tcPr>
          <w:p>
            <w:pPr>
              <w:spacing w:line="300" w:lineRule="exact"/>
              <w:jc w:val="right"/>
              <w:rPr>
                <w:rFonts w:ascii="方正书宋_GBK" w:eastAsia="方正书宋_GBK"/>
              </w:rPr>
            </w:pPr>
            <w:r>
              <w:rPr>
                <w:rFonts w:ascii="方正书宋_GBK" w:eastAsia="方正书宋_GBK"/>
              </w:rPr>
              <w:t>0.25</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976" w:type="dxa"/>
            <w:vAlign w:val="center"/>
          </w:tcPr>
          <w:p>
            <w:pPr>
              <w:spacing w:line="300" w:lineRule="exact"/>
              <w:jc w:val="right"/>
              <w:rPr>
                <w:rFonts w:ascii="方正书宋_GBK" w:eastAsia="方正书宋_GBK"/>
              </w:rPr>
            </w:pPr>
            <w:r>
              <w:rPr>
                <w:rFonts w:ascii="方正书宋_GBK" w:eastAsia="方正书宋_GBK"/>
              </w:rPr>
              <w:t>5</w:t>
            </w:r>
          </w:p>
        </w:tc>
        <w:tc>
          <w:tcPr>
            <w:tcW w:w="754" w:type="dxa"/>
            <w:vAlign w:val="center"/>
          </w:tcPr>
          <w:p>
            <w:pPr>
              <w:spacing w:line="300" w:lineRule="exact"/>
              <w:jc w:val="right"/>
              <w:rPr>
                <w:rFonts w:ascii="方正书宋_GBK" w:eastAsia="方正书宋_GBK"/>
              </w:rPr>
            </w:pPr>
          </w:p>
        </w:tc>
        <w:tc>
          <w:tcPr>
            <w:tcW w:w="756" w:type="dxa"/>
            <w:vAlign w:val="center"/>
          </w:tcPr>
          <w:p>
            <w:pPr>
              <w:spacing w:line="300" w:lineRule="exact"/>
              <w:jc w:val="right"/>
              <w:rPr>
                <w:rFonts w:ascii="方正书宋_GBK" w:eastAsia="方正书宋_GBK"/>
              </w:rPr>
            </w:pPr>
          </w:p>
        </w:tc>
        <w:tc>
          <w:tcPr>
            <w:tcW w:w="859" w:type="dxa"/>
            <w:vAlign w:val="center"/>
          </w:tcPr>
          <w:p>
            <w:pPr>
              <w:spacing w:line="300" w:lineRule="exact"/>
              <w:jc w:val="right"/>
              <w:rPr>
                <w:rFonts w:ascii="方正书宋_GBK" w:eastAsia="方正书宋_GBK"/>
              </w:rPr>
            </w:pPr>
          </w:p>
        </w:tc>
        <w:tc>
          <w:tcPr>
            <w:tcW w:w="612"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洺州镇人民政府上年末固定资产金额为</w:t>
      </w:r>
      <w:r>
        <w:rPr>
          <w:rFonts w:ascii="Times New Roman" w:hAnsi="Times New Roman" w:eastAsia="仿宋_GB2312"/>
          <w:sz w:val="32"/>
          <w:szCs w:val="32"/>
        </w:rPr>
        <w:t>296.45</w:t>
      </w:r>
      <w:r>
        <w:rPr>
          <w:rFonts w:hint="eastAsia" w:ascii="仿宋_GB2312" w:hAnsi="黑体" w:eastAsia="仿宋_GB2312"/>
          <w:sz w:val="32"/>
          <w:szCs w:val="32"/>
        </w:rPr>
        <w:t>万元（</w:t>
      </w:r>
      <w:r>
        <w:rPr>
          <w:rFonts w:hint="eastAsia" w:ascii="Times New Roman" w:hAnsi="Times New Roman" w:eastAsia="方正仿宋_GBK"/>
          <w:sz w:val="32"/>
          <w:szCs w:val="32"/>
        </w:rPr>
        <w:t>详见下表），</w:t>
      </w:r>
      <w:r>
        <w:rPr>
          <w:rFonts w:hint="eastAsia" w:ascii="仿宋_GB2312" w:hAnsi="黑体" w:eastAsia="仿宋_GB2312"/>
          <w:sz w:val="32"/>
          <w:szCs w:val="32"/>
        </w:rPr>
        <w:t>本年度拟购置固定资产</w:t>
      </w:r>
      <w:r>
        <w:rPr>
          <w:rFonts w:hint="eastAsia" w:ascii="Times New Roman" w:hAnsi="Times New Roman" w:eastAsia="方正仿宋_GBK"/>
          <w:sz w:val="32"/>
          <w:szCs w:val="32"/>
        </w:rPr>
        <w:t>总额为</w:t>
      </w:r>
      <w:r>
        <w:rPr>
          <w:rFonts w:ascii="Times New Roman" w:hAnsi="Times New Roman" w:eastAsia="方正仿宋_GBK"/>
          <w:sz w:val="32"/>
          <w:szCs w:val="32"/>
        </w:rPr>
        <w:t>296.45</w:t>
      </w:r>
      <w:r>
        <w:rPr>
          <w:rFonts w:hint="eastAsia" w:ascii="Times New Roman" w:hAnsi="Times New Roman" w:eastAsia="方正仿宋_GBK"/>
          <w:sz w:val="32"/>
          <w:szCs w:val="32"/>
        </w:rPr>
        <w:t>万元，</w:t>
      </w:r>
      <w:r>
        <w:rPr>
          <w:rFonts w:hint="eastAsia" w:ascii="仿宋_GB2312" w:hAnsi="黑体" w:eastAsia="仿宋_GB2312"/>
          <w:sz w:val="32"/>
          <w:szCs w:val="32"/>
        </w:rPr>
        <w:t>主要为计算机设备、打印设备、空调、办公家具等，已列入政府采购预算，详见政府采购预算表。</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w:t>
            </w:r>
            <w:r>
              <w:rPr>
                <w:rFonts w:ascii="宋体" w:hAnsi="宋体" w:cs="宋体"/>
                <w:kern w:val="0"/>
                <w:sz w:val="22"/>
              </w:rPr>
              <w:t>801</w:t>
            </w:r>
            <w:r>
              <w:rPr>
                <w:rFonts w:hint="eastAsia" w:ascii="宋体" w:hAnsi="宋体" w:cs="宋体"/>
                <w:kern w:val="0"/>
                <w:sz w:val="22"/>
              </w:rPr>
              <w:t>威县洺州镇人民政府</w:t>
            </w:r>
          </w:p>
        </w:tc>
        <w:tc>
          <w:tcPr>
            <w:tcW w:w="5103" w:type="dxa"/>
            <w:tcBorders>
              <w:top w:val="nil"/>
              <w:left w:val="nil"/>
              <w:bottom w:val="nil"/>
              <w:right w:val="nil"/>
            </w:tcBorders>
            <w:vAlign w:val="center"/>
          </w:tcPr>
          <w:p>
            <w:pPr>
              <w:widowControl/>
              <w:ind w:firstLine="1760" w:firstLineChars="80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2018</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2"/>
              </w:rPr>
            </w:pPr>
            <w:r>
              <w:rPr>
                <w:rFonts w:ascii="Times New Roman" w:hAnsi="Times New Roman"/>
                <w:kern w:val="0"/>
                <w:sz w:val="22"/>
              </w:rPr>
              <w:t>30272.31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4286</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95.91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4286</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95.91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5</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52.54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0</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0</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sz w:val="22"/>
              </w:rPr>
            </w:pPr>
            <w:r>
              <w:rPr>
                <w:rFonts w:ascii="Times New Roman" w:hAnsi="Times New Roman"/>
                <w:sz w:val="22"/>
              </w:rPr>
              <w:t>30123.86</w:t>
            </w:r>
          </w:p>
        </w:tc>
      </w:tr>
    </w:tbl>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Times New Roman" w:hAnsi="Times New Roman" w:eastAsia="方正仿宋_GBK"/>
          <w:sz w:val="32"/>
          <w:szCs w:val="32"/>
        </w:rPr>
        <w:t>指县级财政当年拨付的资金。</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Times New Roman" w:hAnsi="Times New Roman" w:eastAsia="方正仿宋_GBK"/>
          <w:sz w:val="32"/>
          <w:szCs w:val="32"/>
        </w:rPr>
        <w:t>指事业单位开展专业业务活动及辅助活动所取得的收入。</w:t>
      </w:r>
    </w:p>
    <w:p>
      <w:pPr>
        <w:tabs>
          <w:tab w:val="left" w:pos="11490"/>
        </w:tabs>
        <w:ind w:firstLine="640" w:firstLineChars="200"/>
        <w:rPr>
          <w:rFonts w:ascii="Times New Roman" w:hAnsi="Times New Roman" w:eastAsia="方正仿宋_GBK"/>
          <w:b/>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Times New Roman" w:hAnsi="Times New Roman" w:eastAsia="方正仿宋_GBK"/>
          <w:sz w:val="32"/>
          <w:szCs w:val="32"/>
        </w:rPr>
        <w:t>指除</w:t>
      </w:r>
      <w:r>
        <w:rPr>
          <w:rFonts w:ascii="Times New Roman" w:hAnsi="Times New Roman" w:eastAsia="方正仿宋_GBK"/>
          <w:sz w:val="32"/>
          <w:szCs w:val="32"/>
        </w:rPr>
        <w:t>“</w:t>
      </w:r>
      <w:r>
        <w:rPr>
          <w:rFonts w:hint="eastAsia" w:ascii="Times New Roman" w:hAnsi="Times New Roman" w:eastAsia="方正仿宋_GBK"/>
          <w:sz w:val="32"/>
          <w:szCs w:val="32"/>
        </w:rPr>
        <w:t>一般公共预算拨款收入</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事业收入</w:t>
      </w:r>
      <w:r>
        <w:rPr>
          <w:rFonts w:ascii="Times New Roman" w:hAnsi="Times New Roman" w:eastAsia="方正仿宋_GBK"/>
          <w:sz w:val="32"/>
          <w:szCs w:val="32"/>
        </w:rPr>
        <w:t>”</w:t>
      </w:r>
      <w:r>
        <w:rPr>
          <w:rFonts w:hint="eastAsia" w:ascii="Times New Roman" w:hAnsi="Times New Roman" w:eastAsia="方正仿宋_GBK"/>
          <w:sz w:val="32"/>
          <w:szCs w:val="32"/>
        </w:rPr>
        <w:t>等以外的收入。主要是按规定动用的租房收入、存款利息收入等。</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Times New Roman" w:hAnsi="Times New Roman" w:eastAsia="方正仿宋_GBK"/>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Times New Roman" w:hAnsi="Times New Roman" w:eastAsia="方正仿宋_GBK"/>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Times New Roman" w:hAnsi="Times New Roman" w:eastAsia="方正仿宋_GBK"/>
          <w:sz w:val="32"/>
          <w:szCs w:val="32"/>
        </w:rPr>
        <w:t>纳入省级财政预算管理的</w:t>
      </w:r>
      <w:r>
        <w:rPr>
          <w:rFonts w:ascii="Times New Roman" w:hAnsi="Times New Roman" w:eastAsia="方正仿宋_GBK"/>
          <w:sz w:val="32"/>
          <w:szCs w:val="32"/>
        </w:rPr>
        <w:t>“</w:t>
      </w:r>
      <w:r>
        <w:rPr>
          <w:rFonts w:hint="eastAsia" w:ascii="Times New Roman" w:hAnsi="Times New Roman" w:eastAsia="方正仿宋_GBK"/>
          <w:sz w:val="32"/>
          <w:szCs w:val="32"/>
        </w:rPr>
        <w:t>三公</w:t>
      </w:r>
      <w:r>
        <w:rPr>
          <w:rFonts w:ascii="Times New Roman" w:hAnsi="Times New Roman" w:eastAsia="方正仿宋_GBK"/>
          <w:sz w:val="32"/>
          <w:szCs w:val="32"/>
        </w:rPr>
        <w:t>”</w:t>
      </w:r>
      <w:r>
        <w:rPr>
          <w:rFonts w:hint="eastAsia" w:ascii="Times New Roman" w:hAnsi="Times New Roman" w:eastAsia="方正仿宋_GBK"/>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Times New Roman" w:hAnsi="Times New Roman"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ascii="Times New Roman" w:hAnsi="Times New Roman" w:eastAsia="方正仿宋_GBK"/>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Times New Roman" w:hAnsi="Times New Roman" w:eastAsia="方正仿宋_GBK"/>
          <w:sz w:val="32"/>
          <w:szCs w:val="32"/>
        </w:rPr>
        <w:t>指以前年度尚未完成、结转到本年仍按原规定用途继续使用的资金。</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pStyle w:val="2"/>
        <w:spacing w:line="364" w:lineRule="auto"/>
        <w:ind w:left="100" w:right="658" w:firstLine="600"/>
        <w:jc w:val="both"/>
      </w:pPr>
      <w:r>
        <w:rPr>
          <w:spacing w:val="11"/>
          <w:w w:val="95"/>
        </w:rPr>
        <w:t>本部门</w:t>
      </w:r>
      <w:r>
        <w:rPr>
          <w:rFonts w:hint="eastAsia"/>
          <w:spacing w:val="11"/>
          <w:w w:val="95"/>
        </w:rPr>
        <w:t>无国有资本经营预算，空表列示。</w:t>
      </w:r>
    </w:p>
    <w:p>
      <w:pPr>
        <w:ind w:firstLine="640" w:firstLineChars="200"/>
        <w:rPr>
          <w:rFonts w:ascii="仿宋_GB2312" w:hAnsi="Times New Roman" w:eastAsia="仿宋_GB2312"/>
          <w:sz w:val="32"/>
          <w:szCs w:val="32"/>
        </w:rPr>
      </w:pP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17938"/>
    <w:multiLevelType w:val="singleLevel"/>
    <w:tmpl w:val="B0717938"/>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7891"/>
    <w:rsid w:val="00034786"/>
    <w:rsid w:val="00037AF6"/>
    <w:rsid w:val="00042F57"/>
    <w:rsid w:val="0006483E"/>
    <w:rsid w:val="00075D5F"/>
    <w:rsid w:val="0008102F"/>
    <w:rsid w:val="000B020B"/>
    <w:rsid w:val="000B529B"/>
    <w:rsid w:val="000C3A19"/>
    <w:rsid w:val="001245BB"/>
    <w:rsid w:val="001251A3"/>
    <w:rsid w:val="001427EB"/>
    <w:rsid w:val="00167FF4"/>
    <w:rsid w:val="0019275C"/>
    <w:rsid w:val="00193383"/>
    <w:rsid w:val="001B4EF3"/>
    <w:rsid w:val="001B71D3"/>
    <w:rsid w:val="001F7873"/>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517D1"/>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C4F86"/>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260E0"/>
    <w:rsid w:val="00A355FF"/>
    <w:rsid w:val="00A3595B"/>
    <w:rsid w:val="00A44E3D"/>
    <w:rsid w:val="00A72D2E"/>
    <w:rsid w:val="00A74447"/>
    <w:rsid w:val="00A74CE5"/>
    <w:rsid w:val="00A911E7"/>
    <w:rsid w:val="00A939D9"/>
    <w:rsid w:val="00AA1E5A"/>
    <w:rsid w:val="00B07D9E"/>
    <w:rsid w:val="00B20712"/>
    <w:rsid w:val="00B43238"/>
    <w:rsid w:val="00B45DD3"/>
    <w:rsid w:val="00B52632"/>
    <w:rsid w:val="00B727A9"/>
    <w:rsid w:val="00B75216"/>
    <w:rsid w:val="00B91D52"/>
    <w:rsid w:val="00B9490F"/>
    <w:rsid w:val="00BA1ACD"/>
    <w:rsid w:val="00BA5958"/>
    <w:rsid w:val="00BD09F8"/>
    <w:rsid w:val="00C00550"/>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745EA"/>
    <w:rsid w:val="00EC47F6"/>
    <w:rsid w:val="00ED5E3C"/>
    <w:rsid w:val="00EE65B8"/>
    <w:rsid w:val="00F149E2"/>
    <w:rsid w:val="00F53774"/>
    <w:rsid w:val="00F66032"/>
    <w:rsid w:val="00F77A24"/>
    <w:rsid w:val="00F87C1E"/>
    <w:rsid w:val="00F958C2"/>
    <w:rsid w:val="00FD5DD4"/>
    <w:rsid w:val="10CA1453"/>
    <w:rsid w:val="1203055C"/>
    <w:rsid w:val="1BEE5887"/>
    <w:rsid w:val="1C7836C6"/>
    <w:rsid w:val="26E850C0"/>
    <w:rsid w:val="33C7306E"/>
    <w:rsid w:val="380B3AF0"/>
    <w:rsid w:val="3E545A14"/>
    <w:rsid w:val="3FC411AA"/>
    <w:rsid w:val="40AC19F1"/>
    <w:rsid w:val="42F85D20"/>
    <w:rsid w:val="4D6A6439"/>
    <w:rsid w:val="5657246C"/>
    <w:rsid w:val="569913AE"/>
    <w:rsid w:val="569A0298"/>
    <w:rsid w:val="5F347465"/>
    <w:rsid w:val="64416EEC"/>
    <w:rsid w:val="67F93F04"/>
    <w:rsid w:val="6A1D1F52"/>
    <w:rsid w:val="6B18402F"/>
    <w:rsid w:val="6EE77B3D"/>
    <w:rsid w:val="7B223E79"/>
    <w:rsid w:val="7BCF6A3F"/>
    <w:rsid w:val="7E8F6E26"/>
    <w:rsid w:val="7F6E37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rPr>
      <w:rFonts w:ascii="宋体" w:hAnsi="宋体" w:eastAsia="宋体" w:cs="宋体"/>
      <w:sz w:val="30"/>
      <w:szCs w:val="30"/>
      <w:lang w:val="en-US" w:eastAsia="zh-CN" w:bidi="ar-SA"/>
    </w:r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7"/>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character" w:styleId="11">
    <w:name w:val="page number"/>
    <w:basedOn w:val="10"/>
    <w:semiHidden/>
    <w:qFormat/>
    <w:uiPriority w:val="99"/>
    <w:rPr>
      <w:rFonts w:cs="Times New Roman"/>
    </w:rPr>
  </w:style>
  <w:style w:type="character" w:styleId="12">
    <w:name w:val="Hyperlink"/>
    <w:basedOn w:val="10"/>
    <w:qFormat/>
    <w:uiPriority w:val="99"/>
    <w:rPr>
      <w:rFonts w:cs="Times New Roman"/>
      <w:color w:val="0000FF"/>
      <w:u w:val="single"/>
    </w:rPr>
  </w:style>
  <w:style w:type="character" w:styleId="13">
    <w:name w:val="footnote reference"/>
    <w:basedOn w:val="10"/>
    <w:semiHidden/>
    <w:qFormat/>
    <w:uiPriority w:val="99"/>
    <w:rPr>
      <w:rFonts w:cs="Times New Roman"/>
      <w:vertAlign w:val="superscript"/>
    </w:rPr>
  </w:style>
  <w:style w:type="character" w:customStyle="1" w:styleId="14">
    <w:name w:val="Balloon Text Char"/>
    <w:basedOn w:val="10"/>
    <w:link w:val="3"/>
    <w:semiHidden/>
    <w:locked/>
    <w:uiPriority w:val="99"/>
    <w:rPr>
      <w:rFonts w:cs="Times New Roman"/>
      <w:sz w:val="18"/>
      <w:szCs w:val="18"/>
    </w:rPr>
  </w:style>
  <w:style w:type="character" w:customStyle="1" w:styleId="15">
    <w:name w:val="Footer Char"/>
    <w:basedOn w:val="10"/>
    <w:link w:val="4"/>
    <w:locked/>
    <w:uiPriority w:val="99"/>
    <w:rPr>
      <w:rFonts w:ascii="Times New Roman" w:hAnsi="Times New Roman" w:eastAsia="宋体" w:cs="Times New Roman"/>
      <w:sz w:val="18"/>
      <w:szCs w:val="18"/>
    </w:rPr>
  </w:style>
  <w:style w:type="character" w:customStyle="1" w:styleId="16">
    <w:name w:val="Header Char"/>
    <w:basedOn w:val="10"/>
    <w:link w:val="5"/>
    <w:qFormat/>
    <w:locked/>
    <w:uiPriority w:val="99"/>
    <w:rPr>
      <w:rFonts w:ascii="Times New Roman" w:hAnsi="Times New Roman" w:eastAsia="宋体" w:cs="Times New Roman"/>
      <w:sz w:val="18"/>
      <w:szCs w:val="18"/>
    </w:rPr>
  </w:style>
  <w:style w:type="character" w:customStyle="1" w:styleId="17">
    <w:name w:val="Footnote Text Char"/>
    <w:basedOn w:val="10"/>
    <w:link w:val="7"/>
    <w:semiHidden/>
    <w:qFormat/>
    <w:locked/>
    <w:uiPriority w:val="99"/>
    <w:rPr>
      <w:rFonts w:ascii="Calibri" w:hAnsi="Calibri" w:eastAsia="宋体" w:cs="Times New Roman"/>
      <w:sz w:val="18"/>
      <w:szCs w:val="18"/>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22</Pages>
  <Words>1623</Words>
  <Characters>9255</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2019-02-25T08:12:00Z</dcterms:created>
  <dc:creator>guest</dc:creator>
  <cp:lastModifiedBy>wxdell</cp:lastModifiedBy>
  <cp:lastPrinted>2017-11-09T01:12:00Z</cp:lastPrinted>
  <dcterms:modified xsi:type="dcterms:W3CDTF">2021-04-28T07:53:30Z</dcterms:modified>
  <dc:title>威县洺州镇人民政府2019年部门预算信息公开情况说明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