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74A" w:rsidRDefault="002343A7">
      <w:pPr>
        <w:ind w:firstLineChars="200" w:firstLine="880"/>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威县人民政府办公室</w:t>
      </w: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9</w:t>
      </w:r>
      <w:r>
        <w:rPr>
          <w:rFonts w:ascii="Times New Roman" w:eastAsia="方正小标宋_GBK" w:hAnsi="Times New Roman" w:cs="Times New Roman"/>
          <w:sz w:val="44"/>
          <w:szCs w:val="44"/>
        </w:rPr>
        <w:t>年部门预算信息公开</w:t>
      </w:r>
      <w:r>
        <w:rPr>
          <w:rFonts w:ascii="Times New Roman" w:eastAsia="方正小标宋_GBK" w:hAnsi="Times New Roman" w:cs="Times New Roman" w:hint="eastAsia"/>
          <w:sz w:val="44"/>
          <w:szCs w:val="44"/>
        </w:rPr>
        <w:t>情况说明</w:t>
      </w:r>
    </w:p>
    <w:p w:rsidR="00B2274A" w:rsidRDefault="002343A7">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《预算法》、</w:t>
      </w:r>
      <w:r>
        <w:rPr>
          <w:rFonts w:ascii="Times New Roman" w:eastAsia="方正仿宋_GBK" w:hAnsi="Times New Roman" w:cs="Times New Roman"/>
          <w:sz w:val="32"/>
          <w:szCs w:val="32"/>
        </w:rPr>
        <w:t>《地方预决算公开操作规程》和《河北省</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预算公开办法》</w:t>
      </w:r>
      <w:r>
        <w:rPr>
          <w:rFonts w:ascii="Times New Roman" w:eastAsia="方正仿宋_GBK" w:hAnsi="Times New Roman" w:cs="Times New Roman" w:hint="eastAsia"/>
          <w:sz w:val="32"/>
          <w:szCs w:val="32"/>
        </w:rPr>
        <w:t>规定</w:t>
      </w:r>
      <w:r>
        <w:rPr>
          <w:rFonts w:ascii="Times New Roman" w:eastAsia="方正仿宋_GBK" w:hAnsi="Times New Roman" w:cs="Times New Roman"/>
          <w:sz w:val="32"/>
          <w:szCs w:val="32"/>
        </w:rPr>
        <w:t>，现</w:t>
      </w:r>
      <w:r>
        <w:rPr>
          <w:rFonts w:ascii="Times New Roman" w:eastAsia="方正仿宋_GBK" w:hAnsi="Times New Roman" w:cs="Times New Roman" w:hint="eastAsia"/>
          <w:sz w:val="32"/>
          <w:szCs w:val="32"/>
        </w:rPr>
        <w:t>将威县人民政府办公室</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年部门预算公开如下：</w:t>
      </w:r>
    </w:p>
    <w:p w:rsidR="00B2274A" w:rsidRDefault="002343A7">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B2274A" w:rsidRDefault="002343A7">
      <w:pPr>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t>部门</w:t>
      </w:r>
      <w:r>
        <w:rPr>
          <w:rFonts w:ascii="Times New Roman" w:eastAsia="方正仿宋_GBK" w:hAnsi="Times New Roman" w:cs="Times New Roman"/>
          <w:b/>
          <w:sz w:val="32"/>
          <w:szCs w:val="32"/>
        </w:rPr>
        <w:t>职责：</w:t>
      </w:r>
    </w:p>
    <w:p w:rsidR="00B2274A" w:rsidRDefault="002343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（一）、负责围绕县政府中心工作开展调研，为领导决策提供参考和依据。负责县政府领导同志讲话及其它重要文稿的起草工作。组织起草或审核以县政府暨政府办名义发布的公文。</w:t>
      </w:r>
    </w:p>
    <w:p w:rsidR="00B2274A" w:rsidRDefault="002343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（二）、负责协调乡镇之间、政府各部门之间的关系和工作，确保政令畅通，推动各项工作顺利开展。</w:t>
      </w:r>
    </w:p>
    <w:p w:rsidR="00B2274A" w:rsidRDefault="002343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（三）、负责县政府值班、会务、接待、车辆、档案、印信管理，为县政府领导服务。负责做好政府机关的保密工作。</w:t>
      </w:r>
    </w:p>
    <w:p w:rsidR="00B2274A" w:rsidRDefault="002343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（四）、督促检查县政府各部门、各乡镇政府对各级政府的重要文件、县政府会议决定事项及领</w:t>
      </w:r>
      <w:r>
        <w:rPr>
          <w:rFonts w:ascii="方正仿宋_GBK" w:eastAsia="方正仿宋_GBK" w:hAnsi="方正仿宋_GBK" w:cs="方正仿宋_GBK" w:hint="eastAsia"/>
          <w:kern w:val="0"/>
          <w:sz w:val="32"/>
          <w:szCs w:val="32"/>
        </w:rPr>
        <w:lastRenderedPageBreak/>
        <w:t>导批示的执行落实情况，并跟踪调查，及时向县政府领导报告。</w:t>
      </w:r>
    </w:p>
    <w:p w:rsidR="00B2274A" w:rsidRDefault="002343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（五）、做好政府法制工作和行政复议工作。组织起草、审查和修改规范性文件；开展行政执法监督检查；做好县政府行政案件的复议、应诉工作。</w:t>
      </w:r>
    </w:p>
    <w:p w:rsidR="00B2274A" w:rsidRDefault="002343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（六）、负责全县人民防空工作的规划、指导和协调。</w:t>
      </w:r>
    </w:p>
    <w:p w:rsidR="00B2274A" w:rsidRDefault="002343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（七）、协助县政府领导处理需由县政府直接处理的突发性事件、重大灾害和事故。</w:t>
      </w:r>
    </w:p>
    <w:p w:rsidR="00B2274A" w:rsidRDefault="002343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（八）、负责人大代表建议和政协委员提案的办理。</w:t>
      </w:r>
    </w:p>
    <w:p w:rsidR="00B2274A" w:rsidRDefault="002343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360" w:lineRule="auto"/>
        <w:ind w:firstLine="42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（九）、负责全县政府系统办公业务网的建设和管理工作；负责全县政府系统机关办公自动化指导工作。</w:t>
      </w:r>
    </w:p>
    <w:p w:rsidR="00B2274A" w:rsidRDefault="00B2274A">
      <w:pPr>
        <w:autoSpaceDE w:val="0"/>
        <w:autoSpaceDN w:val="0"/>
        <w:adjustRightInd w:val="0"/>
        <w:ind w:left="198" w:firstLineChars="200" w:firstLine="643"/>
        <w:jc w:val="left"/>
        <w:rPr>
          <w:rFonts w:ascii="仿宋" w:eastAsia="仿宋" w:hAnsi="仿宋" w:cs="仿宋"/>
          <w:b/>
          <w:sz w:val="32"/>
          <w:szCs w:val="32"/>
        </w:rPr>
      </w:pPr>
    </w:p>
    <w:p w:rsidR="00B2274A" w:rsidRDefault="002343A7">
      <w:pPr>
        <w:autoSpaceDE w:val="0"/>
        <w:autoSpaceDN w:val="0"/>
        <w:adjustRightInd w:val="0"/>
        <w:ind w:left="198" w:firstLineChars="200" w:firstLine="640"/>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机构设置：</w:t>
      </w:r>
    </w:p>
    <w:p w:rsidR="00B2274A" w:rsidRDefault="002343A7">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82" w:type="dxa"/>
        <w:jc w:val="center"/>
        <w:tblInd w:w="-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359"/>
        <w:gridCol w:w="1134"/>
        <w:gridCol w:w="1276"/>
        <w:gridCol w:w="3013"/>
      </w:tblGrid>
      <w:tr w:rsidR="00B2274A">
        <w:trPr>
          <w:trHeight w:val="300"/>
          <w:tblHeader/>
          <w:jc w:val="center"/>
        </w:trPr>
        <w:tc>
          <w:tcPr>
            <w:tcW w:w="4359" w:type="dxa"/>
            <w:vMerge w:val="restart"/>
            <w:shd w:val="clear" w:color="auto" w:fill="auto"/>
            <w:vAlign w:val="center"/>
          </w:tcPr>
          <w:p w:rsidR="00B2274A" w:rsidRDefault="002343A7">
            <w:pPr>
              <w:spacing w:line="300" w:lineRule="exact"/>
              <w:jc w:val="center"/>
              <w:rPr>
                <w:rFonts w:ascii="方正书宋_GBK" w:eastAsia="方正书宋_GBK"/>
                <w:b/>
              </w:rPr>
            </w:pPr>
            <w:r>
              <w:rPr>
                <w:rFonts w:ascii="方正书宋_GBK" w:eastAsia="方正书宋_GBK" w:hint="eastAsia"/>
                <w:b/>
              </w:rPr>
              <w:t>单位名称</w:t>
            </w:r>
          </w:p>
        </w:tc>
        <w:tc>
          <w:tcPr>
            <w:tcW w:w="1134" w:type="dxa"/>
            <w:vMerge w:val="restart"/>
            <w:shd w:val="clear" w:color="auto" w:fill="auto"/>
            <w:vAlign w:val="center"/>
          </w:tcPr>
          <w:p w:rsidR="00B2274A" w:rsidRDefault="002343A7">
            <w:pPr>
              <w:spacing w:line="300" w:lineRule="exact"/>
              <w:jc w:val="center"/>
              <w:rPr>
                <w:rFonts w:ascii="方正书宋_GBK" w:eastAsia="方正书宋_GBK"/>
                <w:b/>
              </w:rPr>
            </w:pPr>
            <w:r>
              <w:rPr>
                <w:rFonts w:ascii="方正书宋_GBK" w:eastAsia="方正书宋_GBK" w:hint="eastAsia"/>
                <w:b/>
              </w:rPr>
              <w:t>单位性质</w:t>
            </w:r>
          </w:p>
        </w:tc>
        <w:tc>
          <w:tcPr>
            <w:tcW w:w="1276" w:type="dxa"/>
            <w:vMerge w:val="restart"/>
            <w:shd w:val="clear" w:color="auto" w:fill="auto"/>
            <w:vAlign w:val="center"/>
          </w:tcPr>
          <w:p w:rsidR="00B2274A" w:rsidRDefault="002343A7">
            <w:pPr>
              <w:spacing w:line="300" w:lineRule="exact"/>
              <w:jc w:val="center"/>
              <w:rPr>
                <w:rFonts w:ascii="方正书宋_GBK" w:eastAsia="方正书宋_GBK"/>
                <w:b/>
              </w:rPr>
            </w:pPr>
            <w:r>
              <w:rPr>
                <w:rFonts w:ascii="方正书宋_GBK" w:eastAsia="方正书宋_GBK" w:hint="eastAsia"/>
                <w:b/>
              </w:rPr>
              <w:t>单位规格</w:t>
            </w:r>
          </w:p>
        </w:tc>
        <w:tc>
          <w:tcPr>
            <w:tcW w:w="3013" w:type="dxa"/>
            <w:vMerge w:val="restart"/>
            <w:shd w:val="clear" w:color="auto" w:fill="auto"/>
            <w:vAlign w:val="center"/>
          </w:tcPr>
          <w:p w:rsidR="00B2274A" w:rsidRDefault="002343A7">
            <w:pPr>
              <w:spacing w:line="300" w:lineRule="exact"/>
              <w:jc w:val="center"/>
              <w:rPr>
                <w:rFonts w:ascii="方正书宋_GBK" w:eastAsia="方正书宋_GBK"/>
                <w:b/>
              </w:rPr>
            </w:pPr>
            <w:r>
              <w:rPr>
                <w:rFonts w:ascii="方正书宋_GBK" w:eastAsia="方正书宋_GBK" w:hint="eastAsia"/>
                <w:b/>
              </w:rPr>
              <w:t>经费保障形式</w:t>
            </w:r>
          </w:p>
        </w:tc>
      </w:tr>
      <w:tr w:rsidR="00B2274A">
        <w:trPr>
          <w:trHeight w:val="300"/>
          <w:tblHeader/>
          <w:jc w:val="center"/>
        </w:trPr>
        <w:tc>
          <w:tcPr>
            <w:tcW w:w="4359" w:type="dxa"/>
            <w:vMerge/>
            <w:shd w:val="clear" w:color="auto" w:fill="auto"/>
            <w:vAlign w:val="center"/>
          </w:tcPr>
          <w:p w:rsidR="00B2274A" w:rsidRDefault="00B2274A">
            <w:pPr>
              <w:spacing w:line="300" w:lineRule="exact"/>
              <w:jc w:val="left"/>
              <w:outlineLvl w:val="0"/>
            </w:pPr>
          </w:p>
        </w:tc>
        <w:tc>
          <w:tcPr>
            <w:tcW w:w="1134" w:type="dxa"/>
            <w:vMerge/>
            <w:shd w:val="clear" w:color="auto" w:fill="auto"/>
            <w:vAlign w:val="center"/>
          </w:tcPr>
          <w:p w:rsidR="00B2274A" w:rsidRDefault="00B2274A">
            <w:pPr>
              <w:spacing w:line="300" w:lineRule="exact"/>
              <w:jc w:val="left"/>
              <w:outlineLvl w:val="0"/>
            </w:pPr>
          </w:p>
        </w:tc>
        <w:tc>
          <w:tcPr>
            <w:tcW w:w="1276" w:type="dxa"/>
            <w:vMerge/>
            <w:shd w:val="clear" w:color="auto" w:fill="auto"/>
            <w:vAlign w:val="center"/>
          </w:tcPr>
          <w:p w:rsidR="00B2274A" w:rsidRDefault="00B2274A">
            <w:pPr>
              <w:spacing w:line="300" w:lineRule="exact"/>
              <w:jc w:val="left"/>
              <w:outlineLvl w:val="0"/>
            </w:pPr>
          </w:p>
        </w:tc>
        <w:tc>
          <w:tcPr>
            <w:tcW w:w="3013" w:type="dxa"/>
            <w:vMerge/>
            <w:shd w:val="clear" w:color="auto" w:fill="auto"/>
            <w:vAlign w:val="center"/>
          </w:tcPr>
          <w:p w:rsidR="00B2274A" w:rsidRDefault="00B2274A">
            <w:pPr>
              <w:spacing w:line="300" w:lineRule="exact"/>
              <w:jc w:val="left"/>
              <w:outlineLvl w:val="0"/>
            </w:pPr>
          </w:p>
        </w:tc>
      </w:tr>
      <w:tr w:rsidR="00B2274A">
        <w:trPr>
          <w:trHeight w:val="227"/>
          <w:jc w:val="center"/>
        </w:trPr>
        <w:tc>
          <w:tcPr>
            <w:tcW w:w="4359" w:type="dxa"/>
            <w:shd w:val="clear" w:color="auto" w:fill="auto"/>
            <w:vAlign w:val="center"/>
          </w:tcPr>
          <w:p w:rsidR="00B2274A" w:rsidRDefault="002343A7">
            <w:pPr>
              <w:spacing w:line="300" w:lineRule="exact"/>
              <w:jc w:val="center"/>
              <w:rPr>
                <w:rFonts w:ascii="方正书宋_GBK" w:eastAsia="方正书宋_GBK"/>
                <w:b/>
              </w:rPr>
            </w:pPr>
            <w:r>
              <w:rPr>
                <w:rFonts w:ascii="方正书宋_GBK" w:eastAsia="方正书宋_GBK" w:hint="eastAsia"/>
                <w:b/>
              </w:rPr>
              <w:t>合    计</w:t>
            </w:r>
          </w:p>
        </w:tc>
        <w:tc>
          <w:tcPr>
            <w:tcW w:w="1134" w:type="dxa"/>
            <w:shd w:val="clear" w:color="auto" w:fill="auto"/>
            <w:vAlign w:val="center"/>
          </w:tcPr>
          <w:p w:rsidR="00B2274A" w:rsidRDefault="00B2274A">
            <w:pPr>
              <w:spacing w:line="300" w:lineRule="exact"/>
              <w:jc w:val="center"/>
              <w:rPr>
                <w:rFonts w:ascii="方正书宋_GBK" w:eastAsia="方正书宋_GBK"/>
                <w:b/>
              </w:rPr>
            </w:pPr>
          </w:p>
        </w:tc>
        <w:tc>
          <w:tcPr>
            <w:tcW w:w="1276" w:type="dxa"/>
            <w:shd w:val="clear" w:color="auto" w:fill="auto"/>
            <w:vAlign w:val="center"/>
          </w:tcPr>
          <w:p w:rsidR="00B2274A" w:rsidRDefault="00B2274A">
            <w:pPr>
              <w:spacing w:line="300" w:lineRule="exact"/>
              <w:jc w:val="center"/>
              <w:rPr>
                <w:rFonts w:ascii="方正书宋_GBK" w:eastAsia="方正书宋_GBK"/>
                <w:b/>
              </w:rPr>
            </w:pPr>
          </w:p>
        </w:tc>
        <w:tc>
          <w:tcPr>
            <w:tcW w:w="3013" w:type="dxa"/>
            <w:shd w:val="clear" w:color="auto" w:fill="auto"/>
            <w:vAlign w:val="center"/>
          </w:tcPr>
          <w:p w:rsidR="00B2274A" w:rsidRDefault="00B2274A">
            <w:pPr>
              <w:spacing w:line="300" w:lineRule="exact"/>
              <w:jc w:val="center"/>
              <w:rPr>
                <w:rFonts w:ascii="方正书宋_GBK" w:eastAsia="方正书宋_GBK"/>
                <w:b/>
              </w:rPr>
            </w:pPr>
          </w:p>
        </w:tc>
      </w:tr>
      <w:tr w:rsidR="00B2274A">
        <w:trPr>
          <w:trHeight w:val="227"/>
          <w:jc w:val="center"/>
        </w:trPr>
        <w:tc>
          <w:tcPr>
            <w:tcW w:w="4359" w:type="dxa"/>
            <w:shd w:val="clear" w:color="auto" w:fill="auto"/>
            <w:vAlign w:val="center"/>
          </w:tcPr>
          <w:p w:rsidR="00B2274A" w:rsidRDefault="002343A7">
            <w:pPr>
              <w:spacing w:line="300" w:lineRule="exact"/>
              <w:jc w:val="left"/>
              <w:rPr>
                <w:rFonts w:ascii="方正书宋_GBK" w:eastAsia="方正书宋_GBK" w:hAnsi="方正书宋_GBK" w:cs="方正书宋_GBK"/>
                <w:szCs w:val="21"/>
                <w:highlight w:val="yellow"/>
              </w:rPr>
            </w:pPr>
            <w:r>
              <w:rPr>
                <w:rFonts w:ascii="方正书宋_GBK" w:eastAsia="方正书宋_GBK" w:hAnsi="方正书宋_GBK" w:cs="方正书宋_GBK" w:hint="eastAsia"/>
                <w:szCs w:val="21"/>
              </w:rPr>
              <w:t>秘书股</w:t>
            </w:r>
          </w:p>
        </w:tc>
        <w:tc>
          <w:tcPr>
            <w:tcW w:w="1134" w:type="dxa"/>
            <w:shd w:val="clear" w:color="auto" w:fill="auto"/>
            <w:vAlign w:val="center"/>
          </w:tcPr>
          <w:p w:rsidR="00B2274A" w:rsidRDefault="002343A7">
            <w:pPr>
              <w:spacing w:line="300" w:lineRule="exact"/>
              <w:jc w:val="center"/>
              <w:rPr>
                <w:rFonts w:ascii="方正书宋_GBK" w:eastAsia="方正书宋_GBK"/>
                <w:highlight w:val="yellow"/>
              </w:rPr>
            </w:pPr>
            <w:r>
              <w:rPr>
                <w:rFonts w:ascii="方正书宋_GBK" w:eastAsia="方正书宋_GBK" w:hAnsi="Calibri" w:cs="Calibri" w:hint="eastAsia"/>
              </w:rPr>
              <w:t>行政</w:t>
            </w:r>
          </w:p>
        </w:tc>
        <w:tc>
          <w:tcPr>
            <w:tcW w:w="1276" w:type="dxa"/>
            <w:shd w:val="clear" w:color="auto" w:fill="auto"/>
            <w:vAlign w:val="center"/>
          </w:tcPr>
          <w:p w:rsidR="00B2274A" w:rsidRDefault="002343A7">
            <w:pPr>
              <w:spacing w:line="300" w:lineRule="exact"/>
              <w:jc w:val="center"/>
              <w:rPr>
                <w:rFonts w:ascii="方正书宋_GBK" w:eastAsia="方正书宋_GBK"/>
                <w:highlight w:val="yellow"/>
              </w:rPr>
            </w:pPr>
            <w:r>
              <w:rPr>
                <w:rFonts w:ascii="方正书宋_GBK" w:eastAsia="方正书宋_GBK" w:hAnsi="Calibri" w:cs="Calibri" w:hint="eastAsia"/>
              </w:rPr>
              <w:t>正科级</w:t>
            </w:r>
          </w:p>
        </w:tc>
        <w:tc>
          <w:tcPr>
            <w:tcW w:w="3013" w:type="dxa"/>
            <w:shd w:val="clear" w:color="auto" w:fill="auto"/>
            <w:vAlign w:val="center"/>
          </w:tcPr>
          <w:p w:rsidR="00B2274A" w:rsidRDefault="002343A7">
            <w:pPr>
              <w:spacing w:line="300" w:lineRule="exact"/>
              <w:jc w:val="center"/>
              <w:rPr>
                <w:rFonts w:ascii="方正书宋_GBK" w:eastAsia="方正书宋_GBK"/>
                <w:highlight w:val="yellow"/>
              </w:rPr>
            </w:pPr>
            <w:r>
              <w:rPr>
                <w:rFonts w:ascii="方正书宋_GBK" w:eastAsia="方正书宋_GBK" w:hAnsi="Calibri" w:cs="Calibri" w:hint="eastAsia"/>
              </w:rPr>
              <w:t>财政拨款</w:t>
            </w:r>
          </w:p>
        </w:tc>
      </w:tr>
      <w:tr w:rsidR="00B2274A">
        <w:trPr>
          <w:trHeight w:val="90"/>
          <w:jc w:val="center"/>
        </w:trPr>
        <w:tc>
          <w:tcPr>
            <w:tcW w:w="4359" w:type="dxa"/>
            <w:shd w:val="clear" w:color="auto" w:fill="auto"/>
            <w:vAlign w:val="center"/>
          </w:tcPr>
          <w:p w:rsidR="00B2274A" w:rsidRDefault="002343A7">
            <w:pPr>
              <w:spacing w:line="300" w:lineRule="exact"/>
              <w:jc w:val="left"/>
              <w:rPr>
                <w:rFonts w:ascii="方正书宋_GBK" w:eastAsia="方正书宋_GBK" w:hAnsi="方正书宋_GBK" w:cs="方正书宋_GBK"/>
                <w:szCs w:val="21"/>
                <w:highlight w:val="yellow"/>
              </w:rPr>
            </w:pPr>
            <w:r>
              <w:rPr>
                <w:rFonts w:ascii="方正书宋_GBK" w:eastAsia="方正书宋_GBK" w:hAnsi="方正书宋_GBK" w:cs="方正书宋_GBK" w:hint="eastAsia"/>
                <w:szCs w:val="21"/>
              </w:rPr>
              <w:lastRenderedPageBreak/>
              <w:t>督促检查办公室</w:t>
            </w:r>
          </w:p>
        </w:tc>
        <w:tc>
          <w:tcPr>
            <w:tcW w:w="1134" w:type="dxa"/>
            <w:shd w:val="clear" w:color="auto" w:fill="auto"/>
            <w:vAlign w:val="center"/>
          </w:tcPr>
          <w:p w:rsidR="00B2274A" w:rsidRDefault="002343A7">
            <w:pPr>
              <w:spacing w:line="300" w:lineRule="exact"/>
              <w:jc w:val="center"/>
              <w:rPr>
                <w:rFonts w:ascii="方正书宋_GBK" w:eastAsia="方正书宋_GBK"/>
                <w:highlight w:val="yellow"/>
              </w:rPr>
            </w:pPr>
            <w:r>
              <w:rPr>
                <w:rFonts w:ascii="方正书宋_GBK" w:eastAsia="方正书宋_GBK" w:hAnsi="Calibri" w:cs="Calibri" w:hint="eastAsia"/>
              </w:rPr>
              <w:t>行政</w:t>
            </w:r>
          </w:p>
        </w:tc>
        <w:tc>
          <w:tcPr>
            <w:tcW w:w="1276" w:type="dxa"/>
            <w:shd w:val="clear" w:color="auto" w:fill="auto"/>
            <w:vAlign w:val="center"/>
          </w:tcPr>
          <w:p w:rsidR="00B2274A" w:rsidRDefault="002343A7">
            <w:pPr>
              <w:spacing w:line="300" w:lineRule="exact"/>
              <w:jc w:val="center"/>
              <w:rPr>
                <w:rFonts w:ascii="方正书宋_GBK" w:eastAsia="方正书宋_GBK"/>
                <w:highlight w:val="yellow"/>
              </w:rPr>
            </w:pPr>
            <w:r>
              <w:rPr>
                <w:rFonts w:ascii="方正书宋_GBK" w:eastAsia="方正书宋_GBK" w:hAnsi="Calibri" w:cs="Calibri" w:hint="eastAsia"/>
              </w:rPr>
              <w:t>正科级</w:t>
            </w:r>
          </w:p>
        </w:tc>
        <w:tc>
          <w:tcPr>
            <w:tcW w:w="3013" w:type="dxa"/>
            <w:shd w:val="clear" w:color="auto" w:fill="auto"/>
            <w:vAlign w:val="center"/>
          </w:tcPr>
          <w:p w:rsidR="00B2274A" w:rsidRDefault="002343A7">
            <w:pPr>
              <w:spacing w:line="300" w:lineRule="exact"/>
              <w:jc w:val="center"/>
              <w:rPr>
                <w:rFonts w:ascii="方正书宋_GBK" w:eastAsia="方正书宋_GBK"/>
                <w:highlight w:val="yellow"/>
              </w:rPr>
            </w:pPr>
            <w:r>
              <w:rPr>
                <w:rFonts w:ascii="方正书宋_GBK" w:eastAsia="方正书宋_GBK" w:hAnsi="Calibri" w:cs="Calibri" w:hint="eastAsia"/>
              </w:rPr>
              <w:t>财政拨款</w:t>
            </w:r>
          </w:p>
        </w:tc>
      </w:tr>
      <w:tr w:rsidR="00B2274A">
        <w:trPr>
          <w:trHeight w:val="227"/>
          <w:jc w:val="center"/>
        </w:trPr>
        <w:tc>
          <w:tcPr>
            <w:tcW w:w="4359" w:type="dxa"/>
            <w:shd w:val="clear" w:color="auto" w:fill="auto"/>
            <w:vAlign w:val="center"/>
          </w:tcPr>
          <w:p w:rsidR="00B2274A" w:rsidRDefault="002343A7">
            <w:pPr>
              <w:spacing w:line="300" w:lineRule="exact"/>
              <w:jc w:val="left"/>
              <w:rPr>
                <w:rFonts w:ascii="方正书宋_GBK" w:eastAsia="方正书宋_GBK" w:hAnsi="方正书宋_GBK" w:cs="方正书宋_GBK"/>
                <w:szCs w:val="21"/>
                <w:highlight w:val="yellow"/>
              </w:rPr>
            </w:pPr>
            <w:r>
              <w:rPr>
                <w:rFonts w:ascii="方正书宋_GBK" w:eastAsia="方正书宋_GBK" w:hAnsi="方正书宋_GBK" w:cs="方正书宋_GBK" w:hint="eastAsia"/>
                <w:szCs w:val="21"/>
              </w:rPr>
              <w:t>综合股</w:t>
            </w:r>
          </w:p>
        </w:tc>
        <w:tc>
          <w:tcPr>
            <w:tcW w:w="1134" w:type="dxa"/>
            <w:shd w:val="clear" w:color="auto" w:fill="auto"/>
            <w:vAlign w:val="center"/>
          </w:tcPr>
          <w:p w:rsidR="00B2274A" w:rsidRDefault="002343A7">
            <w:pPr>
              <w:spacing w:line="300" w:lineRule="exact"/>
              <w:jc w:val="center"/>
              <w:rPr>
                <w:rFonts w:ascii="方正书宋_GBK" w:eastAsia="方正书宋_GBK"/>
                <w:highlight w:val="yellow"/>
              </w:rPr>
            </w:pPr>
            <w:r>
              <w:rPr>
                <w:rFonts w:ascii="方正书宋_GBK" w:eastAsia="方正书宋_GBK" w:hAnsi="Calibri" w:cs="Calibri" w:hint="eastAsia"/>
              </w:rPr>
              <w:t>行政</w:t>
            </w:r>
          </w:p>
        </w:tc>
        <w:tc>
          <w:tcPr>
            <w:tcW w:w="1276" w:type="dxa"/>
            <w:shd w:val="clear" w:color="auto" w:fill="auto"/>
            <w:vAlign w:val="center"/>
          </w:tcPr>
          <w:p w:rsidR="00B2274A" w:rsidRDefault="002343A7">
            <w:pPr>
              <w:spacing w:line="300" w:lineRule="exact"/>
              <w:jc w:val="center"/>
              <w:rPr>
                <w:rFonts w:ascii="方正书宋_GBK" w:eastAsia="方正书宋_GBK"/>
                <w:highlight w:val="yellow"/>
              </w:rPr>
            </w:pPr>
            <w:r>
              <w:rPr>
                <w:rFonts w:ascii="方正书宋_GBK" w:eastAsia="方正书宋_GBK" w:hAnsi="Calibri" w:cs="Calibri" w:hint="eastAsia"/>
              </w:rPr>
              <w:t>正股级</w:t>
            </w:r>
          </w:p>
        </w:tc>
        <w:tc>
          <w:tcPr>
            <w:tcW w:w="3013" w:type="dxa"/>
            <w:shd w:val="clear" w:color="auto" w:fill="auto"/>
            <w:vAlign w:val="center"/>
          </w:tcPr>
          <w:p w:rsidR="00B2274A" w:rsidRDefault="002343A7">
            <w:pPr>
              <w:spacing w:line="300" w:lineRule="exact"/>
              <w:jc w:val="center"/>
              <w:rPr>
                <w:rFonts w:ascii="方正书宋_GBK" w:eastAsia="方正书宋_GBK"/>
                <w:highlight w:val="yellow"/>
              </w:rPr>
            </w:pPr>
            <w:r>
              <w:rPr>
                <w:rFonts w:ascii="方正书宋_GBK" w:eastAsia="方正书宋_GBK" w:hAnsi="Calibri" w:cs="Calibri" w:hint="eastAsia"/>
              </w:rPr>
              <w:t>财政拨款</w:t>
            </w:r>
          </w:p>
        </w:tc>
      </w:tr>
      <w:tr w:rsidR="00B2274A">
        <w:trPr>
          <w:trHeight w:val="227"/>
          <w:jc w:val="center"/>
        </w:trPr>
        <w:tc>
          <w:tcPr>
            <w:tcW w:w="4359" w:type="dxa"/>
            <w:shd w:val="clear" w:color="auto" w:fill="auto"/>
            <w:vAlign w:val="center"/>
          </w:tcPr>
          <w:p w:rsidR="00B2274A" w:rsidRDefault="002343A7">
            <w:pPr>
              <w:spacing w:line="300" w:lineRule="exact"/>
              <w:jc w:val="left"/>
              <w:rPr>
                <w:rFonts w:ascii="方正书宋_GBK" w:eastAsia="方正书宋_GBK" w:hAnsi="方正书宋_GBK" w:cs="方正书宋_GBK"/>
                <w:szCs w:val="21"/>
              </w:rPr>
            </w:pPr>
            <w:r>
              <w:rPr>
                <w:rFonts w:ascii="方正书宋_GBK" w:eastAsia="方正书宋_GBK" w:hAnsi="方正书宋_GBK" w:cs="方正书宋_GBK" w:hint="eastAsia"/>
                <w:szCs w:val="21"/>
              </w:rPr>
              <w:t>公文信息股</w:t>
            </w:r>
          </w:p>
        </w:tc>
        <w:tc>
          <w:tcPr>
            <w:tcW w:w="1134"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行政</w:t>
            </w:r>
          </w:p>
        </w:tc>
        <w:tc>
          <w:tcPr>
            <w:tcW w:w="1276"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正股级</w:t>
            </w:r>
          </w:p>
        </w:tc>
        <w:tc>
          <w:tcPr>
            <w:tcW w:w="3013"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财政拨款</w:t>
            </w:r>
          </w:p>
        </w:tc>
      </w:tr>
      <w:tr w:rsidR="00B2274A">
        <w:trPr>
          <w:trHeight w:val="227"/>
          <w:jc w:val="center"/>
        </w:trPr>
        <w:tc>
          <w:tcPr>
            <w:tcW w:w="4359" w:type="dxa"/>
            <w:shd w:val="clear" w:color="auto" w:fill="auto"/>
            <w:vAlign w:val="center"/>
          </w:tcPr>
          <w:p w:rsidR="00B2274A" w:rsidRDefault="002343A7">
            <w:pPr>
              <w:spacing w:line="300" w:lineRule="exact"/>
              <w:jc w:val="left"/>
              <w:rPr>
                <w:rFonts w:ascii="方正书宋_GBK" w:eastAsia="方正书宋_GBK" w:hAnsi="方正书宋_GBK" w:cs="方正书宋_GBK"/>
                <w:szCs w:val="21"/>
              </w:rPr>
            </w:pPr>
            <w:r>
              <w:rPr>
                <w:rFonts w:ascii="方正书宋_GBK" w:eastAsia="方正书宋_GBK" w:hAnsi="方正书宋_GBK" w:cs="方正书宋_GBK" w:hint="eastAsia"/>
                <w:szCs w:val="21"/>
              </w:rPr>
              <w:t>农业股</w:t>
            </w:r>
          </w:p>
        </w:tc>
        <w:tc>
          <w:tcPr>
            <w:tcW w:w="1134"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行政</w:t>
            </w:r>
          </w:p>
        </w:tc>
        <w:tc>
          <w:tcPr>
            <w:tcW w:w="1276"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正股级</w:t>
            </w:r>
          </w:p>
        </w:tc>
        <w:tc>
          <w:tcPr>
            <w:tcW w:w="3013"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财政拨款</w:t>
            </w:r>
          </w:p>
        </w:tc>
      </w:tr>
      <w:tr w:rsidR="00B2274A">
        <w:trPr>
          <w:trHeight w:val="227"/>
          <w:jc w:val="center"/>
        </w:trPr>
        <w:tc>
          <w:tcPr>
            <w:tcW w:w="4359" w:type="dxa"/>
            <w:shd w:val="clear" w:color="auto" w:fill="auto"/>
            <w:vAlign w:val="center"/>
          </w:tcPr>
          <w:p w:rsidR="00B2274A" w:rsidRDefault="002343A7">
            <w:pPr>
              <w:spacing w:line="300" w:lineRule="exact"/>
              <w:jc w:val="left"/>
              <w:rPr>
                <w:rFonts w:ascii="方正书宋_GBK" w:eastAsia="方正书宋_GBK" w:hAnsi="方正书宋_GBK" w:cs="方正书宋_GBK"/>
                <w:szCs w:val="21"/>
              </w:rPr>
            </w:pPr>
            <w:r>
              <w:rPr>
                <w:rFonts w:ascii="方正书宋_GBK" w:eastAsia="方正书宋_GBK" w:hAnsi="方正书宋_GBK" w:cs="方正书宋_GBK" w:hint="eastAsia"/>
                <w:szCs w:val="21"/>
              </w:rPr>
              <w:t>发展工业股</w:t>
            </w:r>
          </w:p>
        </w:tc>
        <w:tc>
          <w:tcPr>
            <w:tcW w:w="1134"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行政</w:t>
            </w:r>
          </w:p>
        </w:tc>
        <w:tc>
          <w:tcPr>
            <w:tcW w:w="1276"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正股级</w:t>
            </w:r>
          </w:p>
        </w:tc>
        <w:tc>
          <w:tcPr>
            <w:tcW w:w="3013"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财政拨款</w:t>
            </w:r>
          </w:p>
        </w:tc>
      </w:tr>
      <w:tr w:rsidR="00B2274A">
        <w:trPr>
          <w:trHeight w:val="227"/>
          <w:jc w:val="center"/>
        </w:trPr>
        <w:tc>
          <w:tcPr>
            <w:tcW w:w="4359" w:type="dxa"/>
            <w:shd w:val="clear" w:color="auto" w:fill="auto"/>
            <w:vAlign w:val="center"/>
          </w:tcPr>
          <w:p w:rsidR="00B2274A" w:rsidRDefault="002343A7">
            <w:pPr>
              <w:spacing w:line="300" w:lineRule="exact"/>
              <w:jc w:val="left"/>
              <w:rPr>
                <w:rFonts w:ascii="方正书宋_GBK" w:eastAsia="方正书宋_GBK" w:hAnsi="方正书宋_GBK" w:cs="方正书宋_GBK"/>
                <w:szCs w:val="21"/>
              </w:rPr>
            </w:pPr>
            <w:r>
              <w:rPr>
                <w:rFonts w:ascii="方正书宋_GBK" w:eastAsia="方正书宋_GBK" w:hAnsi="方正书宋_GBK" w:cs="方正书宋_GBK" w:hint="eastAsia"/>
                <w:szCs w:val="21"/>
              </w:rPr>
              <w:t>公文信息股</w:t>
            </w:r>
          </w:p>
        </w:tc>
        <w:tc>
          <w:tcPr>
            <w:tcW w:w="1134"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行政</w:t>
            </w:r>
          </w:p>
        </w:tc>
        <w:tc>
          <w:tcPr>
            <w:tcW w:w="1276"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正股级</w:t>
            </w:r>
          </w:p>
        </w:tc>
        <w:tc>
          <w:tcPr>
            <w:tcW w:w="3013"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财政拨款</w:t>
            </w:r>
          </w:p>
        </w:tc>
      </w:tr>
      <w:tr w:rsidR="00B2274A">
        <w:trPr>
          <w:trHeight w:val="227"/>
          <w:jc w:val="center"/>
        </w:trPr>
        <w:tc>
          <w:tcPr>
            <w:tcW w:w="4359" w:type="dxa"/>
            <w:shd w:val="clear" w:color="auto" w:fill="auto"/>
            <w:vAlign w:val="center"/>
          </w:tcPr>
          <w:p w:rsidR="00B2274A" w:rsidRDefault="002343A7">
            <w:pPr>
              <w:spacing w:line="300" w:lineRule="exact"/>
              <w:jc w:val="left"/>
              <w:rPr>
                <w:rFonts w:ascii="方正书宋_GBK" w:eastAsia="方正书宋_GBK" w:hAnsi="方正书宋_GBK" w:cs="方正书宋_GBK"/>
                <w:szCs w:val="21"/>
              </w:rPr>
            </w:pPr>
            <w:r>
              <w:rPr>
                <w:rFonts w:ascii="方正书宋_GBK" w:eastAsia="方正书宋_GBK" w:hAnsi="方正书宋_GBK" w:cs="方正书宋_GBK" w:hint="eastAsia"/>
                <w:szCs w:val="21"/>
              </w:rPr>
              <w:t>农业股</w:t>
            </w:r>
          </w:p>
        </w:tc>
        <w:tc>
          <w:tcPr>
            <w:tcW w:w="1134"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行政</w:t>
            </w:r>
          </w:p>
        </w:tc>
        <w:tc>
          <w:tcPr>
            <w:tcW w:w="1276"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正股级</w:t>
            </w:r>
          </w:p>
        </w:tc>
        <w:tc>
          <w:tcPr>
            <w:tcW w:w="3013"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财政拨款</w:t>
            </w:r>
          </w:p>
        </w:tc>
      </w:tr>
      <w:tr w:rsidR="00B2274A">
        <w:trPr>
          <w:trHeight w:val="227"/>
          <w:jc w:val="center"/>
        </w:trPr>
        <w:tc>
          <w:tcPr>
            <w:tcW w:w="4359" w:type="dxa"/>
            <w:shd w:val="clear" w:color="auto" w:fill="auto"/>
            <w:vAlign w:val="center"/>
          </w:tcPr>
          <w:p w:rsidR="00B2274A" w:rsidRDefault="002343A7">
            <w:pPr>
              <w:spacing w:line="300" w:lineRule="exact"/>
              <w:jc w:val="left"/>
              <w:rPr>
                <w:rFonts w:ascii="方正书宋_GBK" w:eastAsia="方正书宋_GBK" w:hAnsi="方正书宋_GBK" w:cs="方正书宋_GBK"/>
                <w:szCs w:val="21"/>
              </w:rPr>
            </w:pPr>
            <w:r>
              <w:rPr>
                <w:rFonts w:ascii="方正书宋_GBK" w:eastAsia="方正书宋_GBK" w:hAnsi="方正书宋_GBK" w:cs="方正书宋_GBK" w:hint="eastAsia"/>
                <w:szCs w:val="21"/>
              </w:rPr>
              <w:t>发展工业股</w:t>
            </w:r>
          </w:p>
        </w:tc>
        <w:tc>
          <w:tcPr>
            <w:tcW w:w="1134"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行政</w:t>
            </w:r>
          </w:p>
        </w:tc>
        <w:tc>
          <w:tcPr>
            <w:tcW w:w="1276"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正股级</w:t>
            </w:r>
          </w:p>
        </w:tc>
        <w:tc>
          <w:tcPr>
            <w:tcW w:w="3013"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财政拨款</w:t>
            </w:r>
          </w:p>
        </w:tc>
      </w:tr>
      <w:tr w:rsidR="00B2274A">
        <w:trPr>
          <w:trHeight w:val="227"/>
          <w:jc w:val="center"/>
        </w:trPr>
        <w:tc>
          <w:tcPr>
            <w:tcW w:w="4359" w:type="dxa"/>
            <w:shd w:val="clear" w:color="auto" w:fill="auto"/>
            <w:vAlign w:val="center"/>
          </w:tcPr>
          <w:p w:rsidR="00B2274A" w:rsidRDefault="002343A7">
            <w:pPr>
              <w:spacing w:line="300" w:lineRule="exact"/>
              <w:jc w:val="left"/>
              <w:rPr>
                <w:rFonts w:ascii="方正书宋_GBK" w:eastAsia="方正书宋_GBK" w:hAnsi="方正书宋_GBK" w:cs="方正书宋_GBK"/>
                <w:szCs w:val="21"/>
              </w:rPr>
            </w:pPr>
            <w:proofErr w:type="gramStart"/>
            <w:r>
              <w:rPr>
                <w:rFonts w:ascii="方正书宋_GBK" w:eastAsia="方正书宋_GBK" w:hAnsi="方正书宋_GBK" w:cs="方正书宋_GBK" w:hint="eastAsia"/>
                <w:szCs w:val="21"/>
              </w:rPr>
              <w:t>财税股</w:t>
            </w:r>
            <w:proofErr w:type="gramEnd"/>
          </w:p>
        </w:tc>
        <w:tc>
          <w:tcPr>
            <w:tcW w:w="1134"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行政</w:t>
            </w:r>
          </w:p>
        </w:tc>
        <w:tc>
          <w:tcPr>
            <w:tcW w:w="1276"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正股级</w:t>
            </w:r>
          </w:p>
        </w:tc>
        <w:tc>
          <w:tcPr>
            <w:tcW w:w="3013"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财政拨款</w:t>
            </w:r>
          </w:p>
        </w:tc>
      </w:tr>
      <w:tr w:rsidR="00B2274A">
        <w:trPr>
          <w:trHeight w:val="227"/>
          <w:jc w:val="center"/>
        </w:trPr>
        <w:tc>
          <w:tcPr>
            <w:tcW w:w="4359" w:type="dxa"/>
            <w:shd w:val="clear" w:color="auto" w:fill="auto"/>
            <w:vAlign w:val="center"/>
          </w:tcPr>
          <w:p w:rsidR="00B2274A" w:rsidRDefault="002343A7">
            <w:pPr>
              <w:spacing w:line="300" w:lineRule="exact"/>
              <w:jc w:val="left"/>
              <w:rPr>
                <w:rFonts w:ascii="方正书宋_GBK" w:eastAsia="方正书宋_GBK" w:hAnsi="方正书宋_GBK" w:cs="方正书宋_GBK"/>
                <w:szCs w:val="21"/>
              </w:rPr>
            </w:pPr>
            <w:r>
              <w:rPr>
                <w:rFonts w:ascii="方正书宋_GBK" w:eastAsia="方正书宋_GBK" w:hAnsi="方正书宋_GBK" w:cs="方正书宋_GBK" w:hint="eastAsia"/>
                <w:szCs w:val="21"/>
              </w:rPr>
              <w:t>开放贸易股</w:t>
            </w:r>
          </w:p>
        </w:tc>
        <w:tc>
          <w:tcPr>
            <w:tcW w:w="1134"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行政</w:t>
            </w:r>
          </w:p>
        </w:tc>
        <w:tc>
          <w:tcPr>
            <w:tcW w:w="1276"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正股级</w:t>
            </w:r>
          </w:p>
        </w:tc>
        <w:tc>
          <w:tcPr>
            <w:tcW w:w="3013"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财政拨款</w:t>
            </w:r>
          </w:p>
        </w:tc>
      </w:tr>
      <w:tr w:rsidR="00B2274A">
        <w:trPr>
          <w:trHeight w:val="227"/>
          <w:jc w:val="center"/>
        </w:trPr>
        <w:tc>
          <w:tcPr>
            <w:tcW w:w="4359" w:type="dxa"/>
            <w:shd w:val="clear" w:color="auto" w:fill="auto"/>
            <w:vAlign w:val="center"/>
          </w:tcPr>
          <w:p w:rsidR="00B2274A" w:rsidRDefault="002343A7">
            <w:pPr>
              <w:spacing w:line="300" w:lineRule="exact"/>
              <w:jc w:val="left"/>
              <w:rPr>
                <w:rFonts w:ascii="方正书宋_GBK" w:eastAsia="方正书宋_GBK" w:hAnsi="方正书宋_GBK" w:cs="方正书宋_GBK"/>
                <w:szCs w:val="21"/>
              </w:rPr>
            </w:pPr>
            <w:r>
              <w:rPr>
                <w:rFonts w:ascii="方正书宋_GBK" w:eastAsia="方正书宋_GBK" w:hAnsi="方正书宋_GBK" w:cs="方正书宋_GBK" w:hint="eastAsia"/>
                <w:szCs w:val="21"/>
              </w:rPr>
              <w:t>人口性别比办公室</w:t>
            </w:r>
          </w:p>
        </w:tc>
        <w:tc>
          <w:tcPr>
            <w:tcW w:w="1134"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行政</w:t>
            </w:r>
          </w:p>
        </w:tc>
        <w:tc>
          <w:tcPr>
            <w:tcW w:w="1276"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正科级</w:t>
            </w:r>
          </w:p>
        </w:tc>
        <w:tc>
          <w:tcPr>
            <w:tcW w:w="3013"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财政拨款</w:t>
            </w:r>
          </w:p>
        </w:tc>
      </w:tr>
      <w:tr w:rsidR="00B2274A">
        <w:trPr>
          <w:trHeight w:val="227"/>
          <w:jc w:val="center"/>
        </w:trPr>
        <w:tc>
          <w:tcPr>
            <w:tcW w:w="4359" w:type="dxa"/>
            <w:shd w:val="clear" w:color="auto" w:fill="auto"/>
            <w:vAlign w:val="center"/>
          </w:tcPr>
          <w:p w:rsidR="00B2274A" w:rsidRDefault="002343A7">
            <w:pPr>
              <w:spacing w:line="300" w:lineRule="exact"/>
              <w:jc w:val="left"/>
              <w:rPr>
                <w:rFonts w:ascii="方正书宋_GBK" w:eastAsia="方正书宋_GBK" w:hAnsi="方正书宋_GBK" w:cs="方正书宋_GBK"/>
                <w:szCs w:val="21"/>
              </w:rPr>
            </w:pPr>
            <w:r>
              <w:rPr>
                <w:rFonts w:ascii="方正书宋_GBK" w:eastAsia="方正书宋_GBK" w:hAnsi="方正书宋_GBK" w:cs="方正书宋_GBK" w:hint="eastAsia"/>
                <w:szCs w:val="21"/>
              </w:rPr>
              <w:t>威县人民防空办公室</w:t>
            </w:r>
          </w:p>
        </w:tc>
        <w:tc>
          <w:tcPr>
            <w:tcW w:w="1134"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行政</w:t>
            </w:r>
          </w:p>
        </w:tc>
        <w:tc>
          <w:tcPr>
            <w:tcW w:w="1276"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正科级</w:t>
            </w:r>
          </w:p>
        </w:tc>
        <w:tc>
          <w:tcPr>
            <w:tcW w:w="3013"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财政拨款</w:t>
            </w:r>
          </w:p>
        </w:tc>
      </w:tr>
      <w:tr w:rsidR="00B2274A">
        <w:trPr>
          <w:trHeight w:val="261"/>
          <w:jc w:val="center"/>
        </w:trPr>
        <w:tc>
          <w:tcPr>
            <w:tcW w:w="4359" w:type="dxa"/>
            <w:shd w:val="clear" w:color="auto" w:fill="auto"/>
            <w:vAlign w:val="center"/>
          </w:tcPr>
          <w:p w:rsidR="00B2274A" w:rsidRDefault="002343A7">
            <w:pPr>
              <w:spacing w:line="300" w:lineRule="exact"/>
              <w:jc w:val="left"/>
              <w:rPr>
                <w:rFonts w:ascii="方正书宋_GBK" w:eastAsia="方正书宋_GBK" w:hAnsi="方正书宋_GBK" w:cs="方正书宋_GBK"/>
                <w:szCs w:val="21"/>
              </w:rPr>
            </w:pPr>
            <w:r>
              <w:rPr>
                <w:rFonts w:ascii="方正书宋_GBK" w:eastAsia="方正书宋_GBK" w:hAnsi="方正书宋_GBK" w:cs="方正书宋_GBK" w:hint="eastAsia"/>
                <w:szCs w:val="21"/>
              </w:rPr>
              <w:t>威县金融工作办公室</w:t>
            </w:r>
          </w:p>
        </w:tc>
        <w:tc>
          <w:tcPr>
            <w:tcW w:w="1134"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行政</w:t>
            </w:r>
          </w:p>
        </w:tc>
        <w:tc>
          <w:tcPr>
            <w:tcW w:w="1276"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正科级</w:t>
            </w:r>
          </w:p>
        </w:tc>
        <w:tc>
          <w:tcPr>
            <w:tcW w:w="3013"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财政拨款</w:t>
            </w:r>
          </w:p>
        </w:tc>
      </w:tr>
      <w:tr w:rsidR="00B2274A">
        <w:trPr>
          <w:trHeight w:val="227"/>
          <w:jc w:val="center"/>
        </w:trPr>
        <w:tc>
          <w:tcPr>
            <w:tcW w:w="4359" w:type="dxa"/>
            <w:shd w:val="clear" w:color="auto" w:fill="auto"/>
            <w:vAlign w:val="center"/>
          </w:tcPr>
          <w:p w:rsidR="00B2274A" w:rsidRDefault="002343A7">
            <w:pPr>
              <w:spacing w:line="300" w:lineRule="exact"/>
              <w:jc w:val="left"/>
              <w:rPr>
                <w:rFonts w:ascii="方正书宋_GBK" w:eastAsia="方正书宋_GBK" w:hAnsi="方正书宋_GBK" w:cs="方正书宋_GBK"/>
                <w:szCs w:val="21"/>
              </w:rPr>
            </w:pPr>
            <w:r>
              <w:rPr>
                <w:rFonts w:ascii="方正书宋_GBK" w:eastAsia="方正书宋_GBK" w:hAnsi="方正书宋_GBK" w:cs="方正书宋_GBK" w:hint="eastAsia"/>
                <w:szCs w:val="21"/>
              </w:rPr>
              <w:t>综合治税办公室</w:t>
            </w:r>
          </w:p>
        </w:tc>
        <w:tc>
          <w:tcPr>
            <w:tcW w:w="1134"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行政</w:t>
            </w:r>
          </w:p>
        </w:tc>
        <w:tc>
          <w:tcPr>
            <w:tcW w:w="1276"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正科级</w:t>
            </w:r>
          </w:p>
        </w:tc>
        <w:tc>
          <w:tcPr>
            <w:tcW w:w="3013"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财政拨款</w:t>
            </w:r>
          </w:p>
        </w:tc>
      </w:tr>
      <w:tr w:rsidR="00B2274A">
        <w:trPr>
          <w:trHeight w:val="227"/>
          <w:jc w:val="center"/>
        </w:trPr>
        <w:tc>
          <w:tcPr>
            <w:tcW w:w="4359" w:type="dxa"/>
            <w:shd w:val="clear" w:color="auto" w:fill="auto"/>
            <w:vAlign w:val="center"/>
          </w:tcPr>
          <w:p w:rsidR="00B2274A" w:rsidRDefault="002343A7">
            <w:pPr>
              <w:spacing w:line="300" w:lineRule="exact"/>
              <w:jc w:val="left"/>
              <w:rPr>
                <w:rFonts w:ascii="仿宋_GB2312" w:eastAsia="仿宋_GB2312" w:hAnsi="仿宋_GB2312"/>
                <w:sz w:val="32"/>
              </w:rPr>
            </w:pPr>
            <w:r>
              <w:rPr>
                <w:rFonts w:ascii="方正书宋_GBK" w:eastAsia="方正书宋_GBK" w:hAnsi="方正书宋_GBK" w:cs="方正书宋_GBK" w:hint="eastAsia"/>
                <w:szCs w:val="21"/>
              </w:rPr>
              <w:t>威县城乡建设办公室</w:t>
            </w:r>
          </w:p>
        </w:tc>
        <w:tc>
          <w:tcPr>
            <w:tcW w:w="1134"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行政</w:t>
            </w:r>
          </w:p>
        </w:tc>
        <w:tc>
          <w:tcPr>
            <w:tcW w:w="1276"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正科级</w:t>
            </w:r>
          </w:p>
        </w:tc>
        <w:tc>
          <w:tcPr>
            <w:tcW w:w="3013" w:type="dxa"/>
            <w:shd w:val="clear" w:color="auto" w:fill="auto"/>
            <w:vAlign w:val="center"/>
          </w:tcPr>
          <w:p w:rsidR="00B2274A" w:rsidRDefault="002343A7">
            <w:pPr>
              <w:spacing w:line="300" w:lineRule="exact"/>
              <w:jc w:val="center"/>
              <w:rPr>
                <w:rFonts w:ascii="方正书宋_GBK" w:eastAsia="方正书宋_GBK" w:hAnsi="Calibri" w:cs="Calibri"/>
              </w:rPr>
            </w:pPr>
            <w:r>
              <w:rPr>
                <w:rFonts w:ascii="方正书宋_GBK" w:eastAsia="方正书宋_GBK" w:hAnsi="Calibri" w:cs="Calibri" w:hint="eastAsia"/>
              </w:rPr>
              <w:t>财政拨款</w:t>
            </w:r>
          </w:p>
        </w:tc>
      </w:tr>
    </w:tbl>
    <w:p w:rsidR="00B2274A" w:rsidRDefault="002343A7">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B2274A" w:rsidRDefault="002343A7">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w:t>
      </w:r>
      <w:r>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w:t>
      </w:r>
      <w:r>
        <w:rPr>
          <w:rFonts w:ascii="Times New Roman" w:eastAsia="方正仿宋_GBK" w:hAnsi="Times New Roman" w:cs="Times New Roman" w:hint="eastAsia"/>
          <w:sz w:val="32"/>
          <w:szCs w:val="32"/>
        </w:rPr>
        <w:t>在</w:t>
      </w:r>
      <w:r>
        <w:rPr>
          <w:rFonts w:ascii="Times New Roman" w:eastAsia="方正仿宋_GBK" w:hAnsi="Times New Roman" w:cs="Times New Roman"/>
          <w:sz w:val="32"/>
          <w:szCs w:val="32"/>
        </w:rPr>
        <w:t>预算中。</w:t>
      </w:r>
      <w:r>
        <w:rPr>
          <w:rFonts w:ascii="Times New Roman" w:eastAsia="方正仿宋_GBK" w:hAnsi="Times New Roman" w:cs="Times New Roman" w:hint="eastAsia"/>
          <w:sz w:val="32"/>
          <w:szCs w:val="32"/>
        </w:rPr>
        <w:t>威县人民政府办公室</w:t>
      </w:r>
      <w:r>
        <w:rPr>
          <w:rFonts w:ascii="Times New Roman" w:eastAsia="方正仿宋_GBK" w:hAnsi="Times New Roman" w:cs="Times New Roman"/>
          <w:sz w:val="32"/>
          <w:szCs w:val="32"/>
        </w:rPr>
        <w:t>的收支包含在部门预算中。</w:t>
      </w:r>
    </w:p>
    <w:p w:rsidR="00B2274A" w:rsidRDefault="002343A7">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、收入说明</w:t>
      </w:r>
    </w:p>
    <w:p w:rsidR="00B2274A" w:rsidRDefault="002343A7">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反映本部门当年全部收入。</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年预算收入</w:t>
      </w:r>
      <w:r>
        <w:rPr>
          <w:rFonts w:ascii="Times New Roman" w:eastAsia="方正仿宋_GBK" w:hAnsi="Times New Roman" w:cs="Times New Roman" w:hint="eastAsia"/>
          <w:sz w:val="32"/>
          <w:szCs w:val="32"/>
        </w:rPr>
        <w:t>866.15</w:t>
      </w:r>
      <w:r>
        <w:rPr>
          <w:rFonts w:ascii="Times New Roman" w:eastAsia="方正仿宋_GBK" w:hAnsi="Times New Roman" w:cs="Times New Roman"/>
          <w:sz w:val="32"/>
          <w:szCs w:val="32"/>
        </w:rPr>
        <w:t>万元，其中：一般公共预算收入</w:t>
      </w:r>
      <w:r>
        <w:rPr>
          <w:rFonts w:ascii="Times New Roman" w:eastAsia="方正仿宋_GBK" w:hAnsi="Times New Roman" w:cs="Times New Roman" w:hint="eastAsia"/>
          <w:sz w:val="32"/>
          <w:szCs w:val="32"/>
        </w:rPr>
        <w:t>866.15</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基金预算</w:t>
      </w:r>
      <w:r>
        <w:rPr>
          <w:rFonts w:ascii="Times New Roman" w:eastAsia="方正仿宋_GBK" w:hAnsi="Times New Roman" w:cs="Times New Roman"/>
          <w:sz w:val="32"/>
          <w:szCs w:val="32"/>
        </w:rPr>
        <w:t>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财政专户核拨收入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w:t>
      </w:r>
      <w:r>
        <w:rPr>
          <w:rFonts w:ascii="Times New Roman" w:eastAsia="方正仿宋_GBK" w:hAnsi="Times New Roman" w:cs="Times New Roman" w:hint="eastAsia"/>
          <w:sz w:val="32"/>
          <w:szCs w:val="32"/>
        </w:rPr>
        <w:t>，其他来源收入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p>
    <w:p w:rsidR="00B2274A" w:rsidRDefault="002343A7">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、支出说明</w:t>
      </w:r>
    </w:p>
    <w:p w:rsidR="00B2274A" w:rsidRDefault="002343A7">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收支预算总表支出栏、基本支出表、项目支出表按经济分类和支出功能分类科目编制，反映</w:t>
      </w:r>
      <w:r>
        <w:rPr>
          <w:rFonts w:ascii="Times New Roman" w:eastAsia="方正仿宋_GBK" w:hAnsi="Times New Roman" w:cs="Times New Roman" w:hint="eastAsia"/>
          <w:sz w:val="32"/>
          <w:szCs w:val="32"/>
        </w:rPr>
        <w:t>威县人民政府办公室</w:t>
      </w:r>
      <w:r>
        <w:rPr>
          <w:rFonts w:ascii="Times New Roman" w:eastAsia="方正仿宋_GBK" w:hAnsi="Times New Roman" w:cs="Times New Roman"/>
          <w:sz w:val="32"/>
          <w:szCs w:val="32"/>
        </w:rPr>
        <w:t>年度部门预算中支出预算的总体情况。</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年支出预算</w:t>
      </w:r>
      <w:r>
        <w:rPr>
          <w:rFonts w:ascii="Times New Roman" w:eastAsia="方正仿宋_GBK" w:hAnsi="Times New Roman" w:cs="Times New Roman" w:hint="eastAsia"/>
          <w:sz w:val="32"/>
          <w:szCs w:val="32"/>
        </w:rPr>
        <w:t>866.15</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569.15</w:t>
      </w:r>
      <w:r>
        <w:rPr>
          <w:rFonts w:ascii="Times New Roman" w:eastAsia="方正仿宋_GBK" w:hAnsi="Times New Roman" w:cs="Times New Roman"/>
          <w:sz w:val="32"/>
          <w:szCs w:val="32"/>
        </w:rPr>
        <w:t>万元，包括人员经费</w:t>
      </w:r>
      <w:r>
        <w:rPr>
          <w:rFonts w:ascii="Times New Roman" w:eastAsia="方正仿宋_GBK" w:hAnsi="Times New Roman" w:cs="Times New Roman" w:hint="eastAsia"/>
          <w:sz w:val="32"/>
          <w:szCs w:val="32"/>
        </w:rPr>
        <w:t>416.09</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和日常公用经费</w:t>
      </w:r>
      <w:r>
        <w:rPr>
          <w:rFonts w:ascii="Times New Roman" w:eastAsia="方正仿宋_GBK" w:hAnsi="Times New Roman" w:cs="Times New Roman" w:hint="eastAsia"/>
          <w:sz w:val="32"/>
          <w:szCs w:val="32"/>
        </w:rPr>
        <w:t>153.06</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297</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政府值班系统运行维护费；政务公开和政府网站维护、托管费；政府办城镇化观摩经费；政府日常运转水费等；其他支出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p>
    <w:p w:rsidR="00B2274A" w:rsidRDefault="002343A7">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、比上年增减情况</w:t>
      </w:r>
    </w:p>
    <w:p w:rsidR="00B2274A" w:rsidRDefault="002343A7">
      <w:pPr>
        <w:ind w:firstLine="640"/>
        <w:rPr>
          <w:rFonts w:ascii="仿宋_GB2312" w:eastAsia="仿宋_GB2312" w:hAnsi="黑体"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年预算收支安排</w:t>
      </w:r>
      <w:r>
        <w:rPr>
          <w:rFonts w:ascii="Times New Roman" w:eastAsia="方正仿宋_GBK" w:hAnsi="Times New Roman" w:cs="Times New Roman" w:hint="eastAsia"/>
          <w:sz w:val="32"/>
          <w:szCs w:val="32"/>
        </w:rPr>
        <w:t>866.15</w:t>
      </w:r>
      <w:r>
        <w:rPr>
          <w:rFonts w:ascii="Times New Roman" w:eastAsia="方正仿宋_GBK" w:hAnsi="Times New Roman" w:cs="Times New Roman"/>
          <w:sz w:val="32"/>
          <w:szCs w:val="32"/>
        </w:rPr>
        <w:t>万元，较</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年预算</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31.81</w:t>
      </w:r>
      <w:r>
        <w:rPr>
          <w:rFonts w:ascii="Times New Roman" w:eastAsia="方正仿宋_GBK" w:hAnsi="Times New Roman" w:cs="Times New Roman"/>
          <w:sz w:val="32"/>
          <w:szCs w:val="32"/>
        </w:rPr>
        <w:t>万元，其中：基本支出</w:t>
      </w:r>
      <w:r>
        <w:rPr>
          <w:rFonts w:ascii="Times New Roman" w:eastAsia="方正仿宋_GBK" w:hAnsi="Times New Roman" w:cs="Times New Roman" w:hint="eastAsia"/>
          <w:sz w:val="32"/>
          <w:szCs w:val="32"/>
        </w:rPr>
        <w:t>减少</w:t>
      </w:r>
      <w:r>
        <w:rPr>
          <w:rFonts w:ascii="Times New Roman" w:eastAsia="方正仿宋_GBK" w:hAnsi="Times New Roman" w:cs="Times New Roman" w:hint="eastAsia"/>
          <w:sz w:val="32"/>
          <w:szCs w:val="32"/>
        </w:rPr>
        <w:t>31.81</w:t>
      </w:r>
      <w:r>
        <w:rPr>
          <w:rFonts w:ascii="Times New Roman" w:eastAsia="方正仿宋_GBK" w:hAnsi="Times New Roman" w:cs="Times New Roman"/>
          <w:sz w:val="32"/>
          <w:szCs w:val="32"/>
        </w:rPr>
        <w:t>万元，主要为</w:t>
      </w:r>
      <w:r>
        <w:rPr>
          <w:rFonts w:ascii="Times New Roman" w:eastAsia="方正仿宋_GBK" w:hAnsi="Times New Roman" w:cs="Times New Roman" w:hint="eastAsia"/>
          <w:sz w:val="32"/>
          <w:szCs w:val="32"/>
        </w:rPr>
        <w:t>减少人员经费支出</w:t>
      </w:r>
      <w:r>
        <w:rPr>
          <w:rFonts w:ascii="Times New Roman" w:eastAsia="方正仿宋_GBK" w:hAnsi="Times New Roman" w:cs="Times New Roman"/>
          <w:sz w:val="32"/>
          <w:szCs w:val="32"/>
        </w:rPr>
        <w:t>；项目支出</w:t>
      </w:r>
      <w:r>
        <w:rPr>
          <w:rFonts w:ascii="Times New Roman" w:eastAsia="方正仿宋_GBK" w:hAnsi="Times New Roman" w:cs="Times New Roman" w:hint="eastAsia"/>
          <w:sz w:val="32"/>
          <w:szCs w:val="32"/>
        </w:rPr>
        <w:t>与上年持平。</w:t>
      </w:r>
    </w:p>
    <w:p w:rsidR="00B2274A" w:rsidRDefault="002343A7">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B2274A" w:rsidRDefault="002343A7">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2019</w:t>
      </w:r>
      <w:r>
        <w:rPr>
          <w:rFonts w:ascii="Times New Roman" w:eastAsia="方正仿宋_GBK" w:hAnsi="Times New Roman" w:cs="Times New Roman" w:hint="eastAsia"/>
          <w:sz w:val="32"/>
          <w:szCs w:val="32"/>
        </w:rPr>
        <w:t>年，机关运行经费共计安排</w:t>
      </w:r>
      <w:r>
        <w:rPr>
          <w:rFonts w:ascii="Times New Roman" w:eastAsia="方正仿宋_GBK" w:hAnsi="Times New Roman" w:cs="Times New Roman" w:hint="eastAsia"/>
          <w:sz w:val="32"/>
          <w:szCs w:val="32"/>
        </w:rPr>
        <w:t>153.06</w:t>
      </w:r>
      <w:r>
        <w:rPr>
          <w:rFonts w:ascii="Times New Roman" w:eastAsia="方正仿宋_GBK" w:hAnsi="Times New Roman" w:cs="Times New Roman" w:hint="eastAsia"/>
          <w:sz w:val="32"/>
          <w:szCs w:val="32"/>
        </w:rPr>
        <w:t>万元，主要用于日常运行支出，其中包括办公经费</w:t>
      </w:r>
      <w:r>
        <w:rPr>
          <w:rFonts w:ascii="Times New Roman" w:eastAsia="方正仿宋_GBK" w:hAnsi="Times New Roman" w:cs="Times New Roman" w:hint="eastAsia"/>
          <w:sz w:val="32"/>
          <w:szCs w:val="32"/>
        </w:rPr>
        <w:t>40.33</w:t>
      </w:r>
      <w:r>
        <w:rPr>
          <w:rFonts w:ascii="Times New Roman" w:eastAsia="方正仿宋_GBK" w:hAnsi="Times New Roman" w:cs="Times New Roman" w:hint="eastAsia"/>
          <w:sz w:val="32"/>
          <w:szCs w:val="32"/>
        </w:rPr>
        <w:lastRenderedPageBreak/>
        <w:t>万、印刷费</w:t>
      </w:r>
      <w:r>
        <w:rPr>
          <w:rFonts w:ascii="Times New Roman" w:eastAsia="方正仿宋_GBK" w:hAnsi="Times New Roman" w:cs="Times New Roman" w:hint="eastAsia"/>
          <w:sz w:val="32"/>
          <w:szCs w:val="32"/>
        </w:rPr>
        <w:t>15.4</w:t>
      </w:r>
      <w:r>
        <w:rPr>
          <w:rFonts w:ascii="Times New Roman" w:eastAsia="方正仿宋_GBK" w:hAnsi="Times New Roman" w:cs="Times New Roman" w:hint="eastAsia"/>
          <w:sz w:val="32"/>
          <w:szCs w:val="32"/>
        </w:rPr>
        <w:t>万元、邮电费</w:t>
      </w:r>
      <w:r>
        <w:rPr>
          <w:rFonts w:ascii="Times New Roman" w:eastAsia="方正仿宋_GBK" w:hAnsi="Times New Roman" w:cs="Times New Roman" w:hint="eastAsia"/>
          <w:sz w:val="32"/>
          <w:szCs w:val="32"/>
        </w:rPr>
        <w:t>8.79</w:t>
      </w:r>
      <w:r>
        <w:rPr>
          <w:rFonts w:ascii="Times New Roman" w:eastAsia="方正仿宋_GBK" w:hAnsi="Times New Roman" w:cs="Times New Roman" w:hint="eastAsia"/>
          <w:sz w:val="32"/>
          <w:szCs w:val="32"/>
        </w:rPr>
        <w:t>万元、差旅费</w:t>
      </w:r>
      <w:r>
        <w:rPr>
          <w:rFonts w:ascii="Times New Roman" w:eastAsia="方正仿宋_GBK" w:hAnsi="Times New Roman" w:cs="Times New Roman" w:hint="eastAsia"/>
          <w:sz w:val="32"/>
          <w:szCs w:val="32"/>
        </w:rPr>
        <w:t>1.78</w:t>
      </w:r>
      <w:r>
        <w:rPr>
          <w:rFonts w:ascii="Times New Roman" w:eastAsia="方正仿宋_GBK" w:hAnsi="Times New Roman" w:cs="Times New Roman" w:hint="eastAsia"/>
          <w:sz w:val="32"/>
          <w:szCs w:val="32"/>
        </w:rPr>
        <w:t>万元、会议费</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万元、公务接待费</w:t>
      </w:r>
      <w:r>
        <w:rPr>
          <w:rFonts w:ascii="Times New Roman" w:eastAsia="方正仿宋_GBK" w:hAnsi="Times New Roman" w:cs="Times New Roman" w:hint="eastAsia"/>
          <w:sz w:val="32"/>
          <w:szCs w:val="32"/>
        </w:rPr>
        <w:t>15</w:t>
      </w:r>
      <w:r>
        <w:rPr>
          <w:rFonts w:ascii="Times New Roman" w:eastAsia="方正仿宋_GBK" w:hAnsi="Times New Roman" w:cs="Times New Roman" w:hint="eastAsia"/>
          <w:sz w:val="32"/>
          <w:szCs w:val="32"/>
        </w:rPr>
        <w:t>万元、公务车运行维护费</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万元、公车补贴费</w:t>
      </w:r>
      <w:r>
        <w:rPr>
          <w:rFonts w:ascii="Times New Roman" w:eastAsia="方正仿宋_GBK" w:hAnsi="Times New Roman" w:cs="Times New Roman" w:hint="eastAsia"/>
          <w:sz w:val="32"/>
          <w:szCs w:val="32"/>
        </w:rPr>
        <w:t>26.76</w:t>
      </w:r>
      <w:r>
        <w:rPr>
          <w:rFonts w:ascii="Times New Roman" w:eastAsia="方正仿宋_GBK" w:hAnsi="Times New Roman" w:cs="Times New Roman" w:hint="eastAsia"/>
          <w:sz w:val="32"/>
          <w:szCs w:val="32"/>
        </w:rPr>
        <w:t>万元、办公设备购置费</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万元。</w:t>
      </w:r>
    </w:p>
    <w:p w:rsidR="00B2274A" w:rsidRDefault="002343A7">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B2274A" w:rsidRDefault="002343A7">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9</w:t>
      </w:r>
      <w:r w:rsidR="001A19D6">
        <w:rPr>
          <w:rFonts w:ascii="Times New Roman" w:eastAsia="方正仿宋_GBK" w:hAnsi="Times New Roman" w:cs="Times New Roman"/>
          <w:sz w:val="32"/>
          <w:szCs w:val="32"/>
        </w:rPr>
        <w:t>年，我</w:t>
      </w:r>
      <w:proofErr w:type="gramStart"/>
      <w:r>
        <w:rPr>
          <w:rFonts w:ascii="Times New Roman" w:eastAsia="方正仿宋_GBK" w:hAnsi="Times New Roman" w:cs="Times New Roman" w:hint="eastAsia"/>
          <w:sz w:val="32"/>
          <w:szCs w:val="32"/>
        </w:rPr>
        <w:t>办</w:t>
      </w:r>
      <w:r>
        <w:rPr>
          <w:rFonts w:ascii="Times New Roman" w:eastAsia="方正仿宋_GBK" w:hAnsi="Times New Roman" w:cs="Times New Roman"/>
          <w:sz w:val="32"/>
          <w:szCs w:val="32"/>
        </w:rPr>
        <w:t>财政</w:t>
      </w:r>
      <w:proofErr w:type="gramEnd"/>
      <w:r>
        <w:rPr>
          <w:rFonts w:ascii="Times New Roman" w:eastAsia="方正仿宋_GBK" w:hAnsi="Times New Roman" w:cs="Times New Roman"/>
          <w:sz w:val="32"/>
          <w:szCs w:val="32"/>
        </w:rPr>
        <w:t>拨款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经费预算安排</w:t>
      </w:r>
      <w:r>
        <w:rPr>
          <w:rFonts w:ascii="Times New Roman" w:eastAsia="方正仿宋_GBK" w:hAnsi="Times New Roman" w:cs="Times New Roman" w:hint="eastAsia"/>
          <w:sz w:val="32"/>
          <w:szCs w:val="32"/>
        </w:rPr>
        <w:t>160</w:t>
      </w:r>
      <w:r>
        <w:rPr>
          <w:rFonts w:ascii="Times New Roman" w:eastAsia="方正仿宋_GBK" w:hAnsi="Times New Roman" w:cs="Times New Roman"/>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万元；公务用车购置及运维费</w:t>
      </w:r>
      <w:r>
        <w:rPr>
          <w:rFonts w:ascii="Times New Roman" w:eastAsia="方正仿宋_GBK" w:hAnsi="Times New Roman" w:cs="Times New Roman" w:hint="eastAsia"/>
          <w:sz w:val="32"/>
          <w:szCs w:val="32"/>
        </w:rPr>
        <w:t>70</w:t>
      </w:r>
      <w:r>
        <w:rPr>
          <w:rFonts w:ascii="Times New Roman" w:eastAsia="方正仿宋_GBK" w:hAnsi="Times New Roman" w:cs="Times New Roman"/>
          <w:sz w:val="32"/>
          <w:szCs w:val="32"/>
        </w:rPr>
        <w:t>万元（其中：公务用车购置费为</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，公务用车运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w:t>
      </w:r>
      <w:r>
        <w:rPr>
          <w:rFonts w:ascii="Times New Roman" w:eastAsia="方正仿宋_GBK" w:hAnsi="Times New Roman" w:cs="Times New Roman" w:hint="eastAsia"/>
          <w:sz w:val="32"/>
          <w:szCs w:val="32"/>
        </w:rPr>
        <w:t>70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；公务接待费</w:t>
      </w:r>
      <w:r>
        <w:rPr>
          <w:rFonts w:ascii="Times New Roman" w:eastAsia="方正仿宋_GBK" w:hAnsi="Times New Roman" w:cs="Times New Roman" w:hint="eastAsia"/>
          <w:sz w:val="32"/>
          <w:szCs w:val="32"/>
        </w:rPr>
        <w:t>90</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年</w:t>
      </w:r>
      <w:r>
        <w:rPr>
          <w:rFonts w:ascii="Times New Roman" w:eastAsia="方正仿宋_GBK" w:hAnsi="Times New Roman" w:cs="Times New Roman" w:hint="eastAsia"/>
          <w:sz w:val="32"/>
          <w:szCs w:val="32"/>
        </w:rPr>
        <w:t>相比“三公”经费减少</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万元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减少的主要原因：公务员你公车改革后，相应减少公务用车维护费。</w:t>
      </w:r>
    </w:p>
    <w:p w:rsidR="00B2274A" w:rsidRDefault="002343A7">
      <w:pPr>
        <w:ind w:firstLine="640"/>
        <w:rPr>
          <w:rFonts w:ascii="黑体" w:eastAsia="黑体" w:hAnsi="黑体" w:cs="Times New Roman"/>
          <w:sz w:val="32"/>
          <w:szCs w:val="32"/>
        </w:rPr>
      </w:pPr>
      <w:r>
        <w:rPr>
          <w:rFonts w:ascii="黑体" w:eastAsia="黑体" w:hAnsi="黑体" w:cs="Times New Roman" w:hint="eastAsia"/>
          <w:sz w:val="32"/>
          <w:szCs w:val="32"/>
        </w:rPr>
        <w:t>五、绩效预算信息</w:t>
      </w:r>
    </w:p>
    <w:p w:rsidR="00062C36" w:rsidRPr="00AB5E25" w:rsidRDefault="00062C36" w:rsidP="00062C36">
      <w:pPr>
        <w:spacing w:line="580" w:lineRule="exact"/>
        <w:ind w:firstLineChars="200" w:firstLine="643"/>
        <w:jc w:val="left"/>
        <w:rPr>
          <w:rFonts w:ascii="仿宋_GB2312" w:eastAsia="仿宋_GB2312" w:hAnsi="宋体" w:cs="方正仿宋_GBK" w:hint="eastAsia"/>
          <w:sz w:val="32"/>
          <w:szCs w:val="32"/>
        </w:rPr>
      </w:pPr>
      <w:bookmarkStart w:id="0" w:name="_Toc471398463"/>
      <w:r w:rsidRPr="00AB5E25">
        <w:rPr>
          <w:rFonts w:ascii="仿宋_GB2312" w:eastAsia="仿宋_GB2312" w:hAnsi="宋体" w:cs="仿宋" w:hint="eastAsia"/>
          <w:b/>
          <w:bCs/>
          <w:sz w:val="32"/>
          <w:szCs w:val="32"/>
        </w:rPr>
        <w:t>总体绩效目标：</w:t>
      </w:r>
      <w:r w:rsidRPr="00AB5E25">
        <w:rPr>
          <w:rFonts w:ascii="仿宋_GB2312" w:eastAsia="仿宋_GB2312" w:hAnsi="宋体" w:cs="仿宋" w:hint="eastAsia"/>
          <w:sz w:val="32"/>
          <w:szCs w:val="32"/>
        </w:rPr>
        <w:t>提升政务公开服务水平。承办大型会议，有效推动全县经济发展，保障重大决策落实，积极贯彻工作</w:t>
      </w:r>
      <w:proofErr w:type="gramStart"/>
      <w:r w:rsidRPr="00AB5E25">
        <w:rPr>
          <w:rFonts w:ascii="仿宋_GB2312" w:eastAsia="仿宋_GB2312" w:hAnsi="宋体" w:cs="仿宋" w:hint="eastAsia"/>
          <w:sz w:val="32"/>
          <w:szCs w:val="32"/>
        </w:rPr>
        <w:t>布署</w:t>
      </w:r>
      <w:proofErr w:type="gramEnd"/>
      <w:r w:rsidRPr="00AB5E25">
        <w:rPr>
          <w:rFonts w:ascii="仿宋_GB2312" w:eastAsia="仿宋_GB2312" w:hAnsi="宋体" w:cs="仿宋" w:hint="eastAsia"/>
          <w:sz w:val="32"/>
          <w:szCs w:val="32"/>
        </w:rPr>
        <w:t>，创新工作机制，提升服务水平。围绕我县中心工作，有效促进对外经贸协作和外地高科技项目合作。建设运行维护平台数据，为有效保障全县突发事件提供技术保障，确保快速、有效处置突发事件，提高事件应对实效。确保各类会议顺利进行，保障政府网络安全运行，严格保障服务流程和视频会议管理制度，切实提高技术保障能力和服务水平。采取保障县政府领导和机关</w:t>
      </w:r>
      <w:r w:rsidRPr="00AB5E25">
        <w:rPr>
          <w:rFonts w:ascii="仿宋_GB2312" w:eastAsia="仿宋_GB2312" w:hAnsi="宋体" w:cs="仿宋" w:hint="eastAsia"/>
          <w:sz w:val="32"/>
          <w:szCs w:val="32"/>
        </w:rPr>
        <w:lastRenderedPageBreak/>
        <w:t>工作办公环境的措施，提升了服务管理水平，保障了县领导和机关工作的正常运转</w:t>
      </w:r>
      <w:r w:rsidRPr="00AB5E25">
        <w:rPr>
          <w:rFonts w:ascii="仿宋_GB2312" w:eastAsia="仿宋_GB2312" w:hAnsi="宋体" w:cs="方正仿宋_GBK" w:hint="eastAsia"/>
          <w:sz w:val="32"/>
          <w:szCs w:val="32"/>
        </w:rPr>
        <w:t>。</w:t>
      </w:r>
    </w:p>
    <w:p w:rsidR="00062C36" w:rsidRPr="00AB5E25" w:rsidRDefault="00062C36" w:rsidP="00062C36">
      <w:pPr>
        <w:ind w:firstLineChars="147" w:firstLine="472"/>
        <w:jc w:val="left"/>
        <w:rPr>
          <w:rFonts w:ascii="仿宋_GB2312" w:eastAsia="仿宋_GB2312" w:hint="eastAsia"/>
          <w:b/>
          <w:sz w:val="32"/>
          <w:szCs w:val="32"/>
        </w:rPr>
      </w:pPr>
      <w:r w:rsidRPr="00AB5E25">
        <w:rPr>
          <w:rFonts w:ascii="仿宋_GB2312" w:eastAsia="仿宋_GB2312" w:hint="eastAsia"/>
          <w:b/>
          <w:sz w:val="32"/>
          <w:szCs w:val="32"/>
        </w:rPr>
        <w:t>职责分类绩效目标：</w:t>
      </w:r>
    </w:p>
    <w:p w:rsidR="00062C36" w:rsidRPr="00AB5E25" w:rsidRDefault="00062C36" w:rsidP="00062C36">
      <w:pPr>
        <w:spacing w:line="500" w:lineRule="exact"/>
        <w:ind w:firstLine="560"/>
        <w:rPr>
          <w:rFonts w:ascii="仿宋_GB2312" w:eastAsia="仿宋_GB2312" w:hint="eastAsia"/>
          <w:sz w:val="32"/>
          <w:szCs w:val="32"/>
        </w:rPr>
      </w:pPr>
      <w:r w:rsidRPr="00AB5E25">
        <w:rPr>
          <w:rFonts w:ascii="仿宋_GB2312" w:eastAsia="仿宋_GB2312" w:hint="eastAsia"/>
          <w:sz w:val="32"/>
          <w:szCs w:val="32"/>
        </w:rPr>
        <w:t xml:space="preserve"> 一、政务服务与政务管理：政务公开、县政府大型会议管理、政务督查督办、打击走私事务、政务联络工作突出政务、加强事务管理，力求重点工作出精品。预计起草了全县招商引资、项目建设、工业突破、全民创业、城镇建设等9项工作要点难点工作求突破、基础工作有创新、常规工作见特色。以机关干部工作作风为依据，增强了工作综合服务实力. 不断提高信息公开工作业务水平；协助县领导组织会议决定事项的落实；督办重大决策落实；协调组织打私事</w:t>
      </w:r>
      <w:proofErr w:type="gramStart"/>
      <w:r w:rsidRPr="00AB5E25">
        <w:rPr>
          <w:rFonts w:ascii="仿宋_GB2312" w:eastAsia="仿宋_GB2312" w:hint="eastAsia"/>
          <w:sz w:val="32"/>
          <w:szCs w:val="32"/>
        </w:rPr>
        <w:t>务</w:t>
      </w:r>
      <w:proofErr w:type="gramEnd"/>
      <w:r w:rsidRPr="00AB5E25">
        <w:rPr>
          <w:rFonts w:ascii="仿宋_GB2312" w:eastAsia="仿宋_GB2312" w:hint="eastAsia"/>
          <w:sz w:val="32"/>
          <w:szCs w:val="32"/>
        </w:rPr>
        <w:t>，增大打私力度；做好县际间政务往来与经济交流工作，负责县级领导公务活动的接待安排。提高政务公开服务水平，努力完成各项任务。</w:t>
      </w:r>
    </w:p>
    <w:p w:rsidR="00062C36" w:rsidRPr="00AB5E25" w:rsidRDefault="00062C36" w:rsidP="00062C36">
      <w:pPr>
        <w:spacing w:line="500" w:lineRule="exact"/>
        <w:ind w:firstLine="560"/>
        <w:rPr>
          <w:rFonts w:ascii="仿宋_GB2312" w:eastAsia="仿宋_GB2312" w:hint="eastAsia"/>
          <w:sz w:val="32"/>
          <w:szCs w:val="32"/>
        </w:rPr>
      </w:pPr>
      <w:r w:rsidRPr="00AB5E25">
        <w:rPr>
          <w:rFonts w:ascii="仿宋_GB2312" w:eastAsia="仿宋_GB2312" w:hint="eastAsia"/>
          <w:sz w:val="32"/>
          <w:szCs w:val="32"/>
        </w:rPr>
        <w:t xml:space="preserve">  二、应急管理：负责县政府值班工作，及时报告重大情况，协助县领导组织处理突发事件，保障应急平台安全运行，有效保证应急突发事件应对处置，完善应急体系，有效组织应急演练，进一步提升应急工作水平。县政府值班工作，及时报告重要情况，传达和落实县领导重要指示，协助县领导完成组织处理突发事件应急处置工作。通过我们的工作使应急管理更加有序。组织各部门修订完善应急预案。组织开展“防震减灾宣传月”活动，普及防震减灾知识。组织县医院、消防队、开发区、安监局等单位开展安全事故应急演练，提高了应急工作能力。协调有关部门做好防汛工作。预计储备20万个编织袋、10吨铁丝、6万根木桩等防汛物资。</w:t>
      </w:r>
    </w:p>
    <w:p w:rsidR="00062C36" w:rsidRPr="00AB5E25" w:rsidRDefault="00062C36" w:rsidP="00062C36">
      <w:pPr>
        <w:spacing w:line="500" w:lineRule="exact"/>
        <w:ind w:firstLineChars="300" w:firstLine="960"/>
        <w:rPr>
          <w:rFonts w:ascii="仿宋_GB2312" w:eastAsia="仿宋_GB2312" w:hint="eastAsia"/>
          <w:sz w:val="32"/>
          <w:szCs w:val="32"/>
        </w:rPr>
      </w:pPr>
      <w:r w:rsidRPr="00AB5E25">
        <w:rPr>
          <w:rFonts w:ascii="仿宋_GB2312" w:eastAsia="仿宋_GB2312" w:hint="eastAsia"/>
          <w:sz w:val="32"/>
          <w:szCs w:val="32"/>
        </w:rPr>
        <w:lastRenderedPageBreak/>
        <w:t>三、政务信息工作和机关电子政务工作确保各类会议顺利进行，保障政府网络系统安全运行，严格保障服务流程和视频会议管理制度，切实提高技术保障能力和服务水平，确保各类会议顺利进行，保障政府网络安全运行。政务信息工作和机关电子政务工作，政务信息工作预计全年向市政府办公室上报调研、信息100篇。编辑《政务信息》、《内部通报》和《媒体信息快报》等内部刊物150期。</w:t>
      </w:r>
    </w:p>
    <w:p w:rsidR="00062C36" w:rsidRPr="00AB5E25" w:rsidRDefault="00062C36" w:rsidP="00062C36">
      <w:pPr>
        <w:spacing w:line="500" w:lineRule="exact"/>
        <w:ind w:firstLine="560"/>
        <w:rPr>
          <w:rFonts w:ascii="仿宋_GB2312" w:eastAsia="仿宋_GB2312" w:hint="eastAsia"/>
          <w:sz w:val="32"/>
          <w:szCs w:val="32"/>
        </w:rPr>
      </w:pPr>
      <w:r w:rsidRPr="00AB5E25">
        <w:rPr>
          <w:rFonts w:ascii="仿宋_GB2312" w:eastAsia="仿宋_GB2312" w:hint="eastAsia"/>
          <w:sz w:val="32"/>
          <w:szCs w:val="32"/>
        </w:rPr>
        <w:t xml:space="preserve">  四、综合业务、事务管理协助县政府领导组织起草或审核以县政府、县政府办公室名义发布的公文；办理县政府各部门和乡镇报送的文电；对县政府部门间出现的争议问题提出处理意见；组织起草县政府领导重要讲话及其他重要文稿；组织专题调研；承办县政府领导交办的其他事项。采取保障县政府领导和机关工作办公环境的措施，提升了服务管理水平，保障了县领导和机关工作的正常运转。我单位实行政务值班制，实行主副班值班制度，确保24小时有人在岗、电话24小时有人接听。完善并严格执行公文收发登记、签批、交办制度，全年预计处理上级内部明传电报、传真800件次，办结率百分之百。县长热线受理群众合理诉求电话预计达到600个，办结率超过96%，群众满意率达到98%以上。各项综合事务管理工作力争按时答复率达到100%，满意率达到90%以上。</w:t>
      </w:r>
    </w:p>
    <w:p w:rsidR="00B2274A" w:rsidRDefault="002343A7">
      <w:pPr>
        <w:rPr>
          <w:rFonts w:ascii="楷体_GB2312" w:eastAsia="楷体_GB2312" w:hAnsi="Times New Roman" w:cs="Times New Roman"/>
          <w:b/>
          <w:sz w:val="32"/>
          <w:szCs w:val="24"/>
        </w:rPr>
      </w:pPr>
      <w:bookmarkStart w:id="1" w:name="_GoBack"/>
      <w:bookmarkEnd w:id="1"/>
      <w:r>
        <w:rPr>
          <w:rFonts w:ascii="楷体_GB2312" w:eastAsia="楷体_GB2312" w:hAnsi="黑体" w:cs="Times New Roman" w:hint="eastAsia"/>
          <w:b/>
          <w:sz w:val="32"/>
          <w:szCs w:val="32"/>
        </w:rPr>
        <w:t>部门职责及工作活动绩效目标指标：</w:t>
      </w:r>
    </w:p>
    <w:p w:rsidR="00B2274A" w:rsidRDefault="002343A7">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部门职责-工作活动绩效目标</w:t>
      </w:r>
      <w:bookmarkEnd w:id="0"/>
    </w:p>
    <w:tbl>
      <w:tblPr>
        <w:tblW w:w="140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979"/>
        <w:gridCol w:w="1417"/>
        <w:gridCol w:w="3686"/>
        <w:gridCol w:w="2982"/>
        <w:gridCol w:w="922"/>
        <w:gridCol w:w="173"/>
        <w:gridCol w:w="600"/>
        <w:gridCol w:w="701"/>
        <w:gridCol w:w="737"/>
        <w:gridCol w:w="737"/>
        <w:gridCol w:w="88"/>
      </w:tblGrid>
      <w:tr w:rsidR="00B2274A">
        <w:trPr>
          <w:gridAfter w:val="1"/>
          <w:wAfter w:w="88" w:type="dxa"/>
          <w:trHeight w:val="227"/>
          <w:tblHeader/>
          <w:jc w:val="center"/>
        </w:trPr>
        <w:tc>
          <w:tcPr>
            <w:tcW w:w="10986" w:type="dxa"/>
            <w:gridSpan w:val="5"/>
            <w:tcBorders>
              <w:top w:val="single" w:sz="6" w:space="0" w:color="FFFFFF"/>
              <w:left w:val="single" w:sz="6" w:space="0" w:color="FFFFFF"/>
              <w:right w:val="single" w:sz="6" w:space="0" w:color="FFFFFF"/>
            </w:tcBorders>
            <w:shd w:val="clear" w:color="auto" w:fill="auto"/>
            <w:vAlign w:val="center"/>
          </w:tcPr>
          <w:p w:rsidR="00B2274A" w:rsidRDefault="002343A7">
            <w:pPr>
              <w:spacing w:line="300" w:lineRule="exact"/>
              <w:jc w:val="left"/>
              <w:rPr>
                <w:rFonts w:ascii="方正小标宋_GBK" w:eastAsia="方正小标宋_GBK" w:hAnsi="Calibri" w:cs="Times New Roman"/>
                <w:sz w:val="24"/>
                <w:highlight w:val="yellow"/>
              </w:rPr>
            </w:pPr>
            <w:r>
              <w:rPr>
                <w:rFonts w:ascii="方正仿宋_GBK" w:eastAsia="方正仿宋_GBK" w:hAnsi="方正仿宋_GBK" w:cs="方正仿宋_GBK" w:hint="eastAsia"/>
              </w:rPr>
              <w:t>434威县人民政府办公室</w:t>
            </w:r>
          </w:p>
        </w:tc>
        <w:tc>
          <w:tcPr>
            <w:tcW w:w="2948" w:type="dxa"/>
            <w:gridSpan w:val="5"/>
            <w:tcBorders>
              <w:top w:val="single" w:sz="6" w:space="0" w:color="FFFFFF"/>
              <w:left w:val="single" w:sz="6" w:space="0" w:color="FFFFFF"/>
              <w:right w:val="single" w:sz="6" w:space="0" w:color="FFFFFF"/>
            </w:tcBorders>
            <w:shd w:val="clear" w:color="auto" w:fill="auto"/>
            <w:vAlign w:val="center"/>
          </w:tcPr>
          <w:p w:rsidR="00B2274A" w:rsidRDefault="002343A7">
            <w:pPr>
              <w:spacing w:line="300" w:lineRule="exact"/>
              <w:jc w:val="right"/>
              <w:rPr>
                <w:rFonts w:ascii="方正书宋_GBK" w:eastAsia="方正书宋_GBK" w:hAnsi="Calibri" w:cs="Times New Roman"/>
                <w:sz w:val="24"/>
                <w:highlight w:val="yellow"/>
              </w:rPr>
            </w:pPr>
            <w:r>
              <w:rPr>
                <w:rFonts w:ascii="方正仿宋_GBK" w:eastAsia="方正仿宋_GBK" w:hAnsi="方正仿宋_GBK" w:cs="方正仿宋_GBK" w:hint="eastAsia"/>
              </w:rPr>
              <w:t>单位：万元</w:t>
            </w:r>
          </w:p>
        </w:tc>
      </w:tr>
      <w:tr w:rsidR="00B2274A">
        <w:trPr>
          <w:trHeight w:val="227"/>
          <w:tblHeader/>
          <w:jc w:val="center"/>
        </w:trPr>
        <w:tc>
          <w:tcPr>
            <w:tcW w:w="1979" w:type="dxa"/>
            <w:vMerge w:val="restart"/>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仿宋_GB2312" w:eastAsia="仿宋_GB2312"/>
                <w:b/>
                <w:bCs/>
              </w:rPr>
            </w:pPr>
            <w:r>
              <w:rPr>
                <w:rFonts w:ascii="仿宋_GB2312" w:eastAsia="仿宋_GB2312" w:cs="方正书宋_GBK" w:hint="eastAsia"/>
                <w:b/>
                <w:bCs/>
              </w:rPr>
              <w:t>职责活动</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仿宋_GB2312" w:eastAsia="仿宋_GB2312"/>
                <w:b/>
                <w:bCs/>
              </w:rPr>
            </w:pPr>
            <w:r>
              <w:rPr>
                <w:rFonts w:ascii="仿宋_GB2312" w:eastAsia="仿宋_GB2312" w:cs="方正书宋_GBK" w:hint="eastAsia"/>
                <w:b/>
                <w:bCs/>
              </w:rPr>
              <w:t>年度预算数</w:t>
            </w:r>
          </w:p>
        </w:tc>
        <w:tc>
          <w:tcPr>
            <w:tcW w:w="3686" w:type="dxa"/>
            <w:vMerge w:val="restart"/>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仿宋_GB2312" w:eastAsia="仿宋_GB2312"/>
                <w:b/>
                <w:bCs/>
              </w:rPr>
            </w:pPr>
            <w:r>
              <w:rPr>
                <w:rFonts w:ascii="仿宋_GB2312" w:eastAsia="仿宋_GB2312" w:cs="方正书宋_GBK" w:hint="eastAsia"/>
                <w:b/>
                <w:bCs/>
              </w:rPr>
              <w:t>内容描述</w:t>
            </w:r>
          </w:p>
        </w:tc>
        <w:tc>
          <w:tcPr>
            <w:tcW w:w="2982" w:type="dxa"/>
            <w:vMerge w:val="restart"/>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仿宋_GB2312" w:eastAsia="仿宋_GB2312"/>
                <w:b/>
                <w:bCs/>
              </w:rPr>
            </w:pPr>
            <w:r>
              <w:rPr>
                <w:rFonts w:ascii="仿宋_GB2312" w:eastAsia="仿宋_GB2312" w:cs="方正书宋_GBK" w:hint="eastAsia"/>
                <w:b/>
                <w:bCs/>
              </w:rPr>
              <w:t>绩效目标</w:t>
            </w:r>
          </w:p>
        </w:tc>
        <w:tc>
          <w:tcPr>
            <w:tcW w:w="1095" w:type="dxa"/>
            <w:gridSpan w:val="2"/>
            <w:vMerge w:val="restart"/>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仿宋_GB2312" w:eastAsia="仿宋_GB2312"/>
                <w:b/>
                <w:bCs/>
              </w:rPr>
            </w:pPr>
            <w:r>
              <w:rPr>
                <w:rFonts w:ascii="仿宋_GB2312" w:eastAsia="仿宋_GB2312" w:cs="方正书宋_GBK" w:hint="eastAsia"/>
                <w:b/>
                <w:bCs/>
              </w:rPr>
              <w:t>绩效指标</w:t>
            </w:r>
          </w:p>
        </w:tc>
        <w:tc>
          <w:tcPr>
            <w:tcW w:w="2863" w:type="dxa"/>
            <w:gridSpan w:val="5"/>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仿宋_GB2312" w:eastAsia="仿宋_GB2312"/>
                <w:b/>
                <w:bCs/>
              </w:rPr>
            </w:pPr>
            <w:r>
              <w:rPr>
                <w:rFonts w:ascii="仿宋_GB2312" w:eastAsia="仿宋_GB2312" w:cs="方正书宋_GBK" w:hint="eastAsia"/>
                <w:b/>
                <w:bCs/>
              </w:rPr>
              <w:t>评价标准</w:t>
            </w:r>
          </w:p>
        </w:tc>
      </w:tr>
      <w:tr w:rsidR="00B2274A">
        <w:trPr>
          <w:trHeight w:val="227"/>
          <w:tblHeader/>
          <w:jc w:val="center"/>
        </w:trPr>
        <w:tc>
          <w:tcPr>
            <w:tcW w:w="1979" w:type="dxa"/>
            <w:vMerge/>
            <w:tcBorders>
              <w:top w:val="single" w:sz="6" w:space="0" w:color="000000"/>
              <w:left w:val="single" w:sz="6" w:space="0" w:color="000000"/>
              <w:bottom w:val="single" w:sz="6" w:space="0" w:color="000000"/>
              <w:right w:val="single" w:sz="6" w:space="0" w:color="000000"/>
            </w:tcBorders>
            <w:vAlign w:val="center"/>
          </w:tcPr>
          <w:p w:rsidR="00B2274A" w:rsidRDefault="00B2274A">
            <w:pPr>
              <w:spacing w:line="300" w:lineRule="exact"/>
              <w:jc w:val="left"/>
              <w:outlineLvl w:val="0"/>
              <w:rPr>
                <w:rFonts w:ascii="仿宋_GB2312" w:eastAsia="仿宋_GB2312"/>
              </w:rPr>
            </w:pPr>
          </w:p>
        </w:tc>
        <w:tc>
          <w:tcPr>
            <w:tcW w:w="1417" w:type="dxa"/>
            <w:vMerge/>
            <w:tcBorders>
              <w:top w:val="single" w:sz="6" w:space="0" w:color="000000"/>
              <w:left w:val="single" w:sz="6" w:space="0" w:color="000000"/>
              <w:bottom w:val="single" w:sz="6" w:space="0" w:color="000000"/>
              <w:right w:val="single" w:sz="6" w:space="0" w:color="000000"/>
            </w:tcBorders>
            <w:vAlign w:val="center"/>
          </w:tcPr>
          <w:p w:rsidR="00B2274A" w:rsidRDefault="00B2274A">
            <w:pPr>
              <w:spacing w:line="300" w:lineRule="exact"/>
              <w:jc w:val="left"/>
              <w:outlineLvl w:val="0"/>
              <w:rPr>
                <w:rFonts w:ascii="仿宋_GB2312" w:eastAsia="仿宋_GB2312"/>
              </w:rPr>
            </w:pPr>
          </w:p>
        </w:tc>
        <w:tc>
          <w:tcPr>
            <w:tcW w:w="3686" w:type="dxa"/>
            <w:vMerge/>
            <w:tcBorders>
              <w:top w:val="single" w:sz="6" w:space="0" w:color="000000"/>
              <w:left w:val="single" w:sz="6" w:space="0" w:color="000000"/>
              <w:bottom w:val="single" w:sz="6" w:space="0" w:color="000000"/>
              <w:right w:val="single" w:sz="6" w:space="0" w:color="000000"/>
            </w:tcBorders>
            <w:vAlign w:val="center"/>
          </w:tcPr>
          <w:p w:rsidR="00B2274A" w:rsidRDefault="00B2274A">
            <w:pPr>
              <w:spacing w:line="300" w:lineRule="exact"/>
              <w:jc w:val="left"/>
              <w:outlineLvl w:val="0"/>
              <w:rPr>
                <w:rFonts w:ascii="仿宋_GB2312" w:eastAsia="仿宋_GB2312"/>
              </w:rPr>
            </w:pPr>
          </w:p>
        </w:tc>
        <w:tc>
          <w:tcPr>
            <w:tcW w:w="2982" w:type="dxa"/>
            <w:vMerge/>
            <w:tcBorders>
              <w:top w:val="single" w:sz="6" w:space="0" w:color="000000"/>
              <w:left w:val="single" w:sz="6" w:space="0" w:color="000000"/>
              <w:bottom w:val="single" w:sz="6" w:space="0" w:color="000000"/>
              <w:right w:val="single" w:sz="6" w:space="0" w:color="000000"/>
            </w:tcBorders>
            <w:vAlign w:val="center"/>
          </w:tcPr>
          <w:p w:rsidR="00B2274A" w:rsidRDefault="00B2274A">
            <w:pPr>
              <w:spacing w:line="300" w:lineRule="exact"/>
              <w:jc w:val="left"/>
              <w:outlineLvl w:val="0"/>
              <w:rPr>
                <w:rFonts w:ascii="仿宋_GB2312" w:eastAsia="仿宋_GB2312"/>
              </w:rPr>
            </w:pPr>
          </w:p>
        </w:tc>
        <w:tc>
          <w:tcPr>
            <w:tcW w:w="1095" w:type="dxa"/>
            <w:gridSpan w:val="2"/>
            <w:vMerge/>
            <w:tcBorders>
              <w:top w:val="single" w:sz="6" w:space="0" w:color="000000"/>
              <w:left w:val="single" w:sz="6" w:space="0" w:color="000000"/>
              <w:bottom w:val="single" w:sz="6" w:space="0" w:color="000000"/>
              <w:right w:val="single" w:sz="6" w:space="0" w:color="000000"/>
            </w:tcBorders>
            <w:vAlign w:val="center"/>
          </w:tcPr>
          <w:p w:rsidR="00B2274A" w:rsidRDefault="00B2274A">
            <w:pPr>
              <w:spacing w:line="300" w:lineRule="exact"/>
              <w:jc w:val="left"/>
              <w:outlineLvl w:val="0"/>
              <w:rPr>
                <w:rFonts w:ascii="仿宋_GB2312" w:eastAsia="仿宋_GB2312"/>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仿宋_GB2312" w:eastAsia="仿宋_GB2312"/>
                <w:b/>
                <w:bCs/>
              </w:rPr>
            </w:pPr>
            <w:r>
              <w:rPr>
                <w:rFonts w:ascii="仿宋_GB2312" w:eastAsia="仿宋_GB2312" w:cs="方正书宋_GBK" w:hint="eastAsia"/>
                <w:b/>
                <w:bCs/>
              </w:rPr>
              <w:t>优</w:t>
            </w:r>
          </w:p>
        </w:tc>
        <w:tc>
          <w:tcPr>
            <w:tcW w:w="701"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仿宋_GB2312" w:eastAsia="仿宋_GB2312"/>
                <w:b/>
                <w:bCs/>
              </w:rPr>
            </w:pPr>
            <w:r>
              <w:rPr>
                <w:rFonts w:ascii="仿宋_GB2312" w:eastAsia="仿宋_GB2312" w:cs="方正书宋_GBK" w:hint="eastAsia"/>
                <w:b/>
                <w:bCs/>
              </w:rPr>
              <w:t>良</w:t>
            </w:r>
          </w:p>
        </w:tc>
        <w:tc>
          <w:tcPr>
            <w:tcW w:w="73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仿宋_GB2312" w:eastAsia="仿宋_GB2312"/>
                <w:b/>
                <w:bCs/>
              </w:rPr>
            </w:pPr>
            <w:r>
              <w:rPr>
                <w:rFonts w:ascii="仿宋_GB2312" w:eastAsia="仿宋_GB2312" w:cs="方正书宋_GBK" w:hint="eastAsia"/>
                <w:b/>
                <w:bCs/>
              </w:rPr>
              <w:t>中</w:t>
            </w:r>
          </w:p>
        </w:tc>
        <w:tc>
          <w:tcPr>
            <w:tcW w:w="82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仿宋_GB2312" w:eastAsia="仿宋_GB2312"/>
                <w:b/>
                <w:bCs/>
              </w:rPr>
            </w:pPr>
            <w:r>
              <w:rPr>
                <w:rFonts w:ascii="仿宋_GB2312" w:eastAsia="仿宋_GB2312" w:cs="方正书宋_GBK" w:hint="eastAsia"/>
                <w:b/>
                <w:bCs/>
              </w:rPr>
              <w:t>差</w:t>
            </w:r>
          </w:p>
        </w:tc>
      </w:tr>
      <w:tr w:rsidR="00B2274A">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b/>
                <w:bCs/>
              </w:rPr>
            </w:pPr>
            <w:r>
              <w:rPr>
                <w:rFonts w:ascii="方正仿宋_GBK" w:eastAsia="方正仿宋_GBK" w:hAnsi="方正仿宋_GBK" w:cs="方正仿宋_GBK" w:hint="eastAsia"/>
              </w:rPr>
              <w:lastRenderedPageBreak/>
              <w:t>性别比出生人口性别比治理联合执法检查和“两非”案件查处</w:t>
            </w:r>
          </w:p>
        </w:tc>
        <w:tc>
          <w:tcPr>
            <w:tcW w:w="141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b/>
                <w:bCs/>
              </w:rPr>
              <w:t>2</w:t>
            </w:r>
          </w:p>
        </w:tc>
        <w:tc>
          <w:tcPr>
            <w:tcW w:w="3686"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rPr>
            </w:pPr>
            <w:r>
              <w:rPr>
                <w:rFonts w:ascii="方正仿宋_GBK" w:eastAsia="方正仿宋_GBK" w:hAnsi="方正仿宋_GBK" w:cs="方正仿宋_GBK" w:hint="eastAsia"/>
              </w:rPr>
              <w:t>负责全县性别比工作的整体规划、组织、协调和督导，摸排案件线索，接收群众举报，开展与周边县市的区域协作，对发现的案件组织卫生计生、公安、市场管理等部门进行联合查处。</w:t>
            </w:r>
          </w:p>
        </w:tc>
        <w:tc>
          <w:tcPr>
            <w:tcW w:w="2982"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rPr>
            </w:pPr>
            <w:r>
              <w:rPr>
                <w:rFonts w:ascii="方正仿宋_GBK" w:eastAsia="方正仿宋_GBK" w:hAnsi="方正仿宋_GBK" w:cs="方正仿宋_GBK" w:hint="eastAsia"/>
              </w:rPr>
              <w:t>完成省市下达的综合性考核指标，全县出生人口性别比控制目标达到省市要求，在省市对我县的考核中</w:t>
            </w:r>
            <w:proofErr w:type="gramStart"/>
            <w:r>
              <w:rPr>
                <w:rFonts w:ascii="方正仿宋_GBK" w:eastAsia="方正仿宋_GBK" w:hAnsi="方正仿宋_GBK" w:cs="方正仿宋_GBK" w:hint="eastAsia"/>
              </w:rPr>
              <w:t>不</w:t>
            </w:r>
            <w:proofErr w:type="gramEnd"/>
            <w:r>
              <w:rPr>
                <w:rFonts w:ascii="方正仿宋_GBK" w:eastAsia="方正仿宋_GBK" w:hAnsi="方正仿宋_GBK" w:cs="方正仿宋_GBK" w:hint="eastAsia"/>
              </w:rPr>
              <w:t>失分。每年组织卫计、市场、公安部门开展4次联合执法活动。活动覆盖所有乡级以上机构和部分个体机构。</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rPr>
            </w:pPr>
            <w:r>
              <w:rPr>
                <w:rFonts w:ascii="方正仿宋_GBK" w:eastAsia="方正仿宋_GBK" w:hAnsi="方正仿宋_GBK" w:cs="方正仿宋_GBK" w:hint="eastAsia"/>
              </w:rPr>
              <w:t>任务完成率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90%以上</w:t>
            </w:r>
          </w:p>
        </w:tc>
        <w:tc>
          <w:tcPr>
            <w:tcW w:w="701"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80%以上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70%以上</w:t>
            </w:r>
          </w:p>
        </w:tc>
        <w:tc>
          <w:tcPr>
            <w:tcW w:w="82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50%以下</w:t>
            </w:r>
          </w:p>
        </w:tc>
      </w:tr>
      <w:tr w:rsidR="00B2274A">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b/>
                <w:bCs/>
              </w:rPr>
            </w:pPr>
            <w:r>
              <w:rPr>
                <w:rFonts w:ascii="方正仿宋_GBK" w:eastAsia="方正仿宋_GBK" w:hAnsi="方正仿宋_GBK" w:cs="方正仿宋_GBK" w:hint="eastAsia"/>
              </w:rPr>
              <w:t>人防办办公及宣传经费</w:t>
            </w:r>
          </w:p>
        </w:tc>
        <w:tc>
          <w:tcPr>
            <w:tcW w:w="141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b/>
                <w:bCs/>
              </w:rPr>
              <w:t>2</w:t>
            </w:r>
          </w:p>
        </w:tc>
        <w:tc>
          <w:tcPr>
            <w:tcW w:w="3686"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rPr>
            </w:pPr>
            <w:r>
              <w:rPr>
                <w:rFonts w:ascii="方正仿宋_GBK" w:eastAsia="方正仿宋_GBK" w:hAnsi="方正仿宋_GBK" w:cs="方正仿宋_GBK" w:hint="eastAsia"/>
              </w:rPr>
              <w:t>2019年，需重点4个方面经费保障：一是人防办公经费。2019年是人防工程集中开工建设年，预计建设面积超过10000平方米，开展质量监督、竣工验收、日常监督经费将大幅度增加，加之，2019年是加强人防演练和重大行动处置演习的重要一年，加强上级交办的日常训练、专项演习等任务；根据上级人防要求，各级教育主管部门要配合人民防空主管部门在初级中学开展“人民防空知识教育”，我县计划聘请专家分2批对全县初中生开展防空防灾+知识培训，提升中小学应急自救能力。继续加大人防知识宣传教育，重点针对机关干部职工、生活小区群众，印制并发放人防知识手册。</w:t>
            </w:r>
          </w:p>
        </w:tc>
        <w:tc>
          <w:tcPr>
            <w:tcW w:w="2982" w:type="dxa"/>
            <w:tcBorders>
              <w:top w:val="single" w:sz="6" w:space="0" w:color="000000"/>
              <w:left w:val="single" w:sz="6" w:space="0" w:color="000000"/>
              <w:bottom w:val="single" w:sz="6" w:space="0" w:color="000000"/>
              <w:right w:val="single" w:sz="6" w:space="0" w:color="000000"/>
            </w:tcBorders>
            <w:vAlign w:val="center"/>
          </w:tcPr>
          <w:p w:rsidR="00B2274A" w:rsidRDefault="002343A7">
            <w:pPr>
              <w:pStyle w:val="a7"/>
              <w:rPr>
                <w:rFonts w:ascii="方正仿宋_GBK" w:eastAsia="方正仿宋_GBK" w:hAnsi="方正仿宋_GBK" w:cs="方正仿宋_GBK"/>
                <w:sz w:val="21"/>
                <w:szCs w:val="21"/>
              </w:rPr>
            </w:pPr>
            <w:r>
              <w:rPr>
                <w:rFonts w:ascii="方正仿宋_GBK" w:eastAsia="方正仿宋_GBK" w:hAnsi="方正仿宋_GBK" w:cs="方正仿宋_GBK" w:hint="eastAsia"/>
                <w:sz w:val="21"/>
                <w:szCs w:val="21"/>
              </w:rPr>
              <w:t>通过宣传教育工作，加强防范意识，建设保障人防体系.</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rPr>
            </w:pPr>
            <w:r>
              <w:rPr>
                <w:rFonts w:ascii="方正仿宋_GBK" w:eastAsia="方正仿宋_GBK" w:hAnsi="方正仿宋_GBK" w:cs="方正仿宋_GBK" w:hint="eastAsia"/>
              </w:rPr>
              <w:t>任务完成率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90%以上</w:t>
            </w:r>
          </w:p>
        </w:tc>
        <w:tc>
          <w:tcPr>
            <w:tcW w:w="701"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80%以上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70%以上</w:t>
            </w:r>
          </w:p>
        </w:tc>
        <w:tc>
          <w:tcPr>
            <w:tcW w:w="82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50%以下</w:t>
            </w:r>
          </w:p>
        </w:tc>
      </w:tr>
      <w:tr w:rsidR="00B2274A">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b/>
                <w:bCs/>
              </w:rPr>
            </w:pPr>
            <w:r>
              <w:rPr>
                <w:rFonts w:ascii="方正仿宋_GBK" w:eastAsia="方正仿宋_GBK" w:hAnsi="方正仿宋_GBK" w:cs="方正仿宋_GBK" w:hint="eastAsia"/>
              </w:rPr>
              <w:lastRenderedPageBreak/>
              <w:t>金融办农村金融改革、“两权”抵押贷款工作经费及举报奖励</w:t>
            </w:r>
          </w:p>
        </w:tc>
        <w:tc>
          <w:tcPr>
            <w:tcW w:w="141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b/>
                <w:bCs/>
              </w:rPr>
              <w:t>5</w:t>
            </w:r>
          </w:p>
        </w:tc>
        <w:tc>
          <w:tcPr>
            <w:tcW w:w="3686"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rPr>
            </w:pPr>
            <w:r>
              <w:rPr>
                <w:rFonts w:ascii="方正仿宋_GBK" w:eastAsia="方正仿宋_GBK" w:hAnsi="方正仿宋_GBK" w:cs="方正仿宋_GBK" w:hint="eastAsia"/>
              </w:rPr>
              <w:t>推进农村金融改革创新工作，继续学习先进地区经验和做法，在土地承包经营权、林权等抵押贷款的基础上，进一步扩大有效抵押物（比如说农村住房、农机具等其他产权）贷款覆盖面，指导涉农金融机构（农联社、邢台银行、农村商业银行以及其他银行）开展农村土地承包经营权和农村房屋产权抵押贷款工作，督促各相关银行制定符合威县农村、农业产业实际的银行贷款产品，计划外出考察学习10次以上。加快推进农村信用与体系建设工作，除了农民信用采集的基础上，扩大信用体系大数据采集范围，比如企业信用信息采集，全年计划下乡进村100余次，指导各乡镇对辖区内的剩余村镇农户、企业的信用信息进行采集。同时进行信用信息大数据网络系统的保养和维护。</w:t>
            </w:r>
          </w:p>
        </w:tc>
        <w:tc>
          <w:tcPr>
            <w:tcW w:w="2982"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rPr>
            </w:pPr>
            <w:r>
              <w:rPr>
                <w:rFonts w:ascii="方正仿宋_GBK" w:eastAsia="方正仿宋_GBK" w:hAnsi="方正仿宋_GBK" w:cs="方正仿宋_GBK" w:hint="eastAsia"/>
              </w:rPr>
              <w:t>农村金融改革创新、农村信用与体系建设、农村“两权”抵押贷款工作将加快农村金融服务平台建设，推动农村金融产品和农村金融服务模式创新，进一步完善的农村信用体系和农村金融服务体系。</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rPr>
            </w:pPr>
            <w:r>
              <w:rPr>
                <w:rFonts w:ascii="方正仿宋_GBK" w:eastAsia="方正仿宋_GBK" w:hAnsi="方正仿宋_GBK" w:cs="方正仿宋_GBK" w:hint="eastAsia"/>
              </w:rPr>
              <w:t>任务完成率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90%以上</w:t>
            </w:r>
          </w:p>
        </w:tc>
        <w:tc>
          <w:tcPr>
            <w:tcW w:w="701"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80%以上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70%以上</w:t>
            </w:r>
          </w:p>
        </w:tc>
        <w:tc>
          <w:tcPr>
            <w:tcW w:w="82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rPr>
            </w:pPr>
            <w:r>
              <w:rPr>
                <w:rFonts w:ascii="方正仿宋_GBK" w:eastAsia="方正仿宋_GBK" w:hAnsi="方正仿宋_GBK" w:cs="方正仿宋_GBK" w:hint="eastAsia"/>
              </w:rPr>
              <w:t>50%以下</w:t>
            </w:r>
          </w:p>
        </w:tc>
      </w:tr>
      <w:tr w:rsidR="00B2274A">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b/>
                <w:bCs/>
                <w:szCs w:val="21"/>
              </w:rPr>
            </w:pPr>
            <w:r>
              <w:rPr>
                <w:rFonts w:ascii="方正仿宋_GBK" w:eastAsia="方正仿宋_GBK" w:hAnsi="方正仿宋_GBK" w:cs="方正仿宋_GBK" w:hint="eastAsia"/>
                <w:szCs w:val="21"/>
              </w:rPr>
              <w:t>综合治税公用专项经费</w:t>
            </w:r>
          </w:p>
        </w:tc>
        <w:tc>
          <w:tcPr>
            <w:tcW w:w="141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5</w:t>
            </w:r>
          </w:p>
        </w:tc>
        <w:tc>
          <w:tcPr>
            <w:tcW w:w="3686"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color w:val="333333"/>
                <w:szCs w:val="21"/>
                <w:shd w:val="clear" w:color="auto" w:fill="FFFFFF"/>
              </w:rPr>
              <w:t>为确保完成全年财税收入任务，按照县政府工作安排，财税综合协调工作主要包括，一是负责协调督促财税工作各责任单位研究制定并完成全年各项目标任务；二是按县政府统一安排，定期召集财税工作成员单位，研究推进收入均</w:t>
            </w:r>
            <w:r>
              <w:rPr>
                <w:rFonts w:ascii="方正仿宋_GBK" w:eastAsia="方正仿宋_GBK" w:hAnsi="方正仿宋_GBK" w:cs="方正仿宋_GBK" w:hint="eastAsia"/>
                <w:color w:val="333333"/>
                <w:szCs w:val="21"/>
                <w:shd w:val="clear" w:color="auto" w:fill="FFFFFF"/>
              </w:rPr>
              <w:lastRenderedPageBreak/>
              <w:t>衡入库和综合治税措施；三是定期对招商、发改、</w:t>
            </w:r>
            <w:proofErr w:type="gramStart"/>
            <w:r>
              <w:rPr>
                <w:rFonts w:ascii="方正仿宋_GBK" w:eastAsia="方正仿宋_GBK" w:hAnsi="方正仿宋_GBK" w:cs="方正仿宋_GBK" w:hint="eastAsia"/>
                <w:color w:val="333333"/>
                <w:szCs w:val="21"/>
                <w:shd w:val="clear" w:color="auto" w:fill="FFFFFF"/>
              </w:rPr>
              <w:t>规</w:t>
            </w:r>
            <w:proofErr w:type="gramEnd"/>
            <w:r>
              <w:rPr>
                <w:rFonts w:ascii="方正仿宋_GBK" w:eastAsia="方正仿宋_GBK" w:hAnsi="方正仿宋_GBK" w:cs="方正仿宋_GBK" w:hint="eastAsia"/>
                <w:color w:val="333333"/>
                <w:szCs w:val="21"/>
                <w:shd w:val="clear" w:color="auto" w:fill="FFFFFF"/>
              </w:rPr>
              <w:t>建、交通等相关单位及金融机构等履行协税护税职能和义务开展督导检查；四是督促各乡镇（区）做好日常税收征管和辖内企业税款的催报、催缴工作，并对乡镇税收收入实行一月一通报、一季</w:t>
            </w:r>
            <w:proofErr w:type="gramStart"/>
            <w:r>
              <w:rPr>
                <w:rFonts w:ascii="方正仿宋_GBK" w:eastAsia="方正仿宋_GBK" w:hAnsi="方正仿宋_GBK" w:cs="方正仿宋_GBK" w:hint="eastAsia"/>
                <w:color w:val="333333"/>
                <w:szCs w:val="21"/>
                <w:shd w:val="clear" w:color="auto" w:fill="FFFFFF"/>
              </w:rPr>
              <w:t>一</w:t>
            </w:r>
            <w:proofErr w:type="gramEnd"/>
            <w:r>
              <w:rPr>
                <w:rFonts w:ascii="方正仿宋_GBK" w:eastAsia="方正仿宋_GBK" w:hAnsi="方正仿宋_GBK" w:cs="方正仿宋_GBK" w:hint="eastAsia"/>
                <w:color w:val="333333"/>
                <w:szCs w:val="21"/>
                <w:shd w:val="clear" w:color="auto" w:fill="FFFFFF"/>
              </w:rPr>
              <w:t>考核；五是协调司法机构，严厉查处税收违法行为，保障税收工作顺利开展；六是制定量化考核标准，年终对相关部门开展考核，评选财税先进个人及先进单位。七是县政府交办的其他工作</w:t>
            </w:r>
          </w:p>
        </w:tc>
        <w:tc>
          <w:tcPr>
            <w:tcW w:w="2982"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财税综合协调工作是当前我县快速发展进程中一项重要工作，目的是构建“政府领导、部门实施、齐抓共管”的财税工作格局。通过综合协调督导，在加强税源管控，“以电控税”、</w:t>
            </w:r>
            <w:r>
              <w:rPr>
                <w:rFonts w:ascii="方正仿宋_GBK" w:eastAsia="方正仿宋_GBK" w:hAnsi="方正仿宋_GBK" w:cs="方正仿宋_GBK" w:hint="eastAsia"/>
                <w:szCs w:val="21"/>
              </w:rPr>
              <w:lastRenderedPageBreak/>
              <w:t>“以票控税”，促进乡镇发挥协税护税作用、加快收入进度等方面取得了显著成效，有力保障了全年财税</w:t>
            </w:r>
            <w:proofErr w:type="gramStart"/>
            <w:r>
              <w:rPr>
                <w:rFonts w:ascii="方正仿宋_GBK" w:eastAsia="方正仿宋_GBK" w:hAnsi="方正仿宋_GBK" w:cs="方正仿宋_GBK" w:hint="eastAsia"/>
                <w:szCs w:val="21"/>
              </w:rPr>
              <w:t>收任务</w:t>
            </w:r>
            <w:proofErr w:type="gramEnd"/>
            <w:r>
              <w:rPr>
                <w:rFonts w:ascii="方正仿宋_GBK" w:eastAsia="方正仿宋_GBK" w:hAnsi="方正仿宋_GBK" w:cs="方正仿宋_GBK" w:hint="eastAsia"/>
                <w:szCs w:val="21"/>
              </w:rPr>
              <w:t>的完成。2019年，将进一步强化职能作用，充分调动各级各部门协税护税积极性，推进财税工作再上新台阶。</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任务完成率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90%以上</w:t>
            </w:r>
          </w:p>
        </w:tc>
        <w:tc>
          <w:tcPr>
            <w:tcW w:w="701"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80%以上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70%以上</w:t>
            </w:r>
          </w:p>
        </w:tc>
        <w:tc>
          <w:tcPr>
            <w:tcW w:w="82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50%以下</w:t>
            </w:r>
          </w:p>
        </w:tc>
      </w:tr>
      <w:tr w:rsidR="00B2274A">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b/>
                <w:bCs/>
                <w:szCs w:val="21"/>
              </w:rPr>
            </w:pPr>
            <w:r>
              <w:rPr>
                <w:rFonts w:ascii="方正仿宋_GBK" w:eastAsia="方正仿宋_GBK" w:hAnsi="方正仿宋_GBK" w:cs="方正仿宋_GBK" w:hint="eastAsia"/>
                <w:szCs w:val="21"/>
              </w:rPr>
              <w:lastRenderedPageBreak/>
              <w:t>政府日常运转经费（水费）</w:t>
            </w:r>
          </w:p>
        </w:tc>
        <w:tc>
          <w:tcPr>
            <w:tcW w:w="141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10</w:t>
            </w:r>
          </w:p>
        </w:tc>
        <w:tc>
          <w:tcPr>
            <w:tcW w:w="3686"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机关日常水费的开支</w:t>
            </w:r>
          </w:p>
        </w:tc>
        <w:tc>
          <w:tcPr>
            <w:tcW w:w="2982"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保证24小时供水，保证机关正常运行</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供水率</w:t>
            </w:r>
          </w:p>
        </w:tc>
        <w:tc>
          <w:tcPr>
            <w:tcW w:w="600"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360天</w:t>
            </w:r>
          </w:p>
        </w:tc>
        <w:tc>
          <w:tcPr>
            <w:tcW w:w="701"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350天</w:t>
            </w:r>
          </w:p>
        </w:tc>
        <w:tc>
          <w:tcPr>
            <w:tcW w:w="73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330天</w:t>
            </w:r>
          </w:p>
        </w:tc>
        <w:tc>
          <w:tcPr>
            <w:tcW w:w="82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300天</w:t>
            </w:r>
          </w:p>
        </w:tc>
      </w:tr>
      <w:tr w:rsidR="00B2274A">
        <w:trPr>
          <w:trHeight w:val="405"/>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b/>
                <w:bCs/>
                <w:szCs w:val="21"/>
              </w:rPr>
            </w:pPr>
            <w:r>
              <w:rPr>
                <w:rFonts w:ascii="方正仿宋_GBK" w:eastAsia="方正仿宋_GBK" w:hAnsi="方正仿宋_GBK" w:cs="方正仿宋_GBK" w:hint="eastAsia"/>
                <w:szCs w:val="21"/>
              </w:rPr>
              <w:t>政府办综合改革经费</w:t>
            </w:r>
          </w:p>
        </w:tc>
        <w:tc>
          <w:tcPr>
            <w:tcW w:w="141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70</w:t>
            </w:r>
          </w:p>
        </w:tc>
        <w:tc>
          <w:tcPr>
            <w:tcW w:w="3686"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威县是省政府确定的县级综合改革试点县，2019年度我单位将完成推进、服务、观摩、考核等重点任务，围绕全县重点工作以及全面实施综合改革，切实搞好重点项目服务工作，完成年度各项目标任务，进一步加大对综合改革工作的落实。</w:t>
            </w:r>
          </w:p>
        </w:tc>
        <w:tc>
          <w:tcPr>
            <w:tcW w:w="2982"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通过改革创新和重点突破，创优发展环境，做好综合改革服务工作</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任务完成率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90%以上</w:t>
            </w:r>
          </w:p>
        </w:tc>
        <w:tc>
          <w:tcPr>
            <w:tcW w:w="701"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80%以上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70%以上</w:t>
            </w:r>
          </w:p>
        </w:tc>
        <w:tc>
          <w:tcPr>
            <w:tcW w:w="82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50%以下</w:t>
            </w:r>
          </w:p>
        </w:tc>
      </w:tr>
      <w:tr w:rsidR="00B2274A">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b/>
                <w:bCs/>
                <w:szCs w:val="21"/>
              </w:rPr>
            </w:pPr>
            <w:r>
              <w:rPr>
                <w:rFonts w:ascii="方正仿宋_GBK" w:eastAsia="方正仿宋_GBK" w:hAnsi="方正仿宋_GBK" w:cs="方正仿宋_GBK" w:hint="eastAsia"/>
                <w:szCs w:val="21"/>
              </w:rPr>
              <w:t>法制</w:t>
            </w:r>
            <w:proofErr w:type="gramStart"/>
            <w:r>
              <w:rPr>
                <w:rFonts w:ascii="方正仿宋_GBK" w:eastAsia="方正仿宋_GBK" w:hAnsi="方正仿宋_GBK" w:cs="方正仿宋_GBK" w:hint="eastAsia"/>
                <w:szCs w:val="21"/>
              </w:rPr>
              <w:t>办行政</w:t>
            </w:r>
            <w:proofErr w:type="gramEnd"/>
            <w:r>
              <w:rPr>
                <w:rFonts w:ascii="方正仿宋_GBK" w:eastAsia="方正仿宋_GBK" w:hAnsi="方正仿宋_GBK" w:cs="方正仿宋_GBK" w:hint="eastAsia"/>
                <w:szCs w:val="21"/>
              </w:rPr>
              <w:t>应诉、行政复议经费</w:t>
            </w:r>
          </w:p>
        </w:tc>
        <w:tc>
          <w:tcPr>
            <w:tcW w:w="141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5</w:t>
            </w:r>
          </w:p>
        </w:tc>
        <w:tc>
          <w:tcPr>
            <w:tcW w:w="3686"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color w:val="000000"/>
                <w:szCs w:val="21"/>
              </w:rPr>
              <w:t>承办县政府管辖的行政复议、行政赔偿案件；受县长委托参与行政诉讼活动；县政府各部门的行政复议、行政诉讼、</w:t>
            </w:r>
            <w:r>
              <w:rPr>
                <w:rFonts w:ascii="方正仿宋_GBK" w:eastAsia="方正仿宋_GBK" w:hAnsi="方正仿宋_GBK" w:cs="方正仿宋_GBK" w:hint="eastAsia"/>
                <w:color w:val="000000"/>
                <w:szCs w:val="21"/>
              </w:rPr>
              <w:lastRenderedPageBreak/>
              <w:t>行政赔偿工作进行指导、协调和监督。</w:t>
            </w:r>
          </w:p>
        </w:tc>
        <w:tc>
          <w:tcPr>
            <w:tcW w:w="2982"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做好行政复议和行政诉讼工作将有效解决行政争议和化解社会矛盾，保护人民群众合法权</w:t>
            </w:r>
            <w:r>
              <w:rPr>
                <w:rFonts w:ascii="方正仿宋_GBK" w:eastAsia="方正仿宋_GBK" w:hAnsi="方正仿宋_GBK" w:cs="方正仿宋_GBK" w:hint="eastAsia"/>
                <w:szCs w:val="21"/>
              </w:rPr>
              <w:lastRenderedPageBreak/>
              <w:t>益，保障和监督行政机关依法行使职权，推进依法行政，加强廉洁建设，密切政府与人民群众的联系，维护社会和谐稳定。</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任务完成率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90%以</w:t>
            </w:r>
            <w:r>
              <w:rPr>
                <w:rFonts w:ascii="方正仿宋_GBK" w:eastAsia="方正仿宋_GBK" w:hAnsi="方正仿宋_GBK" w:cs="方正仿宋_GBK" w:hint="eastAsia"/>
                <w:szCs w:val="21"/>
              </w:rPr>
              <w:lastRenderedPageBreak/>
              <w:t>上</w:t>
            </w:r>
          </w:p>
        </w:tc>
        <w:tc>
          <w:tcPr>
            <w:tcW w:w="701"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80%以上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70%以上</w:t>
            </w:r>
          </w:p>
        </w:tc>
        <w:tc>
          <w:tcPr>
            <w:tcW w:w="82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50%以下</w:t>
            </w:r>
          </w:p>
        </w:tc>
      </w:tr>
      <w:tr w:rsidR="00B2274A">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b/>
                <w:bCs/>
                <w:szCs w:val="21"/>
              </w:rPr>
            </w:pPr>
            <w:r>
              <w:rPr>
                <w:rFonts w:ascii="方正仿宋_GBK" w:eastAsia="方正仿宋_GBK" w:hAnsi="方正仿宋_GBK" w:cs="方正仿宋_GBK" w:hint="eastAsia"/>
                <w:szCs w:val="21"/>
              </w:rPr>
              <w:lastRenderedPageBreak/>
              <w:t>政府办城镇化观摩经费</w:t>
            </w:r>
          </w:p>
        </w:tc>
        <w:tc>
          <w:tcPr>
            <w:tcW w:w="141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86</w:t>
            </w:r>
          </w:p>
        </w:tc>
        <w:tc>
          <w:tcPr>
            <w:tcW w:w="3686"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威县是冀中南地区参与京津冀协同发展的重要县份之一，被列为国家新型城镇</w:t>
            </w:r>
            <w:proofErr w:type="gramStart"/>
            <w:r>
              <w:rPr>
                <w:rFonts w:ascii="方正仿宋_GBK" w:eastAsia="方正仿宋_GBK" w:hAnsi="方正仿宋_GBK" w:cs="方正仿宋_GBK" w:hint="eastAsia"/>
                <w:szCs w:val="21"/>
              </w:rPr>
              <w:t>化综合</w:t>
            </w:r>
            <w:proofErr w:type="gramEnd"/>
            <w:r>
              <w:rPr>
                <w:rFonts w:ascii="方正仿宋_GBK" w:eastAsia="方正仿宋_GBK" w:hAnsi="方正仿宋_GBK" w:cs="方正仿宋_GBK" w:hint="eastAsia"/>
                <w:szCs w:val="21"/>
              </w:rPr>
              <w:t>试点。2019年度承载接待上级、兄弟县市、客商等观摩活动，我办将大力推进我县城镇化试点的发展，出色完成会务、接待等各项活动，争取做到完成领导交办的各项任务。</w:t>
            </w:r>
          </w:p>
        </w:tc>
        <w:tc>
          <w:tcPr>
            <w:tcW w:w="2982"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全面提升办事效率。为加快推进城镇化建设做好服务工作，协调好各级各部门参与城镇化建设的工作，确保完成城镇化观摩中的各项会务、接待工作。</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任务完成率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90%以上</w:t>
            </w:r>
          </w:p>
        </w:tc>
        <w:tc>
          <w:tcPr>
            <w:tcW w:w="701"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80%以上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70%以上</w:t>
            </w:r>
          </w:p>
        </w:tc>
        <w:tc>
          <w:tcPr>
            <w:tcW w:w="82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50%以下</w:t>
            </w:r>
          </w:p>
        </w:tc>
      </w:tr>
      <w:tr w:rsidR="00B2274A">
        <w:trPr>
          <w:trHeight w:val="630"/>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应急办管理及宣传经费</w:t>
            </w:r>
          </w:p>
        </w:tc>
        <w:tc>
          <w:tcPr>
            <w:tcW w:w="141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2</w:t>
            </w:r>
          </w:p>
        </w:tc>
        <w:tc>
          <w:tcPr>
            <w:tcW w:w="3686"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应急办负责协调指导全县16个乡镇和17个县直单位应急预案体系建设，面向各乡镇和县直单位及全县60万人民群众开展防灾减灾应急知识宣传培训和信息调研，提高全县人民群众应急反应处置能力，办理全县应急方面</w:t>
            </w:r>
            <w:proofErr w:type="gramStart"/>
            <w:r>
              <w:rPr>
                <w:rFonts w:ascii="方正仿宋_GBK" w:eastAsia="方正仿宋_GBK" w:hAnsi="方正仿宋_GBK" w:cs="方正仿宋_GBK" w:hint="eastAsia"/>
                <w:szCs w:val="21"/>
              </w:rPr>
              <w:t>紧急重要</w:t>
            </w:r>
            <w:proofErr w:type="gramEnd"/>
            <w:r>
              <w:rPr>
                <w:rFonts w:ascii="方正仿宋_GBK" w:eastAsia="方正仿宋_GBK" w:hAnsi="方正仿宋_GBK" w:cs="方正仿宋_GBK" w:hint="eastAsia"/>
                <w:szCs w:val="21"/>
              </w:rPr>
              <w:t>事项和市政府应急办交办事项，协助县应急委领导做好重大突发事件的应急处置等工作。</w:t>
            </w:r>
          </w:p>
        </w:tc>
        <w:tc>
          <w:tcPr>
            <w:tcW w:w="2982"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提高城乡人民群众自我防范和保护意识，提升群众面对突发事件应对处理能力和升全县应急处突能力。</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任务完成率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90%以上</w:t>
            </w:r>
          </w:p>
        </w:tc>
        <w:tc>
          <w:tcPr>
            <w:tcW w:w="701"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80%以上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70%以上</w:t>
            </w:r>
          </w:p>
        </w:tc>
        <w:tc>
          <w:tcPr>
            <w:tcW w:w="82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50%以下</w:t>
            </w:r>
          </w:p>
        </w:tc>
      </w:tr>
      <w:tr w:rsidR="00B2274A">
        <w:trPr>
          <w:trHeight w:val="630"/>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政府办政务公开政府网站维护、托管费用</w:t>
            </w:r>
          </w:p>
        </w:tc>
        <w:tc>
          <w:tcPr>
            <w:tcW w:w="141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15</w:t>
            </w:r>
          </w:p>
        </w:tc>
        <w:tc>
          <w:tcPr>
            <w:tcW w:w="3686"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2019年度完成电子政务外网升级改造、政府网站托管年费、信息公开平台年租赁费用、政务公开工作培训会议 ；</w:t>
            </w:r>
            <w:r>
              <w:rPr>
                <w:rFonts w:ascii="方正仿宋_GBK" w:eastAsia="方正仿宋_GBK" w:hAnsi="方正仿宋_GBK" w:cs="方正仿宋_GBK" w:hint="eastAsia"/>
                <w:szCs w:val="21"/>
              </w:rPr>
              <w:lastRenderedPageBreak/>
              <w:t>做好本地区电子政务外网升级改造工作。 印发政务公开工作宣传品、挂件、张贴画等</w:t>
            </w:r>
          </w:p>
        </w:tc>
        <w:tc>
          <w:tcPr>
            <w:tcW w:w="2982"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进一步加强我县政府网站管理，将政府网站打造成更加全面的政务公开平台、更加权威</w:t>
            </w:r>
            <w:r>
              <w:rPr>
                <w:rFonts w:ascii="方正仿宋_GBK" w:eastAsia="方正仿宋_GBK" w:hAnsi="方正仿宋_GBK" w:cs="方正仿宋_GBK" w:hint="eastAsia"/>
                <w:szCs w:val="21"/>
              </w:rPr>
              <w:lastRenderedPageBreak/>
              <w:t>的政策发布解读和舆论引导平台、更加及时的回应关切和便民服务平台、更加有序的政府信息资源开放平台，建设成为高效惠民的网上政府。</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任务完成率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90%以</w:t>
            </w:r>
            <w:r>
              <w:rPr>
                <w:rFonts w:ascii="方正仿宋_GBK" w:eastAsia="方正仿宋_GBK" w:hAnsi="方正仿宋_GBK" w:cs="方正仿宋_GBK" w:hint="eastAsia"/>
                <w:szCs w:val="21"/>
              </w:rPr>
              <w:lastRenderedPageBreak/>
              <w:t>上</w:t>
            </w:r>
          </w:p>
        </w:tc>
        <w:tc>
          <w:tcPr>
            <w:tcW w:w="701"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80%以上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70%以上</w:t>
            </w:r>
          </w:p>
        </w:tc>
        <w:tc>
          <w:tcPr>
            <w:tcW w:w="82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50%以下</w:t>
            </w:r>
          </w:p>
        </w:tc>
      </w:tr>
      <w:tr w:rsidR="00B2274A">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政府办值班系统运行维护费</w:t>
            </w:r>
          </w:p>
        </w:tc>
        <w:tc>
          <w:tcPr>
            <w:tcW w:w="141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8</w:t>
            </w:r>
          </w:p>
        </w:tc>
        <w:tc>
          <w:tcPr>
            <w:tcW w:w="3686"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为进一步提高政府</w:t>
            </w:r>
            <w:proofErr w:type="gramStart"/>
            <w:r>
              <w:rPr>
                <w:rFonts w:ascii="方正仿宋_GBK" w:eastAsia="方正仿宋_GBK" w:hAnsi="方正仿宋_GBK" w:cs="方正仿宋_GBK" w:hint="eastAsia"/>
                <w:szCs w:val="21"/>
              </w:rPr>
              <w:t>办服务</w:t>
            </w:r>
            <w:proofErr w:type="gramEnd"/>
            <w:r>
              <w:rPr>
                <w:rFonts w:ascii="方正仿宋_GBK" w:eastAsia="方正仿宋_GBK" w:hAnsi="方正仿宋_GBK" w:cs="方正仿宋_GBK" w:hint="eastAsia"/>
                <w:szCs w:val="21"/>
              </w:rPr>
              <w:t>质量，落实好24小时值班制度，按照《邢台市人民政府办公室关于开展视频点名系统平台搭建准备工作的通知》文件的要求，我单位搭建了视频点名系统，并连接政务外网，保证网络正常运行。</w:t>
            </w:r>
          </w:p>
        </w:tc>
        <w:tc>
          <w:tcPr>
            <w:tcW w:w="2982"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2019年我办将进一步强化职能，认真做好上级领导交办的任务，本着“办公室工作无小事”的工作理念，严格落实24小时值班制度，高度重视群众来信来访，扎实做好上级来文来电，确保万无一失。</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ind w:firstLine="247"/>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值班视频点名系统运行合格率</w:t>
            </w:r>
          </w:p>
        </w:tc>
        <w:tc>
          <w:tcPr>
            <w:tcW w:w="600"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100%</w:t>
            </w:r>
          </w:p>
        </w:tc>
        <w:tc>
          <w:tcPr>
            <w:tcW w:w="701"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90%-100%</w:t>
            </w:r>
          </w:p>
        </w:tc>
        <w:tc>
          <w:tcPr>
            <w:tcW w:w="73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80%-90%</w:t>
            </w:r>
          </w:p>
        </w:tc>
        <w:tc>
          <w:tcPr>
            <w:tcW w:w="82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80%以下</w:t>
            </w:r>
          </w:p>
        </w:tc>
      </w:tr>
      <w:tr w:rsidR="00B2274A">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b/>
                <w:bCs/>
                <w:szCs w:val="21"/>
              </w:rPr>
            </w:pPr>
            <w:r>
              <w:rPr>
                <w:rFonts w:ascii="方正仿宋_GBK" w:eastAsia="方正仿宋_GBK" w:hAnsi="方正仿宋_GBK" w:cs="方正仿宋_GBK" w:hint="eastAsia"/>
                <w:szCs w:val="21"/>
              </w:rPr>
              <w:t>政府办公室对外开放、招商引资工作经费</w:t>
            </w:r>
          </w:p>
        </w:tc>
        <w:tc>
          <w:tcPr>
            <w:tcW w:w="141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t>80</w:t>
            </w:r>
          </w:p>
        </w:tc>
        <w:tc>
          <w:tcPr>
            <w:tcW w:w="3686"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政府部门对外开放不仅可以引进先进技术、吸收外商投资、借鉴管理经验，更利于我县经济飞速发展，我单位努力做好各个部门对接工作，加大</w:t>
            </w:r>
            <w:proofErr w:type="gramStart"/>
            <w:r>
              <w:rPr>
                <w:rFonts w:ascii="方正仿宋_GBK" w:eastAsia="方正仿宋_GBK" w:hAnsi="方正仿宋_GBK" w:cs="方正仿宋_GBK" w:hint="eastAsia"/>
                <w:szCs w:val="21"/>
              </w:rPr>
              <w:t>对外争跑力度</w:t>
            </w:r>
            <w:proofErr w:type="gramEnd"/>
            <w:r>
              <w:rPr>
                <w:rFonts w:ascii="方正仿宋_GBK" w:eastAsia="方正仿宋_GBK" w:hAnsi="方正仿宋_GBK" w:cs="方正仿宋_GBK" w:hint="eastAsia"/>
                <w:szCs w:val="21"/>
              </w:rPr>
              <w:t>，积极对外沟通对接，争取落实招商项目。严格扶持政策把关，切实为对外开放及招商引资工作做好服务。负责上级领导、兄弟县领导同志及招商接洽、线上线</w:t>
            </w:r>
            <w:proofErr w:type="gramStart"/>
            <w:r>
              <w:rPr>
                <w:rFonts w:ascii="方正仿宋_GBK" w:eastAsia="方正仿宋_GBK" w:hAnsi="方正仿宋_GBK" w:cs="方正仿宋_GBK" w:hint="eastAsia"/>
                <w:szCs w:val="21"/>
              </w:rPr>
              <w:t>下项目</w:t>
            </w:r>
            <w:proofErr w:type="gramEnd"/>
            <w:r>
              <w:rPr>
                <w:rFonts w:ascii="方正仿宋_GBK" w:eastAsia="方正仿宋_GBK" w:hAnsi="方正仿宋_GBK" w:cs="方正仿宋_GBK" w:hint="eastAsia"/>
                <w:szCs w:val="21"/>
              </w:rPr>
              <w:t>推介、组织实地考察、组织招商、接待客商等工作活动。</w:t>
            </w:r>
          </w:p>
        </w:tc>
        <w:tc>
          <w:tcPr>
            <w:tcW w:w="2982"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全面提高对外开放及招商引资规模，确保各项工作活动正常进行，紧紧围绕对外开放工作的中心任务及年初目标，为各项工作做好后勤保障服务。</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任务完成率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90%以上</w:t>
            </w:r>
          </w:p>
        </w:tc>
        <w:tc>
          <w:tcPr>
            <w:tcW w:w="701"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80%以上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70%以上</w:t>
            </w:r>
          </w:p>
        </w:tc>
        <w:tc>
          <w:tcPr>
            <w:tcW w:w="82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50%以下</w:t>
            </w:r>
          </w:p>
        </w:tc>
      </w:tr>
      <w:tr w:rsidR="00B2274A">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城镇</w:t>
            </w:r>
            <w:proofErr w:type="gramStart"/>
            <w:r>
              <w:rPr>
                <w:rFonts w:ascii="方正仿宋_GBK" w:eastAsia="方正仿宋_GBK" w:hAnsi="方正仿宋_GBK" w:cs="方正仿宋_GBK" w:hint="eastAsia"/>
                <w:szCs w:val="21"/>
              </w:rPr>
              <w:t>办推进</w:t>
            </w:r>
            <w:proofErr w:type="gramEnd"/>
            <w:r>
              <w:rPr>
                <w:rFonts w:ascii="方正仿宋_GBK" w:eastAsia="方正仿宋_GBK" w:hAnsi="方正仿宋_GBK" w:cs="方正仿宋_GBK" w:hint="eastAsia"/>
                <w:szCs w:val="21"/>
              </w:rPr>
              <w:t>新型城镇化与城乡统筹建</w:t>
            </w:r>
            <w:r>
              <w:rPr>
                <w:rFonts w:ascii="方正仿宋_GBK" w:eastAsia="方正仿宋_GBK" w:hAnsi="方正仿宋_GBK" w:cs="方正仿宋_GBK" w:hint="eastAsia"/>
                <w:szCs w:val="21"/>
              </w:rPr>
              <w:lastRenderedPageBreak/>
              <w:t>设工作、房屋征收与补偿工作和智慧城市建设等费用</w:t>
            </w:r>
          </w:p>
        </w:tc>
        <w:tc>
          <w:tcPr>
            <w:tcW w:w="141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b/>
                <w:bCs/>
                <w:szCs w:val="21"/>
              </w:rPr>
              <w:lastRenderedPageBreak/>
              <w:t>5</w:t>
            </w:r>
          </w:p>
        </w:tc>
        <w:tc>
          <w:tcPr>
            <w:tcW w:w="3686"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一是推进新型城镇化与城乡统筹建设工作。包括贯彻落实省、市、县城镇化</w:t>
            </w:r>
            <w:r>
              <w:rPr>
                <w:rFonts w:ascii="方正仿宋_GBK" w:eastAsia="方正仿宋_GBK" w:hAnsi="方正仿宋_GBK" w:cs="方正仿宋_GBK" w:hint="eastAsia"/>
                <w:szCs w:val="21"/>
              </w:rPr>
              <w:lastRenderedPageBreak/>
              <w:t>建设有关方针、政策和工作部署，安排我县城建有关单位迅速落实。结合上级要求和我县发展需要，编制《2019年城建要点》等；二是房屋征收与补偿工作。包括按照相关征收补偿法规进行征收，协调处理房屋征收过程中的矛盾、维护被征收人的合法权益；做好房屋征收与补偿的政策法规保障等工作；三是推进智慧城市建设。包括组织开展智慧城市三期工程、智慧教育城域网、智慧医疗等工程质量监督管理等工作</w:t>
            </w:r>
          </w:p>
        </w:tc>
        <w:tc>
          <w:tcPr>
            <w:tcW w:w="2982"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。2019年，我办将进一步强化职能作用，加快新型城镇化与</w:t>
            </w:r>
            <w:r>
              <w:rPr>
                <w:rFonts w:ascii="方正仿宋_GBK" w:eastAsia="方正仿宋_GBK" w:hAnsi="方正仿宋_GBK" w:cs="方正仿宋_GBK" w:hint="eastAsia"/>
                <w:szCs w:val="21"/>
              </w:rPr>
              <w:lastRenderedPageBreak/>
              <w:t>城乡统筹建设、房屋征收与补偿和智慧城市建设，充分调动各级各部门参与城市建设的积极性，积极做好城市建设管理工作，确保完成我县城建任务。</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任务完成率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90%</w:t>
            </w:r>
            <w:r>
              <w:rPr>
                <w:rFonts w:ascii="方正仿宋_GBK" w:eastAsia="方正仿宋_GBK" w:hAnsi="方正仿宋_GBK" w:cs="方正仿宋_GBK" w:hint="eastAsia"/>
                <w:szCs w:val="21"/>
              </w:rPr>
              <w:lastRenderedPageBreak/>
              <w:t>以上</w:t>
            </w:r>
          </w:p>
        </w:tc>
        <w:tc>
          <w:tcPr>
            <w:tcW w:w="701"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80%以上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70%以上</w:t>
            </w:r>
          </w:p>
        </w:tc>
        <w:tc>
          <w:tcPr>
            <w:tcW w:w="82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50%以下</w:t>
            </w:r>
          </w:p>
        </w:tc>
      </w:tr>
      <w:tr w:rsidR="00B2274A">
        <w:trPr>
          <w:trHeight w:val="227"/>
          <w:jc w:val="center"/>
        </w:trPr>
        <w:tc>
          <w:tcPr>
            <w:tcW w:w="1979"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政府</w:t>
            </w:r>
            <w:proofErr w:type="gramStart"/>
            <w:r>
              <w:rPr>
                <w:rFonts w:ascii="方正仿宋_GBK" w:eastAsia="方正仿宋_GBK" w:hAnsi="方正仿宋_GBK" w:cs="方正仿宋_GBK" w:hint="eastAsia"/>
                <w:szCs w:val="21"/>
              </w:rPr>
              <w:t>办环境</w:t>
            </w:r>
            <w:proofErr w:type="gramEnd"/>
            <w:r>
              <w:rPr>
                <w:rFonts w:ascii="方正仿宋_GBK" w:eastAsia="方正仿宋_GBK" w:hAnsi="方正仿宋_GBK" w:cs="方正仿宋_GBK" w:hint="eastAsia"/>
                <w:szCs w:val="21"/>
              </w:rPr>
              <w:t>治理协调办公经费、环保督查协调工作经费</w:t>
            </w:r>
          </w:p>
        </w:tc>
        <w:tc>
          <w:tcPr>
            <w:tcW w:w="141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b/>
                <w:bCs/>
                <w:szCs w:val="21"/>
              </w:rPr>
            </w:pPr>
            <w:r>
              <w:rPr>
                <w:rFonts w:ascii="方正仿宋_GBK" w:eastAsia="方正仿宋_GBK" w:hAnsi="方正仿宋_GBK" w:cs="方正仿宋_GBK" w:hint="eastAsia"/>
                <w:b/>
                <w:bCs/>
                <w:szCs w:val="21"/>
              </w:rPr>
              <w:t>2</w:t>
            </w:r>
          </w:p>
        </w:tc>
        <w:tc>
          <w:tcPr>
            <w:tcW w:w="3686"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一是2018-2019年秋冬季大气污染综合治理攻坚行动组织协调工作经费，截至2019年3月15日，攻坚行动截止，期间我办要按照县领导及工作方案要求，不定期对27项具体综合治理工作中的部分工作进行现场协调调度；二是督导检查保障工作专班工作经费。中央、省、市环境保护督察已成常态，为充分做好我县</w:t>
            </w:r>
            <w:proofErr w:type="gramStart"/>
            <w:r>
              <w:rPr>
                <w:rFonts w:ascii="方正仿宋_GBK" w:eastAsia="方正仿宋_GBK" w:hAnsi="方正仿宋_GBK" w:cs="方正仿宋_GBK" w:hint="eastAsia"/>
                <w:szCs w:val="21"/>
              </w:rPr>
              <w:t>迎查及</w:t>
            </w:r>
            <w:proofErr w:type="gramEnd"/>
            <w:r>
              <w:rPr>
                <w:rFonts w:ascii="方正仿宋_GBK" w:eastAsia="方正仿宋_GBK" w:hAnsi="方正仿宋_GBK" w:cs="方正仿宋_GBK" w:hint="eastAsia"/>
                <w:szCs w:val="21"/>
              </w:rPr>
              <w:t>问题交办整改工作，我县将适时组成保障工作专班，具体开展问题交办、县领导现场核验、问题整改反馈等各项保障工作；三是重点生态环境保护和污染防治检查督导工</w:t>
            </w:r>
            <w:r>
              <w:rPr>
                <w:rFonts w:ascii="方正仿宋_GBK" w:eastAsia="方正仿宋_GBK" w:hAnsi="方正仿宋_GBK" w:cs="方正仿宋_GBK" w:hint="eastAsia"/>
                <w:szCs w:val="21"/>
              </w:rPr>
              <w:lastRenderedPageBreak/>
              <w:t>作，根据县政府领导要求，对生态保护污染防治各责任单位工作落实情况进行不定期现场督导检查；对已整改到位的上级交办及</w:t>
            </w:r>
            <w:proofErr w:type="gramStart"/>
            <w:r>
              <w:rPr>
                <w:rFonts w:ascii="方正仿宋_GBK" w:eastAsia="方正仿宋_GBK" w:hAnsi="方正仿宋_GBK" w:cs="方正仿宋_GBK" w:hint="eastAsia"/>
                <w:szCs w:val="21"/>
              </w:rPr>
              <w:t>易反弹</w:t>
            </w:r>
            <w:proofErr w:type="gramEnd"/>
            <w:r>
              <w:rPr>
                <w:rFonts w:ascii="方正仿宋_GBK" w:eastAsia="方正仿宋_GBK" w:hAnsi="方正仿宋_GBK" w:cs="方正仿宋_GBK" w:hint="eastAsia"/>
                <w:szCs w:val="21"/>
              </w:rPr>
              <w:t>的各类重点污染问题进行现场督导检查，防止死灰复燃</w:t>
            </w:r>
          </w:p>
        </w:tc>
        <w:tc>
          <w:tcPr>
            <w:tcW w:w="2982"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ind w:firstLine="559"/>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全面完成省市下达的年度目标任务，全力做好我县环境保护防治综合协调工作，积极应对中央、省、市各项督查工作，环境保护防治各项工作有序进行，高标准完成上级及我县制定的各项目标任务，各项指标呈现良好态势。</w:t>
            </w:r>
          </w:p>
        </w:tc>
        <w:tc>
          <w:tcPr>
            <w:tcW w:w="109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left"/>
              <w:rPr>
                <w:rFonts w:ascii="方正仿宋_GBK" w:eastAsia="方正仿宋_GBK" w:hAnsi="方正仿宋_GBK" w:cs="方正仿宋_GBK"/>
                <w:szCs w:val="21"/>
              </w:rPr>
            </w:pPr>
            <w:r>
              <w:rPr>
                <w:rFonts w:ascii="方正仿宋_GBK" w:eastAsia="方正仿宋_GBK" w:hAnsi="方正仿宋_GBK" w:cs="方正仿宋_GBK" w:hint="eastAsia"/>
                <w:szCs w:val="21"/>
              </w:rPr>
              <w:t>任务完成率</w:t>
            </w:r>
          </w:p>
        </w:tc>
        <w:tc>
          <w:tcPr>
            <w:tcW w:w="600"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90%以上</w:t>
            </w:r>
          </w:p>
        </w:tc>
        <w:tc>
          <w:tcPr>
            <w:tcW w:w="701"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80%以上</w:t>
            </w:r>
          </w:p>
        </w:tc>
        <w:tc>
          <w:tcPr>
            <w:tcW w:w="737" w:type="dxa"/>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70%以上</w:t>
            </w:r>
          </w:p>
        </w:tc>
        <w:tc>
          <w:tcPr>
            <w:tcW w:w="825" w:type="dxa"/>
            <w:gridSpan w:val="2"/>
            <w:tcBorders>
              <w:top w:val="single" w:sz="6" w:space="0" w:color="000000"/>
              <w:left w:val="single" w:sz="6" w:space="0" w:color="000000"/>
              <w:bottom w:val="single" w:sz="6" w:space="0" w:color="000000"/>
              <w:right w:val="single" w:sz="6" w:space="0" w:color="000000"/>
            </w:tcBorders>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50%以下</w:t>
            </w:r>
          </w:p>
        </w:tc>
      </w:tr>
    </w:tbl>
    <w:p w:rsidR="00B2274A" w:rsidRDefault="002343A7">
      <w:pPr>
        <w:autoSpaceDE w:val="0"/>
        <w:autoSpaceDN w:val="0"/>
        <w:adjustRightInd w:val="0"/>
        <w:jc w:val="left"/>
        <w:rPr>
          <w:rFonts w:ascii="黑体" w:eastAsia="黑体" w:hAnsi="黑体" w:cs="Times New Roman"/>
          <w:sz w:val="32"/>
          <w:szCs w:val="32"/>
        </w:rPr>
      </w:pPr>
      <w:r>
        <w:rPr>
          <w:rFonts w:ascii="黑体" w:eastAsia="黑体" w:hAnsi="黑体" w:cs="Times New Roman" w:hint="eastAsia"/>
          <w:sz w:val="32"/>
          <w:szCs w:val="32"/>
        </w:rPr>
        <w:lastRenderedPageBreak/>
        <w:t>六、政府采购预算情况</w:t>
      </w:r>
    </w:p>
    <w:p w:rsidR="00B2274A" w:rsidRDefault="002343A7">
      <w:pPr>
        <w:outlineLvl w:val="0"/>
        <w:rPr>
          <w:rFonts w:ascii="Times New Roman" w:eastAsia="方正仿宋_GBK" w:hAnsi="Times New Roman" w:cs="Times New Roman"/>
          <w:sz w:val="32"/>
          <w:szCs w:val="24"/>
        </w:rPr>
      </w:pPr>
      <w:bookmarkStart w:id="2" w:name="_Toc471398468"/>
      <w:r>
        <w:rPr>
          <w:rFonts w:ascii="方正小标宋_GBK" w:eastAsia="方正小标宋_GBK" w:hAnsi="Times New Roman" w:cs="Times New Roman" w:hint="eastAsia"/>
          <w:sz w:val="32"/>
          <w:szCs w:val="24"/>
        </w:rPr>
        <w:t xml:space="preserve"> </w:t>
      </w:r>
      <w:r>
        <w:rPr>
          <w:rFonts w:ascii="Times New Roman" w:eastAsia="方正仿宋_GBK" w:hAnsi="Times New Roman" w:cs="Times New Roman"/>
          <w:sz w:val="32"/>
          <w:szCs w:val="24"/>
        </w:rPr>
        <w:t xml:space="preserve">   201</w:t>
      </w:r>
      <w:r>
        <w:rPr>
          <w:rFonts w:ascii="Times New Roman" w:eastAsia="方正仿宋_GBK" w:hAnsi="Times New Roman" w:cs="Times New Roman" w:hint="eastAsia"/>
          <w:sz w:val="32"/>
          <w:szCs w:val="24"/>
        </w:rPr>
        <w:t>9</w:t>
      </w:r>
      <w:r w:rsidR="00BC2343">
        <w:rPr>
          <w:rFonts w:ascii="Times New Roman" w:eastAsia="方正仿宋_GBK" w:hAnsi="Times New Roman" w:cs="Times New Roman"/>
          <w:sz w:val="32"/>
          <w:szCs w:val="24"/>
        </w:rPr>
        <w:t>年，我</w:t>
      </w:r>
      <w:r w:rsidR="00BC2343">
        <w:rPr>
          <w:rFonts w:ascii="Times New Roman" w:eastAsia="方正仿宋_GBK" w:hAnsi="Times New Roman" w:cs="Times New Roman" w:hint="eastAsia"/>
          <w:sz w:val="32"/>
          <w:szCs w:val="24"/>
        </w:rPr>
        <w:t>办</w:t>
      </w:r>
      <w:r>
        <w:rPr>
          <w:rFonts w:ascii="Times New Roman" w:eastAsia="方正仿宋_GBK" w:hAnsi="Times New Roman" w:cs="Times New Roman"/>
          <w:sz w:val="32"/>
          <w:szCs w:val="24"/>
        </w:rPr>
        <w:t>安排政府采购预算</w:t>
      </w:r>
      <w:r>
        <w:rPr>
          <w:rFonts w:ascii="Times New Roman" w:eastAsia="方正仿宋_GBK" w:hAnsi="Times New Roman" w:cs="Times New Roman" w:hint="eastAsia"/>
          <w:sz w:val="32"/>
          <w:szCs w:val="24"/>
        </w:rPr>
        <w:t>4.9</w:t>
      </w:r>
      <w:r>
        <w:rPr>
          <w:rFonts w:ascii="Times New Roman" w:eastAsia="方正仿宋_GBK" w:hAnsi="Times New Roman" w:cs="Times New Roman"/>
          <w:sz w:val="32"/>
          <w:szCs w:val="24"/>
        </w:rPr>
        <w:t>万元。具体内容见下表。</w:t>
      </w:r>
    </w:p>
    <w:p w:rsidR="00B2274A" w:rsidRDefault="002343A7">
      <w:pPr>
        <w:jc w:val="center"/>
        <w:outlineLvl w:val="0"/>
        <w:rPr>
          <w:rFonts w:ascii="方正小标宋_GBK" w:eastAsia="方正小标宋_GBK" w:hAnsi="Times New Roman" w:cs="Times New Roman"/>
          <w:sz w:val="32"/>
          <w:szCs w:val="24"/>
        </w:rPr>
      </w:pPr>
      <w:r>
        <w:rPr>
          <w:rFonts w:ascii="方正小标宋_GBK" w:eastAsia="方正小标宋_GBK" w:hAnsi="Times New Roman" w:cs="Times New Roman" w:hint="eastAsia"/>
          <w:sz w:val="32"/>
          <w:szCs w:val="24"/>
        </w:rPr>
        <w:t>部门政府采购预算</w:t>
      </w:r>
      <w:bookmarkEnd w:id="2"/>
    </w:p>
    <w:tbl>
      <w:tblPr>
        <w:tblW w:w="137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55"/>
        <w:gridCol w:w="976"/>
        <w:gridCol w:w="672"/>
        <w:gridCol w:w="1524"/>
        <w:gridCol w:w="564"/>
        <w:gridCol w:w="976"/>
        <w:gridCol w:w="976"/>
        <w:gridCol w:w="976"/>
        <w:gridCol w:w="976"/>
        <w:gridCol w:w="976"/>
        <w:gridCol w:w="754"/>
        <w:gridCol w:w="756"/>
        <w:gridCol w:w="859"/>
        <w:gridCol w:w="612"/>
      </w:tblGrid>
      <w:tr w:rsidR="00B2274A">
        <w:trPr>
          <w:tblHeader/>
          <w:jc w:val="center"/>
        </w:trPr>
        <w:tc>
          <w:tcPr>
            <w:tcW w:w="7843" w:type="dxa"/>
            <w:gridSpan w:val="7"/>
            <w:tcBorders>
              <w:top w:val="single" w:sz="6" w:space="0" w:color="FFFFFF"/>
              <w:left w:val="single" w:sz="6" w:space="0" w:color="FFFFFF"/>
              <w:right w:val="single" w:sz="6" w:space="0" w:color="FFFFFF"/>
            </w:tcBorders>
            <w:shd w:val="clear" w:color="auto" w:fill="auto"/>
            <w:vAlign w:val="center"/>
          </w:tcPr>
          <w:p w:rsidR="00B2274A" w:rsidRDefault="002343A7">
            <w:pPr>
              <w:spacing w:line="300" w:lineRule="exact"/>
              <w:jc w:val="left"/>
              <w:rPr>
                <w:rFonts w:ascii="方正小标宋_GBK" w:eastAsia="方正小标宋_GBK"/>
                <w:sz w:val="24"/>
                <w:highlight w:val="yellow"/>
              </w:rPr>
            </w:pPr>
            <w:r>
              <w:rPr>
                <w:rFonts w:ascii="方正仿宋_GBK" w:eastAsia="方正仿宋_GBK" w:hAnsi="方正仿宋_GBK" w:cs="方正仿宋_GBK" w:hint="eastAsia"/>
                <w:szCs w:val="21"/>
              </w:rPr>
              <w:t>434威县人民政府办公室</w:t>
            </w:r>
          </w:p>
        </w:tc>
        <w:tc>
          <w:tcPr>
            <w:tcW w:w="5909" w:type="dxa"/>
            <w:gridSpan w:val="7"/>
            <w:tcBorders>
              <w:top w:val="single" w:sz="6" w:space="0" w:color="FFFFFF"/>
              <w:left w:val="single" w:sz="6" w:space="0" w:color="FFFFFF"/>
              <w:right w:val="single" w:sz="6" w:space="0" w:color="FFFFFF"/>
            </w:tcBorders>
            <w:shd w:val="clear" w:color="auto" w:fill="auto"/>
            <w:vAlign w:val="center"/>
          </w:tcPr>
          <w:p w:rsidR="00B2274A" w:rsidRDefault="002343A7">
            <w:pPr>
              <w:spacing w:line="300" w:lineRule="exact"/>
              <w:jc w:val="right"/>
              <w:rPr>
                <w:rFonts w:ascii="方正书宋_GBK" w:eastAsia="方正书宋_GBK"/>
                <w:sz w:val="24"/>
                <w:highlight w:val="yellow"/>
              </w:rPr>
            </w:pPr>
            <w:r>
              <w:rPr>
                <w:rFonts w:ascii="方正仿宋_GBK" w:eastAsia="方正仿宋_GBK" w:hAnsi="方正仿宋_GBK" w:cs="方正仿宋_GBK" w:hint="eastAsia"/>
                <w:szCs w:val="21"/>
              </w:rPr>
              <w:t>单位：万元</w:t>
            </w:r>
          </w:p>
        </w:tc>
      </w:tr>
      <w:tr w:rsidR="00B2274A">
        <w:trPr>
          <w:tblHeader/>
          <w:jc w:val="center"/>
        </w:trPr>
        <w:tc>
          <w:tcPr>
            <w:tcW w:w="3131" w:type="dxa"/>
            <w:gridSpan w:val="2"/>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政府采购项目来源</w:t>
            </w:r>
          </w:p>
        </w:tc>
        <w:tc>
          <w:tcPr>
            <w:tcW w:w="672" w:type="dxa"/>
            <w:vMerge w:val="restart"/>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采购物品名称</w:t>
            </w:r>
          </w:p>
        </w:tc>
        <w:tc>
          <w:tcPr>
            <w:tcW w:w="1524" w:type="dxa"/>
            <w:vMerge w:val="restart"/>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政府采购目录序号</w:t>
            </w:r>
          </w:p>
        </w:tc>
        <w:tc>
          <w:tcPr>
            <w:tcW w:w="564" w:type="dxa"/>
            <w:vMerge w:val="restart"/>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数量  单位</w:t>
            </w:r>
          </w:p>
        </w:tc>
        <w:tc>
          <w:tcPr>
            <w:tcW w:w="976" w:type="dxa"/>
            <w:vMerge w:val="restart"/>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数量</w:t>
            </w:r>
          </w:p>
        </w:tc>
        <w:tc>
          <w:tcPr>
            <w:tcW w:w="976" w:type="dxa"/>
            <w:vMerge w:val="restart"/>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单价</w:t>
            </w:r>
          </w:p>
        </w:tc>
        <w:tc>
          <w:tcPr>
            <w:tcW w:w="5909" w:type="dxa"/>
            <w:gridSpan w:val="7"/>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政府采购金额</w:t>
            </w:r>
          </w:p>
        </w:tc>
      </w:tr>
      <w:tr w:rsidR="00B2274A">
        <w:trPr>
          <w:tblHeader/>
          <w:jc w:val="center"/>
        </w:trPr>
        <w:tc>
          <w:tcPr>
            <w:tcW w:w="2155" w:type="dxa"/>
            <w:vMerge w:val="restart"/>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项目名称</w:t>
            </w:r>
          </w:p>
        </w:tc>
        <w:tc>
          <w:tcPr>
            <w:tcW w:w="976" w:type="dxa"/>
            <w:vMerge w:val="restart"/>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预算资金</w:t>
            </w:r>
          </w:p>
        </w:tc>
        <w:tc>
          <w:tcPr>
            <w:tcW w:w="672" w:type="dxa"/>
            <w:vMerge/>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1524" w:type="dxa"/>
            <w:vMerge/>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564" w:type="dxa"/>
            <w:vMerge/>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976" w:type="dxa"/>
            <w:vMerge/>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976" w:type="dxa"/>
            <w:vMerge/>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976" w:type="dxa"/>
            <w:vMerge w:val="restart"/>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总计</w:t>
            </w:r>
          </w:p>
        </w:tc>
        <w:tc>
          <w:tcPr>
            <w:tcW w:w="4321" w:type="dxa"/>
            <w:gridSpan w:val="5"/>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当年部门预算安排资金</w:t>
            </w:r>
          </w:p>
        </w:tc>
        <w:tc>
          <w:tcPr>
            <w:tcW w:w="612" w:type="dxa"/>
            <w:vMerge w:val="restart"/>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其他渠道资金</w:t>
            </w:r>
          </w:p>
        </w:tc>
      </w:tr>
      <w:tr w:rsidR="00B2274A">
        <w:trPr>
          <w:tblHeader/>
          <w:jc w:val="center"/>
        </w:trPr>
        <w:tc>
          <w:tcPr>
            <w:tcW w:w="2155" w:type="dxa"/>
            <w:vMerge/>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976" w:type="dxa"/>
            <w:vMerge/>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672" w:type="dxa"/>
            <w:vMerge/>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1524" w:type="dxa"/>
            <w:vMerge/>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564" w:type="dxa"/>
            <w:vMerge/>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976" w:type="dxa"/>
            <w:vMerge/>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976" w:type="dxa"/>
            <w:vMerge/>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976" w:type="dxa"/>
            <w:vMerge/>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合计</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一般公共预算拨款</w:t>
            </w:r>
          </w:p>
        </w:tc>
        <w:tc>
          <w:tcPr>
            <w:tcW w:w="754"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基金预算拨款</w:t>
            </w:r>
          </w:p>
        </w:tc>
        <w:tc>
          <w:tcPr>
            <w:tcW w:w="75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财政专户核拨</w:t>
            </w:r>
          </w:p>
        </w:tc>
        <w:tc>
          <w:tcPr>
            <w:tcW w:w="859"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其他来源收入</w:t>
            </w:r>
          </w:p>
        </w:tc>
        <w:tc>
          <w:tcPr>
            <w:tcW w:w="612" w:type="dxa"/>
            <w:vMerge/>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r>
      <w:tr w:rsidR="00B2274A">
        <w:trPr>
          <w:jc w:val="center"/>
        </w:trPr>
        <w:tc>
          <w:tcPr>
            <w:tcW w:w="2155"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合　计</w:t>
            </w:r>
          </w:p>
        </w:tc>
        <w:tc>
          <w:tcPr>
            <w:tcW w:w="976"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672"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1524"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564"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976"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976"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4.9</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 xml:space="preserve">       4.9</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4.9</w:t>
            </w:r>
          </w:p>
        </w:tc>
        <w:tc>
          <w:tcPr>
            <w:tcW w:w="754"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756" w:type="dxa"/>
            <w:shd w:val="clear" w:color="auto" w:fill="auto"/>
            <w:vAlign w:val="center"/>
          </w:tcPr>
          <w:p w:rsidR="00B2274A" w:rsidRDefault="00B2274A">
            <w:pPr>
              <w:spacing w:line="300" w:lineRule="exact"/>
              <w:jc w:val="right"/>
              <w:rPr>
                <w:rFonts w:ascii="方正书宋_GBK" w:eastAsia="方正书宋_GBK"/>
                <w:b/>
                <w:highlight w:val="yellow"/>
              </w:rPr>
            </w:pPr>
          </w:p>
        </w:tc>
        <w:tc>
          <w:tcPr>
            <w:tcW w:w="859" w:type="dxa"/>
            <w:shd w:val="clear" w:color="auto" w:fill="auto"/>
            <w:vAlign w:val="center"/>
          </w:tcPr>
          <w:p w:rsidR="00B2274A" w:rsidRDefault="00B2274A">
            <w:pPr>
              <w:spacing w:line="300" w:lineRule="exact"/>
              <w:jc w:val="right"/>
              <w:rPr>
                <w:rFonts w:ascii="方正书宋_GBK" w:eastAsia="方正书宋_GBK"/>
                <w:b/>
                <w:highlight w:val="yellow"/>
              </w:rPr>
            </w:pPr>
          </w:p>
        </w:tc>
        <w:tc>
          <w:tcPr>
            <w:tcW w:w="612" w:type="dxa"/>
            <w:shd w:val="clear" w:color="auto" w:fill="auto"/>
            <w:vAlign w:val="center"/>
          </w:tcPr>
          <w:p w:rsidR="00B2274A" w:rsidRDefault="00B2274A">
            <w:pPr>
              <w:spacing w:line="300" w:lineRule="exact"/>
              <w:jc w:val="right"/>
              <w:rPr>
                <w:rFonts w:ascii="方正书宋_GBK" w:eastAsia="方正书宋_GBK"/>
                <w:b/>
                <w:highlight w:val="yellow"/>
              </w:rPr>
            </w:pPr>
          </w:p>
        </w:tc>
      </w:tr>
      <w:tr w:rsidR="00B2274A">
        <w:trPr>
          <w:jc w:val="center"/>
        </w:trPr>
        <w:tc>
          <w:tcPr>
            <w:tcW w:w="2155"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威县人民政府办公室小计</w:t>
            </w:r>
          </w:p>
        </w:tc>
        <w:tc>
          <w:tcPr>
            <w:tcW w:w="976"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672"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1524"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564"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976"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976"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4.9</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4.9</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4.9</w:t>
            </w:r>
          </w:p>
        </w:tc>
        <w:tc>
          <w:tcPr>
            <w:tcW w:w="754"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756" w:type="dxa"/>
            <w:shd w:val="clear" w:color="auto" w:fill="auto"/>
            <w:vAlign w:val="center"/>
          </w:tcPr>
          <w:p w:rsidR="00B2274A" w:rsidRDefault="00B2274A">
            <w:pPr>
              <w:spacing w:line="300" w:lineRule="exact"/>
              <w:jc w:val="right"/>
              <w:rPr>
                <w:rFonts w:ascii="方正书宋_GBK" w:eastAsia="方正书宋_GBK"/>
                <w:b/>
                <w:highlight w:val="yellow"/>
              </w:rPr>
            </w:pPr>
          </w:p>
        </w:tc>
        <w:tc>
          <w:tcPr>
            <w:tcW w:w="859" w:type="dxa"/>
            <w:shd w:val="clear" w:color="auto" w:fill="auto"/>
            <w:vAlign w:val="center"/>
          </w:tcPr>
          <w:p w:rsidR="00B2274A" w:rsidRDefault="00B2274A">
            <w:pPr>
              <w:spacing w:line="300" w:lineRule="exact"/>
              <w:jc w:val="right"/>
              <w:rPr>
                <w:rFonts w:ascii="方正书宋_GBK" w:eastAsia="方正书宋_GBK"/>
                <w:b/>
                <w:highlight w:val="yellow"/>
              </w:rPr>
            </w:pPr>
          </w:p>
        </w:tc>
        <w:tc>
          <w:tcPr>
            <w:tcW w:w="612" w:type="dxa"/>
            <w:shd w:val="clear" w:color="auto" w:fill="auto"/>
            <w:vAlign w:val="center"/>
          </w:tcPr>
          <w:p w:rsidR="00B2274A" w:rsidRDefault="00B2274A">
            <w:pPr>
              <w:spacing w:line="300" w:lineRule="exact"/>
              <w:jc w:val="right"/>
              <w:rPr>
                <w:rFonts w:ascii="方正书宋_GBK" w:eastAsia="方正书宋_GBK"/>
                <w:b/>
                <w:highlight w:val="yellow"/>
              </w:rPr>
            </w:pPr>
          </w:p>
        </w:tc>
      </w:tr>
      <w:tr w:rsidR="00B2274A">
        <w:trPr>
          <w:jc w:val="center"/>
        </w:trPr>
        <w:tc>
          <w:tcPr>
            <w:tcW w:w="2155"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lastRenderedPageBreak/>
              <w:t>电脑</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w:t>
            </w:r>
          </w:p>
        </w:tc>
        <w:tc>
          <w:tcPr>
            <w:tcW w:w="672"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计算机设备</w:t>
            </w:r>
          </w:p>
        </w:tc>
        <w:tc>
          <w:tcPr>
            <w:tcW w:w="1524"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A020101</w:t>
            </w:r>
          </w:p>
        </w:tc>
        <w:tc>
          <w:tcPr>
            <w:tcW w:w="564"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台</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0.3</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w:t>
            </w:r>
          </w:p>
        </w:tc>
        <w:tc>
          <w:tcPr>
            <w:tcW w:w="754"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756" w:type="dxa"/>
            <w:shd w:val="clear" w:color="auto" w:fill="auto"/>
            <w:vAlign w:val="center"/>
          </w:tcPr>
          <w:p w:rsidR="00B2274A" w:rsidRDefault="00B2274A">
            <w:pPr>
              <w:spacing w:line="300" w:lineRule="exact"/>
              <w:jc w:val="right"/>
              <w:rPr>
                <w:rFonts w:ascii="方正书宋_GBK" w:eastAsia="方正书宋_GBK"/>
                <w:highlight w:val="yellow"/>
              </w:rPr>
            </w:pPr>
          </w:p>
        </w:tc>
        <w:tc>
          <w:tcPr>
            <w:tcW w:w="859" w:type="dxa"/>
            <w:shd w:val="clear" w:color="auto" w:fill="auto"/>
            <w:vAlign w:val="center"/>
          </w:tcPr>
          <w:p w:rsidR="00B2274A" w:rsidRDefault="00B2274A">
            <w:pPr>
              <w:spacing w:line="300" w:lineRule="exact"/>
              <w:jc w:val="right"/>
              <w:rPr>
                <w:rFonts w:ascii="方正书宋_GBK" w:eastAsia="方正书宋_GBK"/>
                <w:highlight w:val="yellow"/>
              </w:rPr>
            </w:pPr>
          </w:p>
        </w:tc>
        <w:tc>
          <w:tcPr>
            <w:tcW w:w="612" w:type="dxa"/>
            <w:shd w:val="clear" w:color="auto" w:fill="auto"/>
            <w:vAlign w:val="center"/>
          </w:tcPr>
          <w:p w:rsidR="00B2274A" w:rsidRDefault="00B2274A">
            <w:pPr>
              <w:spacing w:line="300" w:lineRule="exact"/>
              <w:jc w:val="right"/>
              <w:rPr>
                <w:rFonts w:ascii="方正书宋_GBK" w:eastAsia="方正书宋_GBK"/>
                <w:highlight w:val="yellow"/>
              </w:rPr>
            </w:pPr>
          </w:p>
        </w:tc>
      </w:tr>
      <w:tr w:rsidR="00B2274A">
        <w:trPr>
          <w:jc w:val="center"/>
        </w:trPr>
        <w:tc>
          <w:tcPr>
            <w:tcW w:w="2155"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打印机</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0.9</w:t>
            </w:r>
          </w:p>
        </w:tc>
        <w:tc>
          <w:tcPr>
            <w:tcW w:w="672"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打印设备</w:t>
            </w:r>
          </w:p>
        </w:tc>
        <w:tc>
          <w:tcPr>
            <w:tcW w:w="1524"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A02010601</w:t>
            </w:r>
          </w:p>
        </w:tc>
        <w:tc>
          <w:tcPr>
            <w:tcW w:w="564"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台</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0.45</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0.9</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0.9</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0.9</w:t>
            </w:r>
          </w:p>
        </w:tc>
        <w:tc>
          <w:tcPr>
            <w:tcW w:w="754"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756" w:type="dxa"/>
            <w:shd w:val="clear" w:color="auto" w:fill="auto"/>
            <w:vAlign w:val="center"/>
          </w:tcPr>
          <w:p w:rsidR="00B2274A" w:rsidRDefault="00B2274A">
            <w:pPr>
              <w:spacing w:line="300" w:lineRule="exact"/>
              <w:jc w:val="right"/>
              <w:rPr>
                <w:rFonts w:ascii="方正书宋_GBK" w:eastAsia="方正书宋_GBK"/>
                <w:highlight w:val="yellow"/>
              </w:rPr>
            </w:pPr>
          </w:p>
        </w:tc>
        <w:tc>
          <w:tcPr>
            <w:tcW w:w="859" w:type="dxa"/>
            <w:shd w:val="clear" w:color="auto" w:fill="auto"/>
            <w:vAlign w:val="center"/>
          </w:tcPr>
          <w:p w:rsidR="00B2274A" w:rsidRDefault="00B2274A">
            <w:pPr>
              <w:spacing w:line="300" w:lineRule="exact"/>
              <w:jc w:val="right"/>
              <w:rPr>
                <w:rFonts w:ascii="方正书宋_GBK" w:eastAsia="方正书宋_GBK"/>
                <w:highlight w:val="yellow"/>
              </w:rPr>
            </w:pPr>
          </w:p>
        </w:tc>
        <w:tc>
          <w:tcPr>
            <w:tcW w:w="612" w:type="dxa"/>
            <w:shd w:val="clear" w:color="auto" w:fill="auto"/>
            <w:vAlign w:val="center"/>
          </w:tcPr>
          <w:p w:rsidR="00B2274A" w:rsidRDefault="00B2274A">
            <w:pPr>
              <w:spacing w:line="300" w:lineRule="exact"/>
              <w:jc w:val="right"/>
              <w:rPr>
                <w:rFonts w:ascii="方正书宋_GBK" w:eastAsia="方正书宋_GBK"/>
                <w:highlight w:val="yellow"/>
              </w:rPr>
            </w:pPr>
          </w:p>
        </w:tc>
      </w:tr>
      <w:tr w:rsidR="00B2274A">
        <w:trPr>
          <w:jc w:val="center"/>
        </w:trPr>
        <w:tc>
          <w:tcPr>
            <w:tcW w:w="2155"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办公设备</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1.05</w:t>
            </w:r>
          </w:p>
        </w:tc>
        <w:tc>
          <w:tcPr>
            <w:tcW w:w="672"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办公设备</w:t>
            </w:r>
          </w:p>
        </w:tc>
        <w:tc>
          <w:tcPr>
            <w:tcW w:w="1524"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A0202</w:t>
            </w:r>
          </w:p>
        </w:tc>
        <w:tc>
          <w:tcPr>
            <w:tcW w:w="564"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台</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0.35</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1.05</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1.05</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1.05</w:t>
            </w:r>
          </w:p>
        </w:tc>
        <w:tc>
          <w:tcPr>
            <w:tcW w:w="754"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756" w:type="dxa"/>
            <w:shd w:val="clear" w:color="auto" w:fill="auto"/>
            <w:vAlign w:val="center"/>
          </w:tcPr>
          <w:p w:rsidR="00B2274A" w:rsidRDefault="00B2274A">
            <w:pPr>
              <w:spacing w:line="300" w:lineRule="exact"/>
              <w:jc w:val="right"/>
              <w:rPr>
                <w:rFonts w:ascii="方正书宋_GBK" w:eastAsia="方正书宋_GBK"/>
                <w:highlight w:val="yellow"/>
              </w:rPr>
            </w:pPr>
          </w:p>
        </w:tc>
        <w:tc>
          <w:tcPr>
            <w:tcW w:w="859" w:type="dxa"/>
            <w:shd w:val="clear" w:color="auto" w:fill="auto"/>
            <w:vAlign w:val="center"/>
          </w:tcPr>
          <w:p w:rsidR="00B2274A" w:rsidRDefault="00B2274A">
            <w:pPr>
              <w:spacing w:line="300" w:lineRule="exact"/>
              <w:jc w:val="right"/>
              <w:rPr>
                <w:rFonts w:ascii="方正书宋_GBK" w:eastAsia="方正书宋_GBK"/>
                <w:highlight w:val="yellow"/>
              </w:rPr>
            </w:pPr>
          </w:p>
        </w:tc>
        <w:tc>
          <w:tcPr>
            <w:tcW w:w="612" w:type="dxa"/>
            <w:shd w:val="clear" w:color="auto" w:fill="auto"/>
            <w:vAlign w:val="center"/>
          </w:tcPr>
          <w:p w:rsidR="00B2274A" w:rsidRDefault="00B2274A">
            <w:pPr>
              <w:spacing w:line="300" w:lineRule="exact"/>
              <w:jc w:val="right"/>
              <w:rPr>
                <w:rFonts w:ascii="方正书宋_GBK" w:eastAsia="方正书宋_GBK"/>
                <w:highlight w:val="yellow"/>
              </w:rPr>
            </w:pPr>
          </w:p>
        </w:tc>
      </w:tr>
      <w:tr w:rsidR="00B2274A">
        <w:trPr>
          <w:jc w:val="center"/>
        </w:trPr>
        <w:tc>
          <w:tcPr>
            <w:tcW w:w="2155"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家具</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1.2</w:t>
            </w:r>
          </w:p>
        </w:tc>
        <w:tc>
          <w:tcPr>
            <w:tcW w:w="672"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家具用具</w:t>
            </w:r>
          </w:p>
        </w:tc>
        <w:tc>
          <w:tcPr>
            <w:tcW w:w="1524"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A06</w:t>
            </w:r>
          </w:p>
        </w:tc>
        <w:tc>
          <w:tcPr>
            <w:tcW w:w="564"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组</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0.15</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1.2</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1.2</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1.2</w:t>
            </w:r>
          </w:p>
        </w:tc>
        <w:tc>
          <w:tcPr>
            <w:tcW w:w="754"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756" w:type="dxa"/>
            <w:shd w:val="clear" w:color="auto" w:fill="auto"/>
            <w:vAlign w:val="center"/>
          </w:tcPr>
          <w:p w:rsidR="00B2274A" w:rsidRDefault="00B2274A">
            <w:pPr>
              <w:spacing w:line="300" w:lineRule="exact"/>
              <w:jc w:val="right"/>
              <w:rPr>
                <w:rFonts w:ascii="方正书宋_GBK" w:eastAsia="方正书宋_GBK"/>
                <w:highlight w:val="yellow"/>
              </w:rPr>
            </w:pPr>
          </w:p>
        </w:tc>
        <w:tc>
          <w:tcPr>
            <w:tcW w:w="859" w:type="dxa"/>
            <w:shd w:val="clear" w:color="auto" w:fill="auto"/>
            <w:vAlign w:val="center"/>
          </w:tcPr>
          <w:p w:rsidR="00B2274A" w:rsidRDefault="00B2274A">
            <w:pPr>
              <w:spacing w:line="300" w:lineRule="exact"/>
              <w:jc w:val="right"/>
              <w:rPr>
                <w:rFonts w:ascii="方正书宋_GBK" w:eastAsia="方正书宋_GBK"/>
                <w:highlight w:val="yellow"/>
              </w:rPr>
            </w:pPr>
          </w:p>
        </w:tc>
        <w:tc>
          <w:tcPr>
            <w:tcW w:w="612" w:type="dxa"/>
            <w:shd w:val="clear" w:color="auto" w:fill="auto"/>
            <w:vAlign w:val="center"/>
          </w:tcPr>
          <w:p w:rsidR="00B2274A" w:rsidRDefault="00B2274A">
            <w:pPr>
              <w:spacing w:line="300" w:lineRule="exact"/>
              <w:jc w:val="right"/>
              <w:rPr>
                <w:rFonts w:ascii="方正书宋_GBK" w:eastAsia="方正书宋_GBK"/>
                <w:highlight w:val="yellow"/>
              </w:rPr>
            </w:pPr>
          </w:p>
        </w:tc>
      </w:tr>
      <w:tr w:rsidR="00B2274A">
        <w:trPr>
          <w:jc w:val="center"/>
        </w:trPr>
        <w:tc>
          <w:tcPr>
            <w:tcW w:w="2155"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打字复印一体机</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0.25</w:t>
            </w:r>
          </w:p>
        </w:tc>
        <w:tc>
          <w:tcPr>
            <w:tcW w:w="672"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多功能一体机</w:t>
            </w:r>
          </w:p>
        </w:tc>
        <w:tc>
          <w:tcPr>
            <w:tcW w:w="1524"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A020204</w:t>
            </w:r>
          </w:p>
        </w:tc>
        <w:tc>
          <w:tcPr>
            <w:tcW w:w="564"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台</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0.25</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0.25</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0.25</w:t>
            </w:r>
          </w:p>
        </w:tc>
        <w:tc>
          <w:tcPr>
            <w:tcW w:w="976" w:type="dxa"/>
            <w:shd w:val="clear" w:color="auto" w:fill="auto"/>
            <w:vAlign w:val="center"/>
          </w:tcPr>
          <w:p w:rsidR="00B2274A" w:rsidRDefault="002343A7">
            <w:pPr>
              <w:spacing w:line="300" w:lineRule="exact"/>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0.25</w:t>
            </w:r>
          </w:p>
        </w:tc>
        <w:tc>
          <w:tcPr>
            <w:tcW w:w="754" w:type="dxa"/>
            <w:shd w:val="clear" w:color="auto" w:fill="auto"/>
            <w:vAlign w:val="center"/>
          </w:tcPr>
          <w:p w:rsidR="00B2274A" w:rsidRDefault="00B2274A">
            <w:pPr>
              <w:spacing w:line="300" w:lineRule="exact"/>
              <w:jc w:val="center"/>
              <w:rPr>
                <w:rFonts w:ascii="方正仿宋_GBK" w:eastAsia="方正仿宋_GBK" w:hAnsi="方正仿宋_GBK" w:cs="方正仿宋_GBK"/>
                <w:szCs w:val="21"/>
              </w:rPr>
            </w:pPr>
          </w:p>
        </w:tc>
        <w:tc>
          <w:tcPr>
            <w:tcW w:w="756" w:type="dxa"/>
            <w:shd w:val="clear" w:color="auto" w:fill="auto"/>
            <w:vAlign w:val="center"/>
          </w:tcPr>
          <w:p w:rsidR="00B2274A" w:rsidRDefault="00B2274A">
            <w:pPr>
              <w:spacing w:line="300" w:lineRule="exact"/>
              <w:jc w:val="right"/>
              <w:rPr>
                <w:rFonts w:ascii="方正书宋_GBK" w:eastAsia="方正书宋_GBK"/>
                <w:highlight w:val="yellow"/>
              </w:rPr>
            </w:pPr>
          </w:p>
        </w:tc>
        <w:tc>
          <w:tcPr>
            <w:tcW w:w="859" w:type="dxa"/>
            <w:shd w:val="clear" w:color="auto" w:fill="auto"/>
            <w:vAlign w:val="center"/>
          </w:tcPr>
          <w:p w:rsidR="00B2274A" w:rsidRDefault="00B2274A">
            <w:pPr>
              <w:spacing w:line="300" w:lineRule="exact"/>
              <w:jc w:val="right"/>
              <w:rPr>
                <w:rFonts w:ascii="方正书宋_GBK" w:eastAsia="方正书宋_GBK"/>
                <w:highlight w:val="yellow"/>
              </w:rPr>
            </w:pPr>
          </w:p>
        </w:tc>
        <w:tc>
          <w:tcPr>
            <w:tcW w:w="612" w:type="dxa"/>
            <w:shd w:val="clear" w:color="auto" w:fill="auto"/>
            <w:vAlign w:val="center"/>
          </w:tcPr>
          <w:p w:rsidR="00B2274A" w:rsidRDefault="00B2274A">
            <w:pPr>
              <w:spacing w:line="300" w:lineRule="exact"/>
              <w:jc w:val="right"/>
              <w:rPr>
                <w:rFonts w:ascii="方正书宋_GBK" w:eastAsia="方正书宋_GBK"/>
                <w:highlight w:val="yellow"/>
              </w:rPr>
            </w:pPr>
          </w:p>
        </w:tc>
      </w:tr>
    </w:tbl>
    <w:p w:rsidR="00B2274A" w:rsidRDefault="002343A7">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B2274A" w:rsidRDefault="002343A7">
      <w:pPr>
        <w:ind w:firstLine="640"/>
        <w:rPr>
          <w:rFonts w:ascii="方正书宋_GBK" w:eastAsia="方正书宋_GBK" w:hAnsi="方正书宋_GBK" w:cs="方正书宋_GBK"/>
          <w:sz w:val="32"/>
          <w:szCs w:val="32"/>
        </w:rPr>
      </w:pPr>
      <w:r>
        <w:rPr>
          <w:rFonts w:ascii="方正书宋_GBK" w:eastAsia="方正书宋_GBK" w:hAnsi="方正书宋_GBK" w:cs="方正书宋_GBK" w:hint="eastAsia"/>
          <w:sz w:val="32"/>
          <w:szCs w:val="32"/>
        </w:rPr>
        <w:t>威县人民政府办公室上年末固定资产金额为701.14万元（详见下表），本年度拟购置固定资产总额为4.9万元，主要为计算机设备、打印设备、办公家具等，已列入政府采购预算，详见政府采购</w:t>
      </w:r>
      <w:r>
        <w:rPr>
          <w:rFonts w:ascii="方正书宋_GBK" w:eastAsia="方正书宋_GBK" w:hAnsi="方正书宋_GBK" w:cs="方正书宋_GBK" w:hint="eastAsia"/>
          <w:sz w:val="32"/>
          <w:szCs w:val="32"/>
        </w:rPr>
        <w:lastRenderedPageBreak/>
        <w:t>预算表。</w:t>
      </w:r>
    </w:p>
    <w:tbl>
      <w:tblPr>
        <w:tblW w:w="13482" w:type="dxa"/>
        <w:tblInd w:w="93" w:type="dxa"/>
        <w:tblLayout w:type="fixed"/>
        <w:tblLook w:val="04A0" w:firstRow="1" w:lastRow="0" w:firstColumn="1" w:lastColumn="0" w:noHBand="0" w:noVBand="1"/>
      </w:tblPr>
      <w:tblGrid>
        <w:gridCol w:w="5224"/>
        <w:gridCol w:w="3155"/>
        <w:gridCol w:w="5103"/>
      </w:tblGrid>
      <w:tr w:rsidR="00B2274A">
        <w:trPr>
          <w:trHeight w:val="705"/>
        </w:trPr>
        <w:tc>
          <w:tcPr>
            <w:tcW w:w="13482" w:type="dxa"/>
            <w:gridSpan w:val="3"/>
            <w:tcBorders>
              <w:top w:val="nil"/>
              <w:left w:val="nil"/>
              <w:bottom w:val="nil"/>
              <w:right w:val="nil"/>
            </w:tcBorders>
            <w:shd w:val="clear" w:color="auto" w:fill="auto"/>
            <w:noWrap/>
            <w:vAlign w:val="center"/>
          </w:tcPr>
          <w:p w:rsidR="00B2274A" w:rsidRDefault="002343A7">
            <w:pPr>
              <w:widowControl/>
              <w:jc w:val="center"/>
              <w:rPr>
                <w:rFonts w:ascii="宋体" w:eastAsia="宋体" w:hAnsi="宋体" w:cs="宋体"/>
                <w:b/>
                <w:bCs/>
                <w:kern w:val="0"/>
                <w:sz w:val="32"/>
                <w:szCs w:val="32"/>
                <w:highlight w:val="yellow"/>
              </w:rPr>
            </w:pPr>
            <w:r>
              <w:rPr>
                <w:rFonts w:ascii="宋体" w:eastAsia="宋体" w:hAnsi="宋体" w:cs="宋体" w:hint="eastAsia"/>
                <w:b/>
                <w:bCs/>
                <w:kern w:val="0"/>
                <w:sz w:val="32"/>
                <w:szCs w:val="32"/>
              </w:rPr>
              <w:t>固定资产占用情况表</w:t>
            </w:r>
          </w:p>
        </w:tc>
      </w:tr>
      <w:tr w:rsidR="00B2274A">
        <w:trPr>
          <w:trHeight w:val="510"/>
        </w:trPr>
        <w:tc>
          <w:tcPr>
            <w:tcW w:w="8379" w:type="dxa"/>
            <w:gridSpan w:val="2"/>
            <w:tcBorders>
              <w:top w:val="nil"/>
              <w:left w:val="nil"/>
              <w:bottom w:val="nil"/>
              <w:right w:val="nil"/>
            </w:tcBorders>
            <w:shd w:val="clear" w:color="auto" w:fill="auto"/>
            <w:noWrap/>
            <w:vAlign w:val="center"/>
          </w:tcPr>
          <w:p w:rsidR="00B2274A" w:rsidRDefault="002343A7">
            <w:pPr>
              <w:widowControl/>
              <w:jc w:val="left"/>
              <w:rPr>
                <w:rFonts w:ascii="宋体" w:eastAsia="宋体" w:hAnsi="宋体" w:cs="宋体"/>
                <w:kern w:val="0"/>
                <w:sz w:val="22"/>
                <w:highlight w:val="yellow"/>
              </w:rPr>
            </w:pPr>
            <w:r>
              <w:rPr>
                <w:rFonts w:ascii="宋体" w:eastAsia="宋体" w:hAnsi="宋体" w:cs="宋体" w:hint="eastAsia"/>
                <w:kern w:val="0"/>
                <w:sz w:val="22"/>
              </w:rPr>
              <w:t>编制部门：威县人民政府办公室</w:t>
            </w:r>
          </w:p>
        </w:tc>
        <w:tc>
          <w:tcPr>
            <w:tcW w:w="5103" w:type="dxa"/>
            <w:tcBorders>
              <w:top w:val="nil"/>
              <w:left w:val="nil"/>
              <w:bottom w:val="nil"/>
              <w:right w:val="nil"/>
            </w:tcBorders>
            <w:shd w:val="clear" w:color="auto" w:fill="auto"/>
            <w:noWrap/>
            <w:vAlign w:val="center"/>
          </w:tcPr>
          <w:p w:rsidR="00B2274A" w:rsidRDefault="002343A7">
            <w:pPr>
              <w:widowControl/>
              <w:ind w:firstLineChars="800" w:firstLine="1760"/>
              <w:jc w:val="left"/>
              <w:rPr>
                <w:rFonts w:ascii="宋体" w:eastAsia="宋体" w:hAnsi="宋体" w:cs="宋体"/>
                <w:kern w:val="0"/>
                <w:sz w:val="22"/>
                <w:highlight w:val="yellow"/>
              </w:rPr>
            </w:pPr>
            <w:r>
              <w:rPr>
                <w:rFonts w:ascii="宋体" w:eastAsia="宋体" w:hAnsi="宋体" w:cs="宋体" w:hint="eastAsia"/>
                <w:kern w:val="0"/>
                <w:sz w:val="22"/>
              </w:rPr>
              <w:t xml:space="preserve">截止时间：2018年12月31日  </w:t>
            </w:r>
          </w:p>
        </w:tc>
      </w:tr>
      <w:tr w:rsidR="00B2274A">
        <w:trPr>
          <w:trHeight w:val="645"/>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274A" w:rsidRDefault="002343A7">
            <w:pPr>
              <w:widowControl/>
              <w:jc w:val="center"/>
              <w:rPr>
                <w:rFonts w:ascii="宋体" w:eastAsia="宋体" w:hAnsi="宋体" w:cs="宋体"/>
                <w:b/>
                <w:bCs/>
                <w:kern w:val="0"/>
                <w:sz w:val="22"/>
              </w:rPr>
            </w:pPr>
            <w:r>
              <w:rPr>
                <w:rFonts w:ascii="宋体" w:eastAsia="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rsidR="00B2274A" w:rsidRDefault="002343A7">
            <w:pPr>
              <w:widowControl/>
              <w:jc w:val="center"/>
              <w:rPr>
                <w:rFonts w:ascii="宋体" w:eastAsia="宋体" w:hAnsi="宋体" w:cs="宋体"/>
                <w:b/>
                <w:bCs/>
                <w:kern w:val="0"/>
                <w:sz w:val="22"/>
              </w:rPr>
            </w:pPr>
            <w:r>
              <w:rPr>
                <w:rFonts w:ascii="宋体" w:eastAsia="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rsidR="00B2274A" w:rsidRDefault="002343A7">
            <w:pPr>
              <w:widowControl/>
              <w:jc w:val="center"/>
              <w:rPr>
                <w:rFonts w:ascii="宋体" w:eastAsia="宋体" w:hAnsi="宋体" w:cs="宋体"/>
                <w:b/>
                <w:bCs/>
                <w:kern w:val="0"/>
                <w:sz w:val="22"/>
              </w:rPr>
            </w:pPr>
            <w:r>
              <w:rPr>
                <w:rFonts w:ascii="宋体" w:eastAsia="宋体" w:hAnsi="宋体" w:cs="宋体" w:hint="eastAsia"/>
                <w:b/>
                <w:bCs/>
                <w:kern w:val="0"/>
                <w:sz w:val="22"/>
              </w:rPr>
              <w:t>价值（金额单位：万元）</w:t>
            </w:r>
          </w:p>
        </w:tc>
      </w:tr>
      <w:tr w:rsidR="00B2274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2274A" w:rsidRDefault="002343A7">
            <w:pPr>
              <w:widowControl/>
              <w:jc w:val="center"/>
              <w:rPr>
                <w:rFonts w:ascii="宋体" w:eastAsia="宋体" w:hAnsi="宋体" w:cs="宋体"/>
                <w:kern w:val="0"/>
                <w:sz w:val="22"/>
              </w:rPr>
            </w:pPr>
            <w:r>
              <w:rPr>
                <w:rFonts w:ascii="宋体" w:eastAsia="宋体" w:hAnsi="宋体" w:cs="宋体" w:hint="eastAsia"/>
                <w:kern w:val="0"/>
                <w:sz w:val="22"/>
              </w:rPr>
              <w:t>资产总额</w:t>
            </w:r>
          </w:p>
        </w:tc>
        <w:tc>
          <w:tcPr>
            <w:tcW w:w="3155" w:type="dxa"/>
            <w:tcBorders>
              <w:top w:val="nil"/>
              <w:left w:val="nil"/>
              <w:bottom w:val="single" w:sz="4" w:space="0" w:color="auto"/>
              <w:right w:val="single" w:sz="4" w:space="0" w:color="auto"/>
            </w:tcBorders>
            <w:shd w:val="clear" w:color="auto" w:fill="auto"/>
            <w:noWrap/>
            <w:vAlign w:val="center"/>
          </w:tcPr>
          <w:p w:rsidR="00B2274A" w:rsidRDefault="002343A7">
            <w:pPr>
              <w:widowControl/>
              <w:jc w:val="center"/>
              <w:rPr>
                <w:rFonts w:ascii="Times New Roman" w:eastAsia="宋体" w:hAnsi="Times New Roman" w:cs="Times New Roman"/>
                <w:kern w:val="0"/>
                <w:sz w:val="22"/>
                <w:highlight w:val="yellow"/>
              </w:rPr>
            </w:pPr>
            <w:r>
              <w:rPr>
                <w:rFonts w:ascii="Times New Roman" w:eastAsia="宋体" w:hAnsi="Times New Roman" w:cs="Times New Roman"/>
                <w:kern w:val="0"/>
                <w:sz w:val="22"/>
              </w:rPr>
              <w:t>——</w:t>
            </w:r>
          </w:p>
        </w:tc>
        <w:tc>
          <w:tcPr>
            <w:tcW w:w="5103" w:type="dxa"/>
            <w:tcBorders>
              <w:top w:val="nil"/>
              <w:left w:val="nil"/>
              <w:bottom w:val="single" w:sz="4" w:space="0" w:color="auto"/>
              <w:right w:val="single" w:sz="4" w:space="0" w:color="auto"/>
            </w:tcBorders>
            <w:shd w:val="clear" w:color="auto" w:fill="auto"/>
            <w:noWrap/>
            <w:vAlign w:val="center"/>
          </w:tcPr>
          <w:p w:rsidR="00B2274A" w:rsidRDefault="002343A7">
            <w:pPr>
              <w:widowControl/>
              <w:jc w:val="center"/>
              <w:rPr>
                <w:rFonts w:ascii="宋体" w:eastAsia="宋体" w:hAnsi="宋体" w:cs="宋体"/>
                <w:kern w:val="0"/>
                <w:sz w:val="22"/>
              </w:rPr>
            </w:pPr>
            <w:r>
              <w:rPr>
                <w:rFonts w:ascii="宋体" w:eastAsia="宋体" w:hAnsi="宋体" w:cs="宋体" w:hint="eastAsia"/>
                <w:kern w:val="0"/>
                <w:sz w:val="22"/>
              </w:rPr>
              <w:t>701.14</w:t>
            </w:r>
          </w:p>
        </w:tc>
      </w:tr>
      <w:tr w:rsidR="00B2274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2274A" w:rsidRDefault="002343A7">
            <w:pPr>
              <w:widowControl/>
              <w:jc w:val="left"/>
              <w:rPr>
                <w:rFonts w:ascii="宋体" w:eastAsia="宋体" w:hAnsi="宋体" w:cs="宋体"/>
                <w:kern w:val="0"/>
                <w:sz w:val="22"/>
              </w:rPr>
            </w:pPr>
            <w:r>
              <w:rPr>
                <w:rFonts w:ascii="宋体" w:eastAsia="宋体" w:hAnsi="宋体" w:cs="宋体" w:hint="eastAsia"/>
                <w:kern w:val="0"/>
                <w:sz w:val="22"/>
              </w:rPr>
              <w:t>1、房屋（平方米）</w:t>
            </w:r>
          </w:p>
        </w:tc>
        <w:tc>
          <w:tcPr>
            <w:tcW w:w="3155" w:type="dxa"/>
            <w:tcBorders>
              <w:top w:val="nil"/>
              <w:left w:val="nil"/>
              <w:bottom w:val="single" w:sz="4" w:space="0" w:color="auto"/>
              <w:right w:val="single" w:sz="4" w:space="0" w:color="auto"/>
            </w:tcBorders>
            <w:shd w:val="clear" w:color="auto" w:fill="auto"/>
            <w:noWrap/>
            <w:vAlign w:val="center"/>
          </w:tcPr>
          <w:p w:rsidR="00B2274A" w:rsidRDefault="00B2274A">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B2274A" w:rsidRDefault="002343A7">
            <w:pPr>
              <w:widowControl/>
              <w:jc w:val="center"/>
              <w:rPr>
                <w:rFonts w:ascii="宋体" w:eastAsia="宋体" w:hAnsi="宋体" w:cs="宋体"/>
                <w:kern w:val="0"/>
                <w:sz w:val="22"/>
              </w:rPr>
            </w:pPr>
            <w:r>
              <w:rPr>
                <w:rFonts w:ascii="宋体" w:eastAsia="宋体" w:hAnsi="宋体" w:cs="宋体" w:hint="eastAsia"/>
                <w:kern w:val="0"/>
                <w:sz w:val="22"/>
              </w:rPr>
              <w:t>60.4</w:t>
            </w:r>
          </w:p>
        </w:tc>
      </w:tr>
      <w:tr w:rsidR="00B2274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2274A" w:rsidRDefault="002343A7">
            <w:pPr>
              <w:widowControl/>
              <w:jc w:val="left"/>
              <w:rPr>
                <w:rFonts w:ascii="宋体" w:eastAsia="宋体" w:hAnsi="宋体" w:cs="宋体"/>
                <w:kern w:val="0"/>
                <w:sz w:val="22"/>
              </w:rPr>
            </w:pPr>
            <w:r>
              <w:rPr>
                <w:rFonts w:ascii="宋体" w:eastAsia="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rsidR="00B2274A" w:rsidRDefault="00B2274A">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B2274A" w:rsidRDefault="002343A7">
            <w:pPr>
              <w:widowControl/>
              <w:jc w:val="center"/>
              <w:rPr>
                <w:rFonts w:ascii="宋体" w:eastAsia="宋体" w:hAnsi="宋体" w:cs="宋体"/>
                <w:kern w:val="0"/>
                <w:sz w:val="22"/>
              </w:rPr>
            </w:pPr>
            <w:r>
              <w:rPr>
                <w:rFonts w:ascii="宋体" w:eastAsia="宋体" w:hAnsi="宋体" w:cs="宋体" w:hint="eastAsia"/>
                <w:kern w:val="0"/>
                <w:sz w:val="22"/>
              </w:rPr>
              <w:t>60.4</w:t>
            </w:r>
          </w:p>
        </w:tc>
      </w:tr>
      <w:tr w:rsidR="00B2274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2274A" w:rsidRDefault="002343A7">
            <w:pPr>
              <w:widowControl/>
              <w:jc w:val="left"/>
              <w:rPr>
                <w:rFonts w:ascii="宋体" w:eastAsia="宋体" w:hAnsi="宋体" w:cs="宋体"/>
                <w:kern w:val="0"/>
                <w:sz w:val="22"/>
              </w:rPr>
            </w:pPr>
            <w:r>
              <w:rPr>
                <w:rFonts w:ascii="宋体" w:eastAsia="宋体" w:hAnsi="宋体" w:cs="宋体" w:hint="eastAsia"/>
                <w:kern w:val="0"/>
                <w:sz w:val="22"/>
              </w:rPr>
              <w:t>2、车辆（台、辆）</w:t>
            </w:r>
          </w:p>
        </w:tc>
        <w:tc>
          <w:tcPr>
            <w:tcW w:w="3155" w:type="dxa"/>
            <w:tcBorders>
              <w:top w:val="nil"/>
              <w:left w:val="nil"/>
              <w:bottom w:val="single" w:sz="4" w:space="0" w:color="auto"/>
              <w:right w:val="single" w:sz="4" w:space="0" w:color="auto"/>
            </w:tcBorders>
            <w:shd w:val="clear" w:color="auto" w:fill="auto"/>
            <w:noWrap/>
            <w:vAlign w:val="center"/>
          </w:tcPr>
          <w:p w:rsidR="00B2274A" w:rsidRDefault="002343A7">
            <w:pPr>
              <w:jc w:val="center"/>
              <w:rPr>
                <w:rFonts w:ascii="Times New Roman" w:hAnsi="Times New Roman" w:cs="Times New Roman"/>
                <w:sz w:val="22"/>
                <w:highlight w:val="yellow"/>
              </w:rPr>
            </w:pPr>
            <w:r>
              <w:rPr>
                <w:rFonts w:ascii="宋体" w:eastAsia="宋体" w:hAnsi="宋体" w:cs="宋体" w:hint="eastAsia"/>
                <w:kern w:val="0"/>
                <w:sz w:val="22"/>
              </w:rPr>
              <w:t>6</w:t>
            </w:r>
          </w:p>
        </w:tc>
        <w:tc>
          <w:tcPr>
            <w:tcW w:w="5103" w:type="dxa"/>
            <w:tcBorders>
              <w:top w:val="nil"/>
              <w:left w:val="nil"/>
              <w:bottom w:val="single" w:sz="4" w:space="0" w:color="auto"/>
              <w:right w:val="single" w:sz="4" w:space="0" w:color="auto"/>
            </w:tcBorders>
            <w:shd w:val="clear" w:color="auto" w:fill="auto"/>
            <w:noWrap/>
            <w:vAlign w:val="center"/>
          </w:tcPr>
          <w:p w:rsidR="00B2274A" w:rsidRDefault="002343A7">
            <w:pPr>
              <w:widowControl/>
              <w:jc w:val="center"/>
              <w:rPr>
                <w:rFonts w:ascii="宋体" w:eastAsia="宋体" w:hAnsi="宋体" w:cs="宋体"/>
                <w:kern w:val="0"/>
                <w:sz w:val="22"/>
              </w:rPr>
            </w:pPr>
            <w:r>
              <w:rPr>
                <w:rFonts w:ascii="宋体" w:eastAsia="宋体" w:hAnsi="宋体" w:cs="宋体" w:hint="eastAsia"/>
                <w:kern w:val="0"/>
                <w:sz w:val="22"/>
              </w:rPr>
              <w:t>131.6</w:t>
            </w:r>
          </w:p>
        </w:tc>
      </w:tr>
      <w:tr w:rsidR="00B2274A">
        <w:trPr>
          <w:trHeight w:val="645"/>
        </w:trPr>
        <w:tc>
          <w:tcPr>
            <w:tcW w:w="5224" w:type="dxa"/>
            <w:tcBorders>
              <w:top w:val="nil"/>
              <w:left w:val="single" w:sz="4" w:space="0" w:color="auto"/>
              <w:bottom w:val="single" w:sz="4" w:space="0" w:color="auto"/>
              <w:right w:val="single" w:sz="4" w:space="0" w:color="auto"/>
            </w:tcBorders>
            <w:shd w:val="clear" w:color="auto" w:fill="auto"/>
            <w:vAlign w:val="center"/>
          </w:tcPr>
          <w:p w:rsidR="00B2274A" w:rsidRDefault="002343A7">
            <w:pPr>
              <w:widowControl/>
              <w:jc w:val="left"/>
              <w:rPr>
                <w:rFonts w:ascii="宋体" w:eastAsia="宋体" w:hAnsi="宋体" w:cs="宋体"/>
                <w:kern w:val="0"/>
                <w:sz w:val="22"/>
              </w:rPr>
            </w:pPr>
            <w:r>
              <w:rPr>
                <w:rFonts w:ascii="宋体" w:eastAsia="宋体" w:hAnsi="宋体" w:cs="宋体" w:hint="eastAsia"/>
                <w:kern w:val="0"/>
                <w:sz w:val="22"/>
              </w:rPr>
              <w:t>3、单价在20万元以上的设备</w:t>
            </w:r>
          </w:p>
        </w:tc>
        <w:tc>
          <w:tcPr>
            <w:tcW w:w="3155" w:type="dxa"/>
            <w:tcBorders>
              <w:top w:val="nil"/>
              <w:left w:val="nil"/>
              <w:bottom w:val="single" w:sz="4" w:space="0" w:color="auto"/>
              <w:right w:val="single" w:sz="4" w:space="0" w:color="auto"/>
            </w:tcBorders>
            <w:shd w:val="clear" w:color="auto" w:fill="auto"/>
            <w:noWrap/>
            <w:vAlign w:val="center"/>
          </w:tcPr>
          <w:p w:rsidR="00B2274A" w:rsidRDefault="00B2274A">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B2274A" w:rsidRDefault="00B2274A">
            <w:pPr>
              <w:widowControl/>
              <w:jc w:val="center"/>
              <w:rPr>
                <w:rFonts w:ascii="宋体" w:eastAsia="宋体" w:hAnsi="宋体" w:cs="宋体"/>
                <w:kern w:val="0"/>
                <w:sz w:val="22"/>
              </w:rPr>
            </w:pPr>
          </w:p>
        </w:tc>
      </w:tr>
      <w:tr w:rsidR="00B2274A">
        <w:trPr>
          <w:trHeight w:val="645"/>
        </w:trPr>
        <w:tc>
          <w:tcPr>
            <w:tcW w:w="5224" w:type="dxa"/>
            <w:tcBorders>
              <w:top w:val="nil"/>
              <w:left w:val="single" w:sz="4" w:space="0" w:color="auto"/>
              <w:bottom w:val="single" w:sz="4" w:space="0" w:color="auto"/>
              <w:right w:val="single" w:sz="4" w:space="0" w:color="auto"/>
            </w:tcBorders>
            <w:shd w:val="clear" w:color="auto" w:fill="auto"/>
            <w:noWrap/>
            <w:vAlign w:val="center"/>
          </w:tcPr>
          <w:p w:rsidR="00B2274A" w:rsidRDefault="002343A7">
            <w:pPr>
              <w:widowControl/>
              <w:jc w:val="left"/>
              <w:rPr>
                <w:rFonts w:ascii="宋体" w:eastAsia="宋体" w:hAnsi="宋体" w:cs="宋体"/>
                <w:kern w:val="0"/>
                <w:sz w:val="22"/>
              </w:rPr>
            </w:pPr>
            <w:r>
              <w:rPr>
                <w:rFonts w:ascii="宋体" w:eastAsia="宋体" w:hAnsi="宋体" w:cs="宋体" w:hint="eastAsia"/>
                <w:kern w:val="0"/>
                <w:sz w:val="22"/>
              </w:rPr>
              <w:t>4、其他固定资产</w:t>
            </w:r>
          </w:p>
        </w:tc>
        <w:tc>
          <w:tcPr>
            <w:tcW w:w="3155" w:type="dxa"/>
            <w:tcBorders>
              <w:top w:val="nil"/>
              <w:left w:val="nil"/>
              <w:bottom w:val="single" w:sz="4" w:space="0" w:color="auto"/>
              <w:right w:val="single" w:sz="4" w:space="0" w:color="auto"/>
            </w:tcBorders>
            <w:shd w:val="clear" w:color="auto" w:fill="auto"/>
            <w:noWrap/>
            <w:vAlign w:val="center"/>
          </w:tcPr>
          <w:p w:rsidR="00B2274A" w:rsidRDefault="00B2274A">
            <w:pPr>
              <w:jc w:val="center"/>
              <w:rPr>
                <w:rFonts w:ascii="Times New Roman" w:hAnsi="Times New Roman" w:cs="Times New Roman"/>
                <w:sz w:val="22"/>
                <w:highlight w:val="yellow"/>
              </w:rPr>
            </w:pPr>
          </w:p>
        </w:tc>
        <w:tc>
          <w:tcPr>
            <w:tcW w:w="5103" w:type="dxa"/>
            <w:tcBorders>
              <w:top w:val="nil"/>
              <w:left w:val="nil"/>
              <w:bottom w:val="single" w:sz="4" w:space="0" w:color="auto"/>
              <w:right w:val="single" w:sz="4" w:space="0" w:color="auto"/>
            </w:tcBorders>
            <w:shd w:val="clear" w:color="auto" w:fill="auto"/>
            <w:noWrap/>
            <w:vAlign w:val="center"/>
          </w:tcPr>
          <w:p w:rsidR="00B2274A" w:rsidRDefault="002343A7">
            <w:pPr>
              <w:widowControl/>
              <w:jc w:val="center"/>
              <w:rPr>
                <w:rFonts w:ascii="宋体" w:eastAsia="宋体" w:hAnsi="宋体" w:cs="宋体"/>
                <w:kern w:val="0"/>
                <w:sz w:val="22"/>
              </w:rPr>
            </w:pPr>
            <w:r>
              <w:rPr>
                <w:rFonts w:ascii="宋体" w:eastAsia="宋体" w:hAnsi="宋体" w:cs="宋体" w:hint="eastAsia"/>
                <w:kern w:val="0"/>
                <w:sz w:val="22"/>
              </w:rPr>
              <w:t>509.14</w:t>
            </w:r>
          </w:p>
        </w:tc>
      </w:tr>
    </w:tbl>
    <w:p w:rsidR="00B2274A" w:rsidRDefault="002343A7">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八、名词解释</w:t>
      </w:r>
    </w:p>
    <w:p w:rsidR="00B2274A" w:rsidRDefault="002343A7">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、一般</w:t>
      </w:r>
      <w:r>
        <w:rPr>
          <w:rFonts w:ascii="Times New Roman" w:eastAsia="方正仿宋_GBK" w:hAnsi="Times New Roman" w:cs="Times New Roman" w:hint="eastAsia"/>
          <w:b/>
          <w:sz w:val="32"/>
          <w:szCs w:val="32"/>
        </w:rPr>
        <w:t>公</w:t>
      </w:r>
      <w:r>
        <w:rPr>
          <w:rFonts w:ascii="Times New Roman" w:eastAsia="方正仿宋_GBK" w:hAnsi="Times New Roman" w:cs="Times New Roman"/>
          <w:b/>
          <w:sz w:val="32"/>
          <w:szCs w:val="32"/>
        </w:rPr>
        <w:t>共预算拨款收入：</w:t>
      </w:r>
      <w:r>
        <w:rPr>
          <w:rFonts w:ascii="Times New Roman" w:eastAsia="方正仿宋_GBK" w:hAnsi="Times New Roman" w:cs="Times New Roman"/>
          <w:sz w:val="32"/>
          <w:szCs w:val="32"/>
        </w:rPr>
        <w:t>指</w:t>
      </w:r>
      <w:r>
        <w:rPr>
          <w:rFonts w:ascii="Times New Roman" w:eastAsia="方正仿宋_GBK" w:hAnsi="Times New Roman" w:cs="Times New Roman" w:hint="eastAsia"/>
          <w:sz w:val="32"/>
          <w:szCs w:val="32"/>
        </w:rPr>
        <w:t>县级</w:t>
      </w:r>
      <w:r>
        <w:rPr>
          <w:rFonts w:ascii="Times New Roman" w:eastAsia="方正仿宋_GBK" w:hAnsi="Times New Roman" w:cs="Times New Roman"/>
          <w:sz w:val="32"/>
          <w:szCs w:val="32"/>
        </w:rPr>
        <w:t>财政当年拨付的资金。</w:t>
      </w:r>
    </w:p>
    <w:p w:rsidR="00B2274A" w:rsidRDefault="002343A7">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2</w:t>
      </w:r>
      <w:r>
        <w:rPr>
          <w:rFonts w:ascii="Times New Roman" w:eastAsia="方正仿宋_GBK" w:hAnsi="Times New Roman" w:cs="Times New Roman"/>
          <w:b/>
          <w:sz w:val="32"/>
          <w:szCs w:val="32"/>
        </w:rPr>
        <w:t>、事业收入：</w:t>
      </w:r>
      <w:r>
        <w:rPr>
          <w:rFonts w:ascii="Times New Roman" w:eastAsia="方正仿宋_GBK" w:hAnsi="Times New Roman" w:cs="Times New Roman"/>
          <w:sz w:val="32"/>
          <w:szCs w:val="32"/>
        </w:rPr>
        <w:t>指事业单位开展专业业务活动及辅助活动所取得的收入。</w:t>
      </w:r>
    </w:p>
    <w:p w:rsidR="00B2274A" w:rsidRDefault="002343A7">
      <w:pPr>
        <w:tabs>
          <w:tab w:val="left" w:pos="11490"/>
        </w:tabs>
        <w:ind w:firstLineChars="200" w:firstLine="640"/>
        <w:rPr>
          <w:rFonts w:ascii="Times New Roman" w:eastAsia="方正仿宋_GBK" w:hAnsi="Times New Roman" w:cs="Times New Roman"/>
          <w:b/>
          <w:sz w:val="32"/>
          <w:szCs w:val="32"/>
        </w:rPr>
      </w:pPr>
      <w:r>
        <w:rPr>
          <w:rFonts w:ascii="Times New Roman" w:eastAsia="方正仿宋_GBK" w:hAnsi="Times New Roman" w:cs="Times New Roman"/>
          <w:b/>
          <w:sz w:val="32"/>
          <w:szCs w:val="32"/>
        </w:rPr>
        <w:lastRenderedPageBreak/>
        <w:t>3</w:t>
      </w:r>
      <w:r>
        <w:rPr>
          <w:rFonts w:ascii="Times New Roman" w:eastAsia="方正仿宋_GBK" w:hAnsi="Times New Roman" w:cs="Times New Roman"/>
          <w:b/>
          <w:sz w:val="32"/>
          <w:szCs w:val="32"/>
        </w:rPr>
        <w:t>、其他收入：</w:t>
      </w:r>
      <w:r>
        <w:rPr>
          <w:rFonts w:ascii="Times New Roman" w:eastAsia="方正仿宋_GBK" w:hAnsi="Times New Roman" w:cs="Times New Roman"/>
          <w:sz w:val="32"/>
          <w:szCs w:val="32"/>
        </w:rPr>
        <w:t>指除</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一般公共预算</w:t>
      </w:r>
      <w:r>
        <w:rPr>
          <w:rFonts w:ascii="Times New Roman" w:eastAsia="方正仿宋_GBK" w:hAnsi="Times New Roman" w:cs="Times New Roman"/>
          <w:sz w:val="32"/>
          <w:szCs w:val="32"/>
        </w:rPr>
        <w:t>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等以外的收入。主要是按规定动用的租房收入、存款利息收入等。</w:t>
      </w:r>
    </w:p>
    <w:p w:rsidR="00B2274A" w:rsidRDefault="002343A7">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、基本支出：</w:t>
      </w:r>
      <w:r>
        <w:rPr>
          <w:rFonts w:ascii="Times New Roman" w:eastAsia="方正仿宋_GBK" w:hAnsi="Times New Roman" w:cs="Times New Roman" w:hint="eastAsia"/>
          <w:sz w:val="32"/>
          <w:szCs w:val="32"/>
        </w:rPr>
        <w:t>指为保障机构正常运转、完成日常工作任务而发生的人员支出和公用支出。</w:t>
      </w:r>
    </w:p>
    <w:p w:rsidR="00B2274A" w:rsidRDefault="002343A7">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b/>
          <w:sz w:val="32"/>
          <w:szCs w:val="32"/>
        </w:rPr>
        <w:t>5</w:t>
      </w:r>
      <w:r>
        <w:rPr>
          <w:rFonts w:ascii="Times New Roman" w:eastAsia="方正仿宋_GBK" w:hAnsi="Times New Roman" w:cs="Times New Roman"/>
          <w:b/>
          <w:sz w:val="32"/>
          <w:szCs w:val="32"/>
        </w:rPr>
        <w:t>、项目支出：</w:t>
      </w:r>
      <w:r>
        <w:rPr>
          <w:rFonts w:ascii="Times New Roman" w:eastAsia="方正仿宋_GBK" w:hAnsi="Times New Roman" w:cs="Times New Roman" w:hint="eastAsia"/>
          <w:sz w:val="32"/>
          <w:szCs w:val="32"/>
        </w:rPr>
        <w:t>指在基本支出之外为完成特定行政任务和事业发展目标所发生的支出。</w:t>
      </w:r>
    </w:p>
    <w:p w:rsidR="00B2274A" w:rsidRDefault="002343A7">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6</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三公</w:t>
      </w:r>
      <w:r>
        <w:rPr>
          <w:rFonts w:ascii="Times New Roman" w:eastAsia="方正仿宋_GBK" w:hAnsi="Times New Roman" w:cs="Times New Roman"/>
          <w:b/>
          <w:sz w:val="32"/>
          <w:szCs w:val="32"/>
        </w:rPr>
        <w:t>”</w:t>
      </w:r>
      <w:r>
        <w:rPr>
          <w:rFonts w:ascii="Times New Roman" w:eastAsia="方正仿宋_GBK" w:hAnsi="Times New Roman" w:cs="Times New Roman"/>
          <w:b/>
          <w:sz w:val="32"/>
          <w:szCs w:val="32"/>
        </w:rPr>
        <w:t>经费：</w:t>
      </w:r>
      <w:r>
        <w:rPr>
          <w:rFonts w:ascii="Times New Roman" w:eastAsia="方正仿宋_GBK" w:hAnsi="Times New Roman" w:cs="Times New Roman"/>
          <w:sz w:val="32"/>
          <w:szCs w:val="32"/>
        </w:rPr>
        <w:t>纳入省级财政预算管理的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经费，是指省级部门用财政拨款安排的因公出国（境）费、公务用车购置及运</w:t>
      </w:r>
      <w:r>
        <w:rPr>
          <w:rFonts w:ascii="Times New Roman" w:eastAsia="方正仿宋_GBK" w:hAnsi="Times New Roman" w:cs="Times New Roman" w:hint="eastAsia"/>
          <w:sz w:val="32"/>
          <w:szCs w:val="32"/>
        </w:rPr>
        <w:t>维</w:t>
      </w:r>
      <w:r>
        <w:rPr>
          <w:rFonts w:ascii="Times New Roman" w:eastAsia="方正仿宋_GBK" w:hAnsi="Times New Roman" w:cs="Times New Roman"/>
          <w:sz w:val="32"/>
          <w:szCs w:val="32"/>
        </w:rPr>
        <w:t>费和公务接待费。其中，因公出国（境）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单位公务出国（境）的住宿费、旅费、伙食补助费、杂费、培训费等支出；公务用车购置及运</w:t>
      </w:r>
      <w:r>
        <w:rPr>
          <w:rFonts w:ascii="Times New Roman" w:eastAsia="方正仿宋_GBK" w:hAnsi="Times New Roman" w:cs="Times New Roman" w:hint="eastAsia"/>
          <w:sz w:val="32"/>
          <w:szCs w:val="32"/>
        </w:rPr>
        <w:t>维</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单位公务用车购置费及租用费、燃料费、维修费、过路过桥费、保险费、安全奖励费用等支出；公务接待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rsidR="00B2274A" w:rsidRDefault="002343A7">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7</w:t>
      </w:r>
      <w:r>
        <w:rPr>
          <w:rFonts w:ascii="Times New Roman" w:eastAsia="方正仿宋_GBK" w:hAnsi="Times New Roman" w:cs="Times New Roman"/>
          <w:b/>
          <w:sz w:val="32"/>
          <w:szCs w:val="32"/>
        </w:rPr>
        <w:t>、机关运行费：</w:t>
      </w:r>
      <w:r>
        <w:rPr>
          <w:rFonts w:ascii="Times New Roman" w:eastAsia="方正仿宋_GBK" w:hAnsi="Times New Roman" w:cs="Times New Roman"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w:t>
      </w:r>
      <w:r>
        <w:rPr>
          <w:rFonts w:ascii="Times New Roman" w:eastAsia="方正仿宋_GBK" w:hAnsi="Times New Roman" w:cs="Times New Roman"/>
          <w:sz w:val="32"/>
          <w:szCs w:val="32"/>
        </w:rPr>
        <w:t>其他费用。</w:t>
      </w:r>
    </w:p>
    <w:p w:rsidR="00B2274A" w:rsidRDefault="002343A7">
      <w:pPr>
        <w:tabs>
          <w:tab w:val="left" w:pos="11490"/>
        </w:tabs>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b/>
          <w:sz w:val="32"/>
          <w:szCs w:val="32"/>
        </w:rPr>
        <w:t>8</w:t>
      </w:r>
      <w:r>
        <w:rPr>
          <w:rFonts w:ascii="Times New Roman" w:eastAsia="方正仿宋_GBK" w:hAnsi="Times New Roman" w:cs="Times New Roman" w:hint="eastAsia"/>
          <w:b/>
          <w:sz w:val="32"/>
          <w:szCs w:val="32"/>
        </w:rPr>
        <w:t>、上年结转：</w:t>
      </w:r>
      <w:r>
        <w:rPr>
          <w:rFonts w:ascii="Times New Roman" w:eastAsia="方正仿宋_GBK" w:hAnsi="Times New Roman" w:cs="Times New Roman" w:hint="eastAsia"/>
          <w:sz w:val="32"/>
          <w:szCs w:val="32"/>
        </w:rPr>
        <w:t>指以前年度尚未完成、结转到本年仍按原规定用途继续使用的资金。</w:t>
      </w:r>
    </w:p>
    <w:p w:rsidR="00B2274A" w:rsidRDefault="002343A7">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九、其他需要说明的事项</w:t>
      </w:r>
    </w:p>
    <w:p w:rsidR="00B2274A" w:rsidRDefault="002343A7">
      <w:pPr>
        <w:ind w:firstLineChars="200" w:firstLine="640"/>
        <w:rPr>
          <w:rFonts w:ascii="仿宋_GB2312" w:eastAsia="仿宋_GB2312" w:hAnsi="Times New Roman" w:cs="Times New Roman"/>
          <w:sz w:val="32"/>
          <w:szCs w:val="32"/>
        </w:rPr>
      </w:pPr>
      <w:proofErr w:type="gramStart"/>
      <w:r>
        <w:rPr>
          <w:rFonts w:ascii="仿宋_GB2312" w:eastAsia="仿宋_GB2312" w:hAnsi="Times New Roman" w:cs="Times New Roman" w:hint="eastAsia"/>
          <w:sz w:val="32"/>
          <w:szCs w:val="32"/>
        </w:rPr>
        <w:t>我部门</w:t>
      </w:r>
      <w:proofErr w:type="gramEnd"/>
      <w:r>
        <w:rPr>
          <w:rFonts w:ascii="仿宋_GB2312" w:eastAsia="仿宋_GB2312" w:hAnsi="Times New Roman" w:cs="Times New Roman" w:hint="eastAsia"/>
          <w:sz w:val="32"/>
          <w:szCs w:val="32"/>
        </w:rPr>
        <w:t>无其他需要说明的事项。</w:t>
      </w:r>
    </w:p>
    <w:sectPr w:rsidR="00B2274A" w:rsidSect="00B2274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E24" w:rsidRDefault="004C2E24" w:rsidP="001A19D6">
      <w:r>
        <w:separator/>
      </w:r>
    </w:p>
  </w:endnote>
  <w:endnote w:type="continuationSeparator" w:id="0">
    <w:p w:rsidR="004C2E24" w:rsidRDefault="004C2E24" w:rsidP="001A1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E24" w:rsidRDefault="004C2E24" w:rsidP="001A19D6">
      <w:r>
        <w:separator/>
      </w:r>
    </w:p>
  </w:footnote>
  <w:footnote w:type="continuationSeparator" w:id="0">
    <w:p w:rsidR="004C2E24" w:rsidRDefault="004C2E24" w:rsidP="001A19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34786"/>
    <w:rsid w:val="00037AF6"/>
    <w:rsid w:val="00042F57"/>
    <w:rsid w:val="00062C36"/>
    <w:rsid w:val="0006483E"/>
    <w:rsid w:val="00075D5F"/>
    <w:rsid w:val="0008102F"/>
    <w:rsid w:val="000B020B"/>
    <w:rsid w:val="000B529B"/>
    <w:rsid w:val="000C3A19"/>
    <w:rsid w:val="001245BB"/>
    <w:rsid w:val="001251A3"/>
    <w:rsid w:val="001427EB"/>
    <w:rsid w:val="0019275C"/>
    <w:rsid w:val="00193383"/>
    <w:rsid w:val="001A19D6"/>
    <w:rsid w:val="001B4EF3"/>
    <w:rsid w:val="001F7873"/>
    <w:rsid w:val="002343A7"/>
    <w:rsid w:val="00241FD4"/>
    <w:rsid w:val="00251B12"/>
    <w:rsid w:val="00296113"/>
    <w:rsid w:val="002A673A"/>
    <w:rsid w:val="002C07BE"/>
    <w:rsid w:val="002C3600"/>
    <w:rsid w:val="002C5E13"/>
    <w:rsid w:val="002C62BC"/>
    <w:rsid w:val="002E0EB8"/>
    <w:rsid w:val="002F3E58"/>
    <w:rsid w:val="0030542C"/>
    <w:rsid w:val="00311B7A"/>
    <w:rsid w:val="0031427C"/>
    <w:rsid w:val="00372FA3"/>
    <w:rsid w:val="0039575F"/>
    <w:rsid w:val="003D417F"/>
    <w:rsid w:val="003F60E9"/>
    <w:rsid w:val="004248B8"/>
    <w:rsid w:val="00424943"/>
    <w:rsid w:val="0043175C"/>
    <w:rsid w:val="00437296"/>
    <w:rsid w:val="00451590"/>
    <w:rsid w:val="00451871"/>
    <w:rsid w:val="004631FC"/>
    <w:rsid w:val="004706DE"/>
    <w:rsid w:val="00472923"/>
    <w:rsid w:val="00496109"/>
    <w:rsid w:val="004B0C3A"/>
    <w:rsid w:val="004C2E24"/>
    <w:rsid w:val="004D5788"/>
    <w:rsid w:val="004E3066"/>
    <w:rsid w:val="004E74CD"/>
    <w:rsid w:val="00516E04"/>
    <w:rsid w:val="00565588"/>
    <w:rsid w:val="00572067"/>
    <w:rsid w:val="00573562"/>
    <w:rsid w:val="00590ECE"/>
    <w:rsid w:val="00592ADD"/>
    <w:rsid w:val="005A6363"/>
    <w:rsid w:val="00614A29"/>
    <w:rsid w:val="00643AA7"/>
    <w:rsid w:val="00671CBC"/>
    <w:rsid w:val="00673D76"/>
    <w:rsid w:val="00674CD7"/>
    <w:rsid w:val="006854F0"/>
    <w:rsid w:val="006B1C4A"/>
    <w:rsid w:val="006B610D"/>
    <w:rsid w:val="006D131B"/>
    <w:rsid w:val="006E49F5"/>
    <w:rsid w:val="007013C8"/>
    <w:rsid w:val="00717B1E"/>
    <w:rsid w:val="00753836"/>
    <w:rsid w:val="0075393C"/>
    <w:rsid w:val="00754592"/>
    <w:rsid w:val="00776C08"/>
    <w:rsid w:val="007C219A"/>
    <w:rsid w:val="007E1DA8"/>
    <w:rsid w:val="007E329E"/>
    <w:rsid w:val="007F6C26"/>
    <w:rsid w:val="00813208"/>
    <w:rsid w:val="008334AE"/>
    <w:rsid w:val="00836FED"/>
    <w:rsid w:val="0083724E"/>
    <w:rsid w:val="00845CD2"/>
    <w:rsid w:val="00852B0D"/>
    <w:rsid w:val="00871D69"/>
    <w:rsid w:val="00881692"/>
    <w:rsid w:val="00883D1A"/>
    <w:rsid w:val="008A25C2"/>
    <w:rsid w:val="008A6576"/>
    <w:rsid w:val="008B3CC5"/>
    <w:rsid w:val="008B52CD"/>
    <w:rsid w:val="008E4261"/>
    <w:rsid w:val="008F4662"/>
    <w:rsid w:val="00905D08"/>
    <w:rsid w:val="00925753"/>
    <w:rsid w:val="009425F4"/>
    <w:rsid w:val="00966C5C"/>
    <w:rsid w:val="00973104"/>
    <w:rsid w:val="00994032"/>
    <w:rsid w:val="00995BF0"/>
    <w:rsid w:val="009A16D5"/>
    <w:rsid w:val="009A353D"/>
    <w:rsid w:val="009A447F"/>
    <w:rsid w:val="009B0B77"/>
    <w:rsid w:val="009B511E"/>
    <w:rsid w:val="00A3595B"/>
    <w:rsid w:val="00A44E3D"/>
    <w:rsid w:val="00A72D2E"/>
    <w:rsid w:val="00A74447"/>
    <w:rsid w:val="00A74CE5"/>
    <w:rsid w:val="00A911E7"/>
    <w:rsid w:val="00A939D9"/>
    <w:rsid w:val="00B07D9E"/>
    <w:rsid w:val="00B20712"/>
    <w:rsid w:val="00B2274A"/>
    <w:rsid w:val="00B43238"/>
    <w:rsid w:val="00B45DD3"/>
    <w:rsid w:val="00B52632"/>
    <w:rsid w:val="00B727A9"/>
    <w:rsid w:val="00B75216"/>
    <w:rsid w:val="00B91D52"/>
    <w:rsid w:val="00B9490F"/>
    <w:rsid w:val="00BA1ACD"/>
    <w:rsid w:val="00BA5958"/>
    <w:rsid w:val="00BC2343"/>
    <w:rsid w:val="00BD09F8"/>
    <w:rsid w:val="00C44B90"/>
    <w:rsid w:val="00C53F24"/>
    <w:rsid w:val="00CA7176"/>
    <w:rsid w:val="00CB3D48"/>
    <w:rsid w:val="00CB4665"/>
    <w:rsid w:val="00CC75B0"/>
    <w:rsid w:val="00CD2773"/>
    <w:rsid w:val="00CE143B"/>
    <w:rsid w:val="00CF5F0A"/>
    <w:rsid w:val="00D0024A"/>
    <w:rsid w:val="00D27003"/>
    <w:rsid w:val="00DB4A9B"/>
    <w:rsid w:val="00E167C7"/>
    <w:rsid w:val="00E2482E"/>
    <w:rsid w:val="00E3206C"/>
    <w:rsid w:val="00E57B93"/>
    <w:rsid w:val="00E73D47"/>
    <w:rsid w:val="00EC47F6"/>
    <w:rsid w:val="00EE65B8"/>
    <w:rsid w:val="00F149E2"/>
    <w:rsid w:val="00F66032"/>
    <w:rsid w:val="00F87C1E"/>
    <w:rsid w:val="00F958C2"/>
    <w:rsid w:val="09D9139B"/>
    <w:rsid w:val="1A6813A9"/>
    <w:rsid w:val="22003306"/>
    <w:rsid w:val="36FF71D9"/>
    <w:rsid w:val="3CE557EB"/>
    <w:rsid w:val="3DF407C7"/>
    <w:rsid w:val="5B52387E"/>
    <w:rsid w:val="792A4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qFormat="1"/>
    <w:lsdException w:name="footer" w:semiHidden="0" w:unhideWhenUsed="0" w:qFormat="1"/>
    <w:lsdException w:name="caption" w:uiPriority="35" w:qFormat="1"/>
    <w:lsdException w:name="footnote reference"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74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2274A"/>
    <w:rPr>
      <w:sz w:val="18"/>
      <w:szCs w:val="18"/>
    </w:rPr>
  </w:style>
  <w:style w:type="paragraph" w:styleId="a4">
    <w:name w:val="footer"/>
    <w:basedOn w:val="a"/>
    <w:link w:val="Char0"/>
    <w:uiPriority w:val="99"/>
    <w:qFormat/>
    <w:rsid w:val="00B2274A"/>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rsid w:val="00B2274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sid w:val="00B2274A"/>
    <w:rPr>
      <w:rFonts w:ascii="Times New Roman" w:eastAsia="宋体" w:hAnsi="Times New Roman" w:cs="Times New Roman"/>
      <w:szCs w:val="24"/>
    </w:rPr>
  </w:style>
  <w:style w:type="paragraph" w:styleId="a6">
    <w:name w:val="footnote text"/>
    <w:basedOn w:val="a"/>
    <w:link w:val="Char2"/>
    <w:uiPriority w:val="99"/>
    <w:semiHidden/>
    <w:unhideWhenUsed/>
    <w:qFormat/>
    <w:rsid w:val="00B2274A"/>
    <w:pPr>
      <w:snapToGrid w:val="0"/>
      <w:jc w:val="left"/>
    </w:pPr>
    <w:rPr>
      <w:rFonts w:ascii="Calibri" w:eastAsia="宋体" w:hAnsi="Calibri" w:cs="Times New Roman"/>
      <w:sz w:val="18"/>
      <w:szCs w:val="18"/>
    </w:rPr>
  </w:style>
  <w:style w:type="paragraph" w:styleId="2">
    <w:name w:val="toc 2"/>
    <w:basedOn w:val="a"/>
    <w:next w:val="a"/>
    <w:uiPriority w:val="39"/>
    <w:qFormat/>
    <w:rsid w:val="00B2274A"/>
    <w:pPr>
      <w:ind w:leftChars="200" w:left="420"/>
    </w:pPr>
    <w:rPr>
      <w:rFonts w:ascii="Times New Roman" w:eastAsia="宋体" w:hAnsi="Times New Roman" w:cs="Times New Roman"/>
      <w:szCs w:val="24"/>
    </w:rPr>
  </w:style>
  <w:style w:type="paragraph" w:styleId="a7">
    <w:name w:val="Normal (Web)"/>
    <w:basedOn w:val="a"/>
    <w:qFormat/>
    <w:rsid w:val="00B2274A"/>
    <w:pPr>
      <w:widowControl/>
      <w:spacing w:before="100" w:beforeAutospacing="1" w:after="100" w:afterAutospacing="1"/>
      <w:jc w:val="left"/>
    </w:pPr>
    <w:rPr>
      <w:rFonts w:ascii="宋体" w:hAnsi="宋体" w:cs="宋体"/>
      <w:kern w:val="0"/>
      <w:sz w:val="24"/>
      <w:szCs w:val="24"/>
    </w:rPr>
  </w:style>
  <w:style w:type="character" w:styleId="a8">
    <w:name w:val="page number"/>
    <w:uiPriority w:val="99"/>
    <w:semiHidden/>
    <w:unhideWhenUsed/>
    <w:qFormat/>
    <w:rsid w:val="00B2274A"/>
  </w:style>
  <w:style w:type="character" w:styleId="a9">
    <w:name w:val="Hyperlink"/>
    <w:uiPriority w:val="99"/>
    <w:unhideWhenUsed/>
    <w:qFormat/>
    <w:rsid w:val="00B2274A"/>
    <w:rPr>
      <w:color w:val="0000FF"/>
      <w:u w:val="single"/>
    </w:rPr>
  </w:style>
  <w:style w:type="character" w:styleId="aa">
    <w:name w:val="footnote reference"/>
    <w:uiPriority w:val="99"/>
    <w:semiHidden/>
    <w:unhideWhenUsed/>
    <w:qFormat/>
    <w:rsid w:val="00B2274A"/>
    <w:rPr>
      <w:vertAlign w:val="superscript"/>
    </w:rPr>
  </w:style>
  <w:style w:type="character" w:customStyle="1" w:styleId="Char1">
    <w:name w:val="页眉 Char"/>
    <w:basedOn w:val="a0"/>
    <w:link w:val="a5"/>
    <w:uiPriority w:val="99"/>
    <w:qFormat/>
    <w:rsid w:val="00B2274A"/>
    <w:rPr>
      <w:rFonts w:ascii="Times New Roman" w:eastAsia="宋体" w:hAnsi="Times New Roman" w:cs="Times New Roman"/>
      <w:sz w:val="18"/>
      <w:szCs w:val="18"/>
    </w:rPr>
  </w:style>
  <w:style w:type="character" w:customStyle="1" w:styleId="Char0">
    <w:name w:val="页脚 Char"/>
    <w:basedOn w:val="a0"/>
    <w:link w:val="a4"/>
    <w:uiPriority w:val="99"/>
    <w:qFormat/>
    <w:rsid w:val="00B2274A"/>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B2274A"/>
    <w:rPr>
      <w:sz w:val="18"/>
      <w:szCs w:val="18"/>
    </w:rPr>
  </w:style>
  <w:style w:type="paragraph" w:customStyle="1" w:styleId="Default">
    <w:name w:val="Default"/>
    <w:qFormat/>
    <w:rsid w:val="00B2274A"/>
    <w:pPr>
      <w:widowControl w:val="0"/>
      <w:autoSpaceDE w:val="0"/>
      <w:autoSpaceDN w:val="0"/>
      <w:adjustRightInd w:val="0"/>
    </w:pPr>
    <w:rPr>
      <w:rFonts w:eastAsiaTheme="minorEastAsia"/>
      <w:color w:val="000000"/>
      <w:sz w:val="24"/>
      <w:szCs w:val="24"/>
    </w:rPr>
  </w:style>
  <w:style w:type="character" w:customStyle="1" w:styleId="Char2">
    <w:name w:val="脚注文本 Char"/>
    <w:basedOn w:val="a0"/>
    <w:link w:val="a6"/>
    <w:uiPriority w:val="99"/>
    <w:semiHidden/>
    <w:qFormat/>
    <w:rsid w:val="00B2274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3EE466-45FE-40F0-91F6-BC91BBF6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1290</Words>
  <Characters>7354</Characters>
  <Application>Microsoft Office Word</Application>
  <DocSecurity>0</DocSecurity>
  <Lines>61</Lines>
  <Paragraphs>17</Paragraphs>
  <ScaleCrop>false</ScaleCrop>
  <Company>Microsoft</Company>
  <LinksUpToDate>false</LinksUpToDate>
  <CharactersWithSpaces>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dell</cp:lastModifiedBy>
  <cp:revision>55</cp:revision>
  <cp:lastPrinted>2017-11-09T01:12:00Z</cp:lastPrinted>
  <dcterms:created xsi:type="dcterms:W3CDTF">2019-01-15T00:52:00Z</dcterms:created>
  <dcterms:modified xsi:type="dcterms:W3CDTF">2019-03-06T09:13:00Z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