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54" w:rsidRDefault="00A43C00">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威县计划生育协会</w:t>
      </w:r>
    </w:p>
    <w:p w:rsidR="000F3FEA" w:rsidRDefault="00A43C00">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0F3FEA" w:rsidRDefault="00A43C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将威县计划生育协会</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0F3FEA" w:rsidRDefault="00A43C00">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0F3FEA" w:rsidRDefault="00A43C00" w:rsidP="00B43511">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0F3FEA" w:rsidRDefault="00A43C00">
      <w:pPr>
        <w:ind w:firstLine="560"/>
        <w:rPr>
          <w:rFonts w:ascii="仿宋" w:eastAsia="仿宋" w:hAnsi="仿宋"/>
          <w:sz w:val="32"/>
          <w:szCs w:val="32"/>
        </w:rPr>
      </w:pPr>
      <w:r>
        <w:rPr>
          <w:rFonts w:ascii="仿宋" w:eastAsia="仿宋" w:hAnsi="仿宋" w:hint="eastAsia"/>
          <w:sz w:val="32"/>
          <w:szCs w:val="32"/>
        </w:rPr>
        <w:t>2019</w:t>
      </w:r>
      <w:r>
        <w:rPr>
          <w:rFonts w:ascii="仿宋" w:eastAsia="仿宋" w:hAnsi="仿宋"/>
          <w:sz w:val="32"/>
          <w:szCs w:val="32"/>
        </w:rPr>
        <w:t>年，县</w:t>
      </w:r>
      <w:r>
        <w:rPr>
          <w:rFonts w:ascii="仿宋" w:eastAsia="仿宋" w:hAnsi="仿宋" w:hint="eastAsia"/>
          <w:sz w:val="32"/>
          <w:szCs w:val="32"/>
        </w:rPr>
        <w:t>计划生育协会</w:t>
      </w:r>
      <w:r>
        <w:rPr>
          <w:rFonts w:ascii="仿宋" w:eastAsia="仿宋" w:hAnsi="仿宋"/>
          <w:sz w:val="32"/>
          <w:szCs w:val="32"/>
        </w:rPr>
        <w:t>在中共威县县委的领导下，坚持以科学发展观为指导，全面贯彻落实党的十八届四、五中全会精神以及</w:t>
      </w:r>
      <w:r>
        <w:rPr>
          <w:rFonts w:ascii="仿宋" w:eastAsia="仿宋" w:hAnsi="仿宋" w:hint="eastAsia"/>
          <w:sz w:val="32"/>
          <w:szCs w:val="32"/>
        </w:rPr>
        <w:t>省、市计划生育协会工作要点</w:t>
      </w:r>
      <w:r>
        <w:rPr>
          <w:rFonts w:ascii="仿宋" w:eastAsia="仿宋" w:hAnsi="仿宋"/>
          <w:sz w:val="32"/>
          <w:szCs w:val="32"/>
        </w:rPr>
        <w:t>，</w:t>
      </w:r>
      <w:r>
        <w:rPr>
          <w:rFonts w:ascii="仿宋" w:eastAsia="仿宋" w:hAnsi="仿宋" w:hint="eastAsia"/>
          <w:sz w:val="32"/>
          <w:szCs w:val="32"/>
        </w:rPr>
        <w:t>做好以下工作:</w:t>
      </w:r>
    </w:p>
    <w:p w:rsidR="000F3FEA" w:rsidRDefault="00A43C00">
      <w:pPr>
        <w:numPr>
          <w:ilvl w:val="0"/>
          <w:numId w:val="1"/>
        </w:numPr>
        <w:spacing w:line="360" w:lineRule="auto"/>
        <w:rPr>
          <w:rFonts w:ascii="仿宋" w:eastAsia="仿宋" w:hAnsi="仿宋"/>
          <w:sz w:val="32"/>
          <w:szCs w:val="32"/>
        </w:rPr>
      </w:pPr>
      <w:r>
        <w:rPr>
          <w:rFonts w:ascii="仿宋" w:eastAsia="仿宋" w:hAnsi="仿宋"/>
          <w:sz w:val="32"/>
          <w:szCs w:val="32"/>
        </w:rPr>
        <w:t>法律监督</w:t>
      </w:r>
      <w:r>
        <w:rPr>
          <w:rFonts w:ascii="仿宋" w:eastAsia="仿宋" w:hAnsi="仿宋" w:hint="eastAsia"/>
          <w:sz w:val="32"/>
          <w:szCs w:val="32"/>
        </w:rPr>
        <w:t>，积极配合上级及执法部门</w:t>
      </w:r>
      <w:r>
        <w:rPr>
          <w:rFonts w:ascii="仿宋" w:eastAsia="仿宋" w:hAnsi="仿宋"/>
          <w:sz w:val="32"/>
          <w:szCs w:val="32"/>
        </w:rPr>
        <w:t>搞好</w:t>
      </w:r>
      <w:r>
        <w:rPr>
          <w:rFonts w:ascii="仿宋" w:eastAsia="仿宋" w:hAnsi="仿宋" w:hint="eastAsia"/>
          <w:sz w:val="32"/>
          <w:szCs w:val="32"/>
        </w:rPr>
        <w:t>调研</w:t>
      </w:r>
      <w:r>
        <w:rPr>
          <w:rFonts w:ascii="仿宋" w:eastAsia="仿宋" w:hAnsi="仿宋"/>
          <w:sz w:val="32"/>
          <w:szCs w:val="32"/>
        </w:rPr>
        <w:t>，做好规范文件备案审查</w:t>
      </w:r>
      <w:r>
        <w:rPr>
          <w:rFonts w:ascii="仿宋" w:eastAsia="仿宋" w:hAnsi="仿宋" w:hint="eastAsia"/>
          <w:sz w:val="32"/>
          <w:szCs w:val="32"/>
        </w:rPr>
        <w:t>。</w:t>
      </w:r>
    </w:p>
    <w:p w:rsidR="000F3FEA" w:rsidRDefault="00A43C00">
      <w:pPr>
        <w:numPr>
          <w:ilvl w:val="0"/>
          <w:numId w:val="1"/>
        </w:numPr>
        <w:spacing w:line="360" w:lineRule="auto"/>
        <w:rPr>
          <w:rFonts w:ascii="仿宋" w:eastAsia="仿宋" w:hAnsi="仿宋"/>
          <w:sz w:val="32"/>
          <w:szCs w:val="32"/>
        </w:rPr>
      </w:pPr>
      <w:r>
        <w:rPr>
          <w:rFonts w:ascii="仿宋" w:eastAsia="仿宋" w:hAnsi="仿宋"/>
          <w:sz w:val="32"/>
          <w:szCs w:val="32"/>
        </w:rPr>
        <w:t>工作监督</w:t>
      </w:r>
      <w:r>
        <w:rPr>
          <w:rFonts w:ascii="仿宋" w:eastAsia="仿宋" w:hAnsi="仿宋" w:hint="eastAsia"/>
          <w:sz w:val="32"/>
          <w:szCs w:val="32"/>
        </w:rPr>
        <w:t>，</w:t>
      </w:r>
      <w:r>
        <w:rPr>
          <w:rFonts w:ascii="仿宋" w:eastAsia="仿宋" w:hAnsi="仿宋"/>
          <w:sz w:val="32"/>
          <w:szCs w:val="32"/>
        </w:rPr>
        <w:t>加强对计划、预算的</w:t>
      </w:r>
      <w:r>
        <w:rPr>
          <w:rFonts w:ascii="仿宋" w:eastAsia="仿宋" w:hAnsi="仿宋" w:hint="eastAsia"/>
          <w:sz w:val="32"/>
          <w:szCs w:val="32"/>
        </w:rPr>
        <w:t>管理和使用。</w:t>
      </w:r>
    </w:p>
    <w:p w:rsidR="000F3FEA" w:rsidRDefault="00A43C00">
      <w:pPr>
        <w:numPr>
          <w:ilvl w:val="0"/>
          <w:numId w:val="1"/>
        </w:numPr>
        <w:spacing w:line="360" w:lineRule="auto"/>
        <w:rPr>
          <w:rFonts w:ascii="仿宋" w:eastAsia="仿宋" w:hAnsi="仿宋"/>
          <w:sz w:val="32"/>
          <w:szCs w:val="32"/>
        </w:rPr>
      </w:pPr>
      <w:r>
        <w:rPr>
          <w:rFonts w:ascii="仿宋" w:eastAsia="仿宋" w:hAnsi="仿宋" w:hint="eastAsia"/>
          <w:sz w:val="32"/>
          <w:szCs w:val="32"/>
        </w:rPr>
        <w:t>加强对乡镇生育关怀、亲情关爱救助及建档工作。</w:t>
      </w:r>
    </w:p>
    <w:p w:rsidR="000F3FEA" w:rsidRDefault="00A43C00">
      <w:pPr>
        <w:spacing w:line="360" w:lineRule="auto"/>
        <w:ind w:left="960"/>
        <w:rPr>
          <w:rFonts w:ascii="Times New Roman" w:eastAsia="方正仿宋_GBK" w:hAnsi="Times New Roman" w:cs="方正仿宋_GBK"/>
          <w:b/>
          <w:bCs/>
          <w:sz w:val="32"/>
          <w:szCs w:val="32"/>
        </w:rPr>
      </w:pPr>
      <w:r>
        <w:rPr>
          <w:rFonts w:ascii="仿宋" w:eastAsia="仿宋" w:hAnsi="仿宋" w:hint="eastAsia"/>
          <w:sz w:val="32"/>
          <w:szCs w:val="32"/>
        </w:rPr>
        <w:t>4、</w:t>
      </w:r>
      <w:r>
        <w:rPr>
          <w:rFonts w:ascii="仿宋" w:eastAsia="仿宋" w:hAnsi="仿宋"/>
          <w:sz w:val="32"/>
          <w:szCs w:val="32"/>
        </w:rPr>
        <w:t>关于自身建设</w:t>
      </w:r>
      <w:r>
        <w:rPr>
          <w:rFonts w:ascii="仿宋" w:eastAsia="仿宋" w:hAnsi="仿宋" w:hint="eastAsia"/>
          <w:sz w:val="32"/>
          <w:szCs w:val="32"/>
        </w:rPr>
        <w:t>，</w:t>
      </w:r>
      <w:r>
        <w:rPr>
          <w:rFonts w:ascii="仿宋" w:eastAsia="仿宋" w:hAnsi="仿宋"/>
          <w:sz w:val="32"/>
          <w:szCs w:val="32"/>
        </w:rPr>
        <w:t>加强理论和相关法律知识的学习，认真学习省、</w:t>
      </w:r>
      <w:r>
        <w:rPr>
          <w:rFonts w:ascii="仿宋" w:eastAsia="仿宋" w:hAnsi="仿宋" w:hint="eastAsia"/>
          <w:sz w:val="32"/>
          <w:szCs w:val="32"/>
        </w:rPr>
        <w:t>市计划生育协会会议</w:t>
      </w:r>
      <w:r>
        <w:rPr>
          <w:rFonts w:ascii="仿宋" w:eastAsia="仿宋" w:hAnsi="仿宋"/>
          <w:sz w:val="32"/>
          <w:szCs w:val="32"/>
        </w:rPr>
        <w:t>精神</w:t>
      </w:r>
      <w:r>
        <w:rPr>
          <w:rFonts w:ascii="仿宋" w:eastAsia="仿宋" w:hAnsi="仿宋" w:hint="eastAsia"/>
          <w:sz w:val="32"/>
          <w:szCs w:val="32"/>
        </w:rPr>
        <w:t>，</w:t>
      </w:r>
      <w:r>
        <w:rPr>
          <w:rFonts w:ascii="仿宋" w:eastAsia="仿宋" w:hAnsi="仿宋"/>
          <w:sz w:val="32"/>
          <w:szCs w:val="32"/>
        </w:rPr>
        <w:lastRenderedPageBreak/>
        <w:t>加强</w:t>
      </w:r>
      <w:r>
        <w:rPr>
          <w:rFonts w:ascii="仿宋" w:eastAsia="仿宋" w:hAnsi="仿宋" w:hint="eastAsia"/>
          <w:sz w:val="32"/>
          <w:szCs w:val="32"/>
        </w:rPr>
        <w:t>政策</w:t>
      </w:r>
      <w:r>
        <w:rPr>
          <w:rFonts w:ascii="仿宋" w:eastAsia="仿宋" w:hAnsi="仿宋"/>
          <w:sz w:val="32"/>
          <w:szCs w:val="32"/>
        </w:rPr>
        <w:t>宣传</w:t>
      </w:r>
      <w:r>
        <w:rPr>
          <w:rFonts w:ascii="仿宋" w:eastAsia="仿宋" w:hAnsi="仿宋" w:hint="eastAsia"/>
          <w:sz w:val="32"/>
          <w:szCs w:val="32"/>
        </w:rPr>
        <w:t>和基层自治工作。</w:t>
      </w:r>
    </w:p>
    <w:p w:rsidR="000F3FEA" w:rsidRDefault="000F3FEA" w:rsidP="00B43511">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0F3FEA" w:rsidRDefault="000F3FEA" w:rsidP="00B43511">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0F3FEA" w:rsidRDefault="00A43C00" w:rsidP="00B43511">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0F3FEA" w:rsidRDefault="00A43C00">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0F3FEA">
        <w:trPr>
          <w:trHeight w:val="300"/>
          <w:tblHeader/>
          <w:jc w:val="center"/>
        </w:trPr>
        <w:tc>
          <w:tcPr>
            <w:tcW w:w="4359" w:type="dxa"/>
            <w:vMerge w:val="restart"/>
            <w:shd w:val="clear" w:color="auto" w:fill="auto"/>
            <w:vAlign w:val="center"/>
          </w:tcPr>
          <w:p w:rsidR="000F3FEA" w:rsidRDefault="00A43C00">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0F3FEA" w:rsidRDefault="00A43C00">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0F3FEA" w:rsidRDefault="00A43C00">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0F3FEA" w:rsidRDefault="00A43C00">
            <w:pPr>
              <w:spacing w:line="300" w:lineRule="exact"/>
              <w:jc w:val="center"/>
              <w:rPr>
                <w:rFonts w:ascii="方正书宋_GBK" w:eastAsia="方正书宋_GBK"/>
                <w:b/>
              </w:rPr>
            </w:pPr>
            <w:r>
              <w:rPr>
                <w:rFonts w:ascii="方正书宋_GBK" w:eastAsia="方正书宋_GBK" w:hint="eastAsia"/>
                <w:b/>
              </w:rPr>
              <w:t>经费保障形式</w:t>
            </w:r>
          </w:p>
        </w:tc>
      </w:tr>
      <w:tr w:rsidR="000F3FEA">
        <w:trPr>
          <w:trHeight w:val="300"/>
          <w:tblHeader/>
          <w:jc w:val="center"/>
        </w:trPr>
        <w:tc>
          <w:tcPr>
            <w:tcW w:w="4359" w:type="dxa"/>
            <w:vMerge/>
            <w:shd w:val="clear" w:color="auto" w:fill="auto"/>
            <w:vAlign w:val="center"/>
          </w:tcPr>
          <w:p w:rsidR="000F3FEA" w:rsidRDefault="000F3FEA">
            <w:pPr>
              <w:spacing w:line="300" w:lineRule="exact"/>
              <w:jc w:val="left"/>
              <w:outlineLvl w:val="0"/>
            </w:pPr>
          </w:p>
        </w:tc>
        <w:tc>
          <w:tcPr>
            <w:tcW w:w="1134" w:type="dxa"/>
            <w:vMerge/>
            <w:shd w:val="clear" w:color="auto" w:fill="auto"/>
            <w:vAlign w:val="center"/>
          </w:tcPr>
          <w:p w:rsidR="000F3FEA" w:rsidRDefault="000F3FEA">
            <w:pPr>
              <w:spacing w:line="300" w:lineRule="exact"/>
              <w:jc w:val="left"/>
              <w:outlineLvl w:val="0"/>
            </w:pPr>
          </w:p>
        </w:tc>
        <w:tc>
          <w:tcPr>
            <w:tcW w:w="1276" w:type="dxa"/>
            <w:vMerge/>
            <w:shd w:val="clear" w:color="auto" w:fill="auto"/>
            <w:vAlign w:val="center"/>
          </w:tcPr>
          <w:p w:rsidR="000F3FEA" w:rsidRDefault="000F3FEA">
            <w:pPr>
              <w:spacing w:line="300" w:lineRule="exact"/>
              <w:jc w:val="left"/>
              <w:outlineLvl w:val="0"/>
            </w:pPr>
          </w:p>
        </w:tc>
        <w:tc>
          <w:tcPr>
            <w:tcW w:w="3013" w:type="dxa"/>
            <w:vMerge/>
            <w:shd w:val="clear" w:color="auto" w:fill="auto"/>
            <w:vAlign w:val="center"/>
          </w:tcPr>
          <w:p w:rsidR="000F3FEA" w:rsidRDefault="000F3FEA">
            <w:pPr>
              <w:spacing w:line="300" w:lineRule="exact"/>
              <w:jc w:val="left"/>
              <w:outlineLvl w:val="0"/>
            </w:pPr>
          </w:p>
        </w:tc>
      </w:tr>
      <w:tr w:rsidR="000F3FEA">
        <w:trPr>
          <w:trHeight w:val="495"/>
          <w:jc w:val="center"/>
        </w:trPr>
        <w:tc>
          <w:tcPr>
            <w:tcW w:w="4359" w:type="dxa"/>
            <w:shd w:val="clear" w:color="auto" w:fill="auto"/>
            <w:vAlign w:val="center"/>
          </w:tcPr>
          <w:p w:rsidR="000F3FEA" w:rsidRDefault="00A43C00">
            <w:pPr>
              <w:spacing w:line="300" w:lineRule="exact"/>
              <w:jc w:val="center"/>
              <w:rPr>
                <w:rFonts w:ascii="方正书宋_GBK" w:eastAsia="方正书宋_GBK"/>
                <w:highlight w:val="yellow"/>
              </w:rPr>
            </w:pPr>
            <w:r>
              <w:rPr>
                <w:rFonts w:ascii="方正书宋_GBK" w:eastAsia="方正书宋_GBK" w:hint="eastAsia"/>
                <w:color w:val="000000" w:themeColor="text1"/>
              </w:rPr>
              <w:t>威县计划生育协会</w:t>
            </w:r>
          </w:p>
        </w:tc>
        <w:tc>
          <w:tcPr>
            <w:tcW w:w="1134" w:type="dxa"/>
            <w:shd w:val="clear" w:color="auto" w:fill="auto"/>
            <w:vAlign w:val="center"/>
          </w:tcPr>
          <w:p w:rsidR="000F3FEA" w:rsidRDefault="00A43C00">
            <w:pPr>
              <w:spacing w:line="300" w:lineRule="exact"/>
              <w:jc w:val="center"/>
              <w:rPr>
                <w:rFonts w:ascii="方正书宋_GBK" w:eastAsia="方正书宋_GBK"/>
              </w:rPr>
            </w:pPr>
            <w:r>
              <w:rPr>
                <w:rFonts w:ascii="方正书宋_GBK" w:eastAsia="方正书宋_GBK" w:hint="eastAsia"/>
              </w:rPr>
              <w:t>事业</w:t>
            </w:r>
          </w:p>
        </w:tc>
        <w:tc>
          <w:tcPr>
            <w:tcW w:w="1276" w:type="dxa"/>
            <w:shd w:val="clear" w:color="auto" w:fill="auto"/>
            <w:vAlign w:val="center"/>
          </w:tcPr>
          <w:p w:rsidR="000F3FEA" w:rsidRDefault="00A43C00">
            <w:pPr>
              <w:spacing w:line="300" w:lineRule="exact"/>
              <w:jc w:val="center"/>
              <w:rPr>
                <w:rFonts w:ascii="方正书宋_GBK" w:eastAsia="方正书宋_GBK"/>
              </w:rPr>
            </w:pPr>
            <w:r>
              <w:rPr>
                <w:rFonts w:ascii="方正书宋_GBK" w:eastAsia="方正书宋_GBK" w:hint="eastAsia"/>
              </w:rPr>
              <w:t>正科级</w:t>
            </w:r>
          </w:p>
        </w:tc>
        <w:tc>
          <w:tcPr>
            <w:tcW w:w="3013" w:type="dxa"/>
            <w:shd w:val="clear" w:color="auto" w:fill="auto"/>
            <w:vAlign w:val="center"/>
          </w:tcPr>
          <w:p w:rsidR="000F3FEA" w:rsidRDefault="00A43C00">
            <w:pPr>
              <w:spacing w:line="300" w:lineRule="exact"/>
              <w:jc w:val="center"/>
              <w:rPr>
                <w:rFonts w:ascii="方正书宋_GBK" w:eastAsia="方正书宋_GBK"/>
              </w:rPr>
            </w:pPr>
            <w:r>
              <w:rPr>
                <w:rFonts w:ascii="方正书宋_GBK" w:eastAsia="方正书宋_GBK" w:hint="eastAsia"/>
              </w:rPr>
              <w:t>全额事业财政</w:t>
            </w:r>
          </w:p>
        </w:tc>
      </w:tr>
    </w:tbl>
    <w:p w:rsidR="000F3FEA" w:rsidRDefault="00A43C00">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0F3FEA" w:rsidRDefault="00A43C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。威县计划生育协会</w:t>
      </w:r>
      <w:r>
        <w:rPr>
          <w:rFonts w:ascii="Times New Roman" w:eastAsia="方正仿宋_GBK" w:hAnsi="Times New Roman" w:cs="Times New Roman"/>
          <w:sz w:val="32"/>
          <w:szCs w:val="32"/>
        </w:rPr>
        <w:t>的收支包含在部门预算中。</w:t>
      </w:r>
    </w:p>
    <w:p w:rsidR="000F3FEA" w:rsidRDefault="00A43C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0F3FEA" w:rsidRDefault="00A43C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63.25</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63.25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0F3FEA" w:rsidRDefault="00A43C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、支出说明</w:t>
      </w:r>
    </w:p>
    <w:p w:rsidR="000F3FEA" w:rsidRDefault="00A43C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威县计划生育协会</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63.25</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58.25</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53.69</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4.56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协会经费、基层群众自治达标验收；其他支出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0F3FEA" w:rsidRDefault="00A43C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0F3FEA" w:rsidRDefault="00A43C00">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63.25</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人员经费支出；项目支出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：项目所需资金较上年有所减少</w:t>
      </w:r>
      <w:r>
        <w:rPr>
          <w:rFonts w:ascii="Times New Roman" w:eastAsia="方正仿宋_GBK" w:hAnsi="Times New Roman" w:cs="Times New Roman"/>
          <w:sz w:val="32"/>
          <w:szCs w:val="32"/>
        </w:rPr>
        <w:t>。</w:t>
      </w:r>
    </w:p>
    <w:p w:rsidR="000F3FEA" w:rsidRDefault="00A43C00">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0F3FEA" w:rsidRDefault="00A43C00">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4.56</w:t>
      </w:r>
      <w:r>
        <w:rPr>
          <w:rFonts w:ascii="Times New Roman" w:eastAsia="方正仿宋_GBK" w:hAnsi="Times New Roman" w:cs="Times New Roman" w:hint="eastAsia"/>
          <w:sz w:val="32"/>
          <w:szCs w:val="32"/>
        </w:rPr>
        <w:t>万元，主要用于办公费、印刷费等日常运行支出。</w:t>
      </w:r>
    </w:p>
    <w:p w:rsidR="000F3FEA" w:rsidRDefault="00A43C00">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0F3FEA" w:rsidRDefault="00A43C00">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本部门无“三公”经费预算。</w:t>
      </w:r>
      <w:r w:rsidR="00D62554">
        <w:rPr>
          <w:rFonts w:ascii="Times New Roman" w:eastAsia="方正仿宋_GBK" w:hAnsi="Times New Roman" w:cs="Times New Roman" w:hint="eastAsia"/>
          <w:sz w:val="32"/>
          <w:szCs w:val="32"/>
        </w:rPr>
        <w:t>与</w:t>
      </w:r>
      <w:r w:rsidR="00D62554">
        <w:rPr>
          <w:rFonts w:ascii="Times New Roman" w:eastAsia="方正仿宋_GBK" w:hAnsi="Times New Roman" w:cs="Times New Roman" w:hint="eastAsia"/>
          <w:sz w:val="32"/>
          <w:szCs w:val="32"/>
        </w:rPr>
        <w:t>2018</w:t>
      </w:r>
      <w:r w:rsidR="00D62554">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保持一致</w:t>
      </w:r>
    </w:p>
    <w:p w:rsidR="000F3FEA" w:rsidRDefault="00A43C00">
      <w:pPr>
        <w:ind w:firstLineChars="200"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0F3FEA" w:rsidRDefault="00A43C00" w:rsidP="00B43511">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lastRenderedPageBreak/>
        <w:t>总体绩效目标：</w:t>
      </w:r>
    </w:p>
    <w:p w:rsidR="000F3FEA" w:rsidRDefault="00A43C00">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加强“三”类协会建设，加强队伍建设，完善组织花名册；开展生育关怀活动和救助活动，建立亲情关爱行动档案。修订完善“村规民约”遏制政策外生育等内容，并规定切实可行的对计生户的优惠政策，建立健全自治村档案和人口计生基层群众自治村居情况汇总和人口计划生育基层群众自治工作。协助政府贯彻落实国家、省、市、县的人口和计划生育法律、法规和地方性规章，动员和组织广大群众自觉实行计划生育；牵头组织召开计划生育协会会员代表大会、例会、理事会等会议，积极发展会员并组织开展相关活动，发动会员在控制人口增长，提高人口素质，实行计划生育中起带头作用；向群众宣传人口理论，宣传国家计划生育的方针政策和法律、法规、传播计划生育和生殖健康等科学知识，向广大群众尤其是青少年提供性与生殖健康，预防性病等知识和服务；协调争取社会力量，向群众提供生产、生活、生育服务；依法参与计划生育基层群众自治，反映群众在计划生育方面的合法权利。</w:t>
      </w:r>
    </w:p>
    <w:p w:rsidR="00B43511" w:rsidRDefault="00B43511" w:rsidP="00B43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楷体" w:eastAsia="楷体" w:hAnsi="楷体" w:cs="楷体"/>
          <w:b/>
          <w:bCs/>
          <w:sz w:val="32"/>
          <w:szCs w:val="32"/>
        </w:rPr>
      </w:pPr>
      <w:r>
        <w:rPr>
          <w:rFonts w:ascii="楷体" w:eastAsia="楷体" w:hAnsi="楷体" w:cs="楷体" w:hint="eastAsia"/>
          <w:b/>
          <w:bCs/>
          <w:sz w:val="32"/>
          <w:szCs w:val="32"/>
        </w:rPr>
        <w:t>职责分类绩效目标：</w:t>
      </w:r>
    </w:p>
    <w:p w:rsidR="00B43511" w:rsidRDefault="00B43511" w:rsidP="00B43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sz w:val="32"/>
          <w:szCs w:val="32"/>
        </w:rPr>
      </w:pPr>
      <w:bookmarkStart w:id="1" w:name="_GoBack"/>
      <w:bookmarkEnd w:id="1"/>
      <w:r>
        <w:rPr>
          <w:rFonts w:ascii="Times New Roman" w:eastAsia="新宋体" w:hAnsi="Times New Roman" w:hint="eastAsia"/>
          <w:sz w:val="32"/>
          <w:szCs w:val="32"/>
        </w:rPr>
        <w:t>建立利益导向机制，开展出生人口性别比治理以及流动人口计划生育管理等各项工作。贯彻落实</w:t>
      </w:r>
      <w:r>
        <w:rPr>
          <w:rFonts w:ascii="Times New Roman" w:eastAsia="新宋体" w:hAnsi="Times New Roman" w:hint="eastAsia"/>
          <w:sz w:val="32"/>
          <w:szCs w:val="32"/>
        </w:rPr>
        <w:lastRenderedPageBreak/>
        <w:t>《关于实施全面两孩政策改革完善计划生育服务管理的决定》，落实全省全面两孩政策和完善计划生育服务实施意见，确保全面两孩政策平稳落地，做好全面两孩政策实施后的政策衔接。完善计划生育家庭奖励扶助和特别扶助政策，全力做好独生子女死亡伤残家庭扶助工作，建立特殊人员信息档案。</w:t>
      </w:r>
    </w:p>
    <w:p w:rsidR="000F3FEA" w:rsidRPr="00B43511" w:rsidRDefault="000F3FEA">
      <w:pPr>
        <w:ind w:firstLine="560"/>
        <w:rPr>
          <w:rFonts w:ascii="Times New Roman" w:eastAsia="方正仿宋_GBK" w:hAnsi="Times New Roman" w:cs="Times New Roman"/>
          <w:sz w:val="32"/>
          <w:szCs w:val="32"/>
        </w:rPr>
      </w:pPr>
    </w:p>
    <w:p w:rsidR="000F3FEA" w:rsidRDefault="000F3FEA">
      <w:pPr>
        <w:ind w:firstLine="560"/>
        <w:rPr>
          <w:rFonts w:ascii="Times New Roman" w:eastAsia="方正仿宋_GBK" w:hAnsi="Times New Roman" w:cs="Times New Roman"/>
          <w:sz w:val="32"/>
          <w:szCs w:val="32"/>
        </w:rPr>
      </w:pPr>
    </w:p>
    <w:p w:rsidR="000F3FEA" w:rsidRDefault="00A43C00">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0F3FEA" w:rsidRDefault="00A43C00">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96"/>
        <w:gridCol w:w="2400"/>
        <w:gridCol w:w="2880"/>
        <w:gridCol w:w="1380"/>
        <w:gridCol w:w="825"/>
        <w:gridCol w:w="975"/>
        <w:gridCol w:w="900"/>
        <w:gridCol w:w="937"/>
      </w:tblGrid>
      <w:tr w:rsidR="000F3FEA">
        <w:trPr>
          <w:trHeight w:val="227"/>
          <w:tblHeader/>
          <w:jc w:val="center"/>
        </w:trPr>
        <w:tc>
          <w:tcPr>
            <w:tcW w:w="10297" w:type="dxa"/>
            <w:gridSpan w:val="5"/>
            <w:tcBorders>
              <w:top w:val="single" w:sz="6" w:space="0" w:color="FFFFFF"/>
              <w:left w:val="single" w:sz="6" w:space="0" w:color="FFFFFF"/>
              <w:right w:val="single" w:sz="6" w:space="0" w:color="FFFFFF"/>
            </w:tcBorders>
            <w:shd w:val="clear" w:color="auto" w:fill="auto"/>
            <w:vAlign w:val="center"/>
          </w:tcPr>
          <w:p w:rsidR="000F3FEA" w:rsidRDefault="00A43C00">
            <w:pPr>
              <w:spacing w:line="300" w:lineRule="exact"/>
              <w:jc w:val="left"/>
              <w:rPr>
                <w:rFonts w:ascii="方正小标宋_GBK" w:eastAsia="方正小标宋_GBK" w:hAnsi="Calibri" w:cs="Times New Roman"/>
                <w:sz w:val="24"/>
              </w:rPr>
            </w:pPr>
            <w:r>
              <w:rPr>
                <w:rFonts w:ascii="方正小标宋_GBK" w:eastAsia="方正小标宋_GBK" w:hAnsi="Calibri" w:cs="Times New Roman" w:hint="eastAsia"/>
                <w:sz w:val="24"/>
              </w:rPr>
              <w:t>363威县计划生育协会</w:t>
            </w:r>
          </w:p>
        </w:tc>
        <w:tc>
          <w:tcPr>
            <w:tcW w:w="3637" w:type="dxa"/>
            <w:gridSpan w:val="4"/>
            <w:tcBorders>
              <w:top w:val="single" w:sz="6" w:space="0" w:color="FFFFFF"/>
              <w:left w:val="single" w:sz="6" w:space="0" w:color="FFFFFF"/>
              <w:right w:val="single" w:sz="6" w:space="0" w:color="FFFFFF"/>
            </w:tcBorders>
            <w:shd w:val="clear" w:color="auto" w:fill="auto"/>
            <w:vAlign w:val="center"/>
          </w:tcPr>
          <w:p w:rsidR="000F3FEA" w:rsidRDefault="00A43C00">
            <w:pPr>
              <w:spacing w:line="300" w:lineRule="exact"/>
              <w:jc w:val="right"/>
              <w:rPr>
                <w:rFonts w:ascii="方正书宋_GBK" w:eastAsia="方正书宋_GBK" w:hAnsi="Calibri" w:cs="Times New Roman"/>
                <w:sz w:val="24"/>
              </w:rPr>
            </w:pPr>
            <w:r>
              <w:rPr>
                <w:rFonts w:ascii="方正书宋_GBK" w:eastAsia="方正书宋_GBK" w:hAnsi="Calibri" w:cs="Times New Roman" w:hint="eastAsia"/>
                <w:sz w:val="24"/>
              </w:rPr>
              <w:t>单位：万元</w:t>
            </w:r>
          </w:p>
        </w:tc>
      </w:tr>
      <w:tr w:rsidR="000F3FEA">
        <w:trPr>
          <w:trHeight w:val="227"/>
          <w:tblHeader/>
          <w:jc w:val="center"/>
        </w:trPr>
        <w:tc>
          <w:tcPr>
            <w:tcW w:w="2341"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职责活动</w:t>
            </w:r>
          </w:p>
        </w:tc>
        <w:tc>
          <w:tcPr>
            <w:tcW w:w="1296"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年度预算数</w:t>
            </w:r>
          </w:p>
        </w:tc>
        <w:tc>
          <w:tcPr>
            <w:tcW w:w="2400"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内容描述</w:t>
            </w:r>
          </w:p>
        </w:tc>
        <w:tc>
          <w:tcPr>
            <w:tcW w:w="2880"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绩效目标</w:t>
            </w:r>
          </w:p>
        </w:tc>
        <w:tc>
          <w:tcPr>
            <w:tcW w:w="1380"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w:t>
            </w:r>
          </w:p>
        </w:tc>
        <w:tc>
          <w:tcPr>
            <w:tcW w:w="3637" w:type="dxa"/>
            <w:gridSpan w:val="4"/>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评价标准</w:t>
            </w:r>
          </w:p>
        </w:tc>
      </w:tr>
      <w:tr w:rsidR="000F3FEA">
        <w:trPr>
          <w:trHeight w:val="227"/>
          <w:tblHeader/>
          <w:jc w:val="center"/>
        </w:trPr>
        <w:tc>
          <w:tcPr>
            <w:tcW w:w="2341" w:type="dxa"/>
            <w:vMerge/>
            <w:shd w:val="clear" w:color="auto" w:fill="auto"/>
            <w:vAlign w:val="center"/>
          </w:tcPr>
          <w:p w:rsidR="000F3FEA" w:rsidRDefault="000F3FEA">
            <w:pPr>
              <w:spacing w:line="300" w:lineRule="exact"/>
              <w:jc w:val="left"/>
              <w:outlineLvl w:val="0"/>
              <w:rPr>
                <w:rFonts w:ascii="Calibri" w:eastAsia="宋体" w:hAnsi="Calibri" w:cs="Times New Roman"/>
              </w:rPr>
            </w:pPr>
          </w:p>
        </w:tc>
        <w:tc>
          <w:tcPr>
            <w:tcW w:w="1296" w:type="dxa"/>
            <w:vMerge/>
            <w:shd w:val="clear" w:color="auto" w:fill="auto"/>
            <w:vAlign w:val="center"/>
          </w:tcPr>
          <w:p w:rsidR="000F3FEA" w:rsidRDefault="000F3FEA">
            <w:pPr>
              <w:spacing w:line="300" w:lineRule="exact"/>
              <w:jc w:val="left"/>
              <w:outlineLvl w:val="0"/>
              <w:rPr>
                <w:rFonts w:ascii="Calibri" w:eastAsia="宋体" w:hAnsi="Calibri" w:cs="Times New Roman"/>
              </w:rPr>
            </w:pPr>
          </w:p>
        </w:tc>
        <w:tc>
          <w:tcPr>
            <w:tcW w:w="2400" w:type="dxa"/>
            <w:vMerge/>
            <w:shd w:val="clear" w:color="auto" w:fill="auto"/>
            <w:vAlign w:val="center"/>
          </w:tcPr>
          <w:p w:rsidR="000F3FEA" w:rsidRDefault="000F3FEA">
            <w:pPr>
              <w:spacing w:line="300" w:lineRule="exact"/>
              <w:jc w:val="left"/>
              <w:outlineLvl w:val="0"/>
              <w:rPr>
                <w:rFonts w:ascii="Calibri" w:eastAsia="宋体" w:hAnsi="Calibri" w:cs="Times New Roman"/>
              </w:rPr>
            </w:pPr>
          </w:p>
        </w:tc>
        <w:tc>
          <w:tcPr>
            <w:tcW w:w="2880" w:type="dxa"/>
            <w:vMerge/>
            <w:shd w:val="clear" w:color="auto" w:fill="auto"/>
            <w:vAlign w:val="center"/>
          </w:tcPr>
          <w:p w:rsidR="000F3FEA" w:rsidRDefault="000F3FEA">
            <w:pPr>
              <w:spacing w:line="300" w:lineRule="exact"/>
              <w:jc w:val="left"/>
              <w:outlineLvl w:val="0"/>
              <w:rPr>
                <w:rFonts w:ascii="Calibri" w:eastAsia="宋体" w:hAnsi="Calibri" w:cs="Times New Roman"/>
              </w:rPr>
            </w:pPr>
          </w:p>
        </w:tc>
        <w:tc>
          <w:tcPr>
            <w:tcW w:w="1380" w:type="dxa"/>
            <w:vMerge/>
            <w:shd w:val="clear" w:color="auto" w:fill="auto"/>
            <w:vAlign w:val="center"/>
          </w:tcPr>
          <w:p w:rsidR="000F3FEA" w:rsidRDefault="000F3FEA">
            <w:pPr>
              <w:spacing w:line="300" w:lineRule="exact"/>
              <w:jc w:val="left"/>
              <w:outlineLvl w:val="0"/>
              <w:rPr>
                <w:rFonts w:ascii="Calibri" w:eastAsia="宋体" w:hAnsi="Calibri" w:cs="Times New Roman"/>
              </w:rPr>
            </w:pP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优</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良</w:t>
            </w:r>
          </w:p>
        </w:tc>
        <w:tc>
          <w:tcPr>
            <w:tcW w:w="900" w:type="dxa"/>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中</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差</w:t>
            </w:r>
          </w:p>
        </w:tc>
      </w:tr>
      <w:tr w:rsidR="000F3FEA">
        <w:trPr>
          <w:trHeight w:val="227"/>
          <w:jc w:val="center"/>
        </w:trPr>
        <w:tc>
          <w:tcPr>
            <w:tcW w:w="2341" w:type="dxa"/>
            <w:vMerge w:val="restart"/>
            <w:shd w:val="clear" w:color="auto" w:fill="auto"/>
            <w:vAlign w:val="center"/>
          </w:tcPr>
          <w:p w:rsidR="000F3FEA" w:rsidRDefault="00A43C00">
            <w:pPr>
              <w:spacing w:line="300" w:lineRule="exact"/>
              <w:jc w:val="left"/>
              <w:rPr>
                <w:rFonts w:ascii="方正书宋_GBK" w:eastAsia="方正书宋_GBK" w:hAnsi="Calibri" w:cs="Times New Roman"/>
                <w:b/>
              </w:rPr>
            </w:pPr>
            <w:r>
              <w:rPr>
                <w:rFonts w:ascii="方正书宋_GBK" w:eastAsia="方正书宋_GBK" w:hint="eastAsia"/>
                <w:b/>
              </w:rPr>
              <w:t>动员群众落实计划生育政策，开展生育关怀行动和宣传服务活动,</w:t>
            </w:r>
            <w:r>
              <w:rPr>
                <w:rFonts w:ascii="方正书宋_GBK" w:eastAsia="方正书宋_GBK" w:cs="Times New Roman"/>
                <w:b/>
                <w:bCs/>
              </w:rPr>
              <w:t>慰问救助、特困户家庭</w:t>
            </w:r>
          </w:p>
        </w:tc>
        <w:tc>
          <w:tcPr>
            <w:tcW w:w="1296"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3</w:t>
            </w:r>
          </w:p>
        </w:tc>
        <w:tc>
          <w:tcPr>
            <w:tcW w:w="2400" w:type="dxa"/>
            <w:vMerge w:val="restart"/>
            <w:shd w:val="clear" w:color="auto" w:fill="auto"/>
            <w:vAlign w:val="center"/>
          </w:tcPr>
          <w:p w:rsidR="000F3FEA" w:rsidRDefault="00A43C00">
            <w:pPr>
              <w:spacing w:line="300" w:lineRule="exact"/>
              <w:jc w:val="left"/>
              <w:rPr>
                <w:rFonts w:ascii="方正书宋_GBK" w:eastAsia="方正书宋_GBK" w:hAnsi="Calibri" w:cs="Times New Roman"/>
              </w:rPr>
            </w:pPr>
            <w:r>
              <w:rPr>
                <w:rFonts w:ascii="方正书宋_GBK" w:eastAsia="方正书宋_GBK" w:hint="eastAsia"/>
              </w:rPr>
              <w:t>强化基层计生协会组织建设，组织理事会员宣传计划生育政策，传播计划生育和生殖健康等技术知识，协调社会力量，开展生育关爱行动</w:t>
            </w:r>
          </w:p>
        </w:tc>
        <w:tc>
          <w:tcPr>
            <w:tcW w:w="2880" w:type="dxa"/>
            <w:vMerge w:val="restart"/>
            <w:shd w:val="clear" w:color="auto" w:fill="auto"/>
            <w:vAlign w:val="center"/>
          </w:tcPr>
          <w:p w:rsidR="000F3FEA" w:rsidRDefault="00A43C00">
            <w:pPr>
              <w:spacing w:line="300" w:lineRule="exact"/>
              <w:jc w:val="left"/>
              <w:rPr>
                <w:rFonts w:ascii="方正书宋_GBK" w:eastAsia="方正书宋_GBK" w:hAnsi="Calibri" w:cs="Times New Roman"/>
              </w:rPr>
            </w:pPr>
            <w:r>
              <w:rPr>
                <w:rFonts w:ascii="方正书宋_GBK" w:eastAsia="方正书宋_GBK" w:hint="eastAsia"/>
              </w:rPr>
              <w:t>强化组织创优升级，</w:t>
            </w:r>
            <w:r>
              <w:rPr>
                <w:rFonts w:ascii="方正书宋_GBK" w:eastAsia="方正书宋_GBK" w:cs="Times New Roman" w:hint="eastAsia"/>
              </w:rPr>
              <w:t>通过培训提高计生协专干、会员的业务素质和工作能力，</w:t>
            </w:r>
            <w:r>
              <w:rPr>
                <w:rFonts w:ascii="方正书宋_GBK" w:eastAsia="方正书宋_GBK" w:hint="eastAsia"/>
              </w:rPr>
              <w:t>开展宣传培训活动，传播计划生育和生殖健康等知识，提高群众健康指数，开展系列保险、慰问救助等关爱活动，帮助群众解除施行计划生育的实行困难和后顾之忧</w:t>
            </w:r>
          </w:p>
        </w:tc>
        <w:tc>
          <w:tcPr>
            <w:tcW w:w="1380" w:type="dxa"/>
            <w:shd w:val="clear" w:color="auto" w:fill="auto"/>
            <w:vAlign w:val="center"/>
          </w:tcPr>
          <w:p w:rsidR="000F3FEA" w:rsidRDefault="00A43C00">
            <w:pPr>
              <w:spacing w:line="300" w:lineRule="exact"/>
              <w:jc w:val="left"/>
              <w:rPr>
                <w:rFonts w:ascii="方正书宋_GBK" w:eastAsia="方正书宋_GBK" w:hAnsi="Calibri" w:cs="Times New Roman"/>
              </w:rPr>
            </w:pPr>
            <w:r>
              <w:rPr>
                <w:rFonts w:ascii="方正书宋_GBK" w:eastAsia="方正书宋_GBK" w:cs="Times New Roman" w:hint="eastAsia"/>
              </w:rPr>
              <w:t>试点地区</w:t>
            </w:r>
            <w:proofErr w:type="gramStart"/>
            <w:r>
              <w:rPr>
                <w:rFonts w:ascii="方正书宋_GBK" w:eastAsia="方正书宋_GBK" w:cs="Times New Roman" w:hint="eastAsia"/>
              </w:rPr>
              <w:t>失独家庭</w:t>
            </w:r>
            <w:proofErr w:type="gramEnd"/>
            <w:r>
              <w:rPr>
                <w:rFonts w:ascii="方正书宋_GBK" w:eastAsia="方正书宋_GBK" w:cs="Times New Roman" w:hint="eastAsia"/>
              </w:rPr>
              <w:t>“亲情关爱”帮扶覆盖面</w:t>
            </w: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100%</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≥95%</w:t>
            </w:r>
          </w:p>
        </w:tc>
        <w:tc>
          <w:tcPr>
            <w:tcW w:w="900"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≥90%</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≥85%</w:t>
            </w:r>
          </w:p>
        </w:tc>
      </w:tr>
      <w:tr w:rsidR="000F3FEA">
        <w:trPr>
          <w:trHeight w:val="227"/>
          <w:jc w:val="center"/>
        </w:trPr>
        <w:tc>
          <w:tcPr>
            <w:tcW w:w="2341" w:type="dxa"/>
            <w:vMerge/>
            <w:shd w:val="clear" w:color="auto" w:fill="auto"/>
            <w:vAlign w:val="center"/>
          </w:tcPr>
          <w:p w:rsidR="000F3FEA" w:rsidRDefault="000F3FEA">
            <w:pPr>
              <w:spacing w:line="300" w:lineRule="exact"/>
              <w:jc w:val="left"/>
              <w:rPr>
                <w:rFonts w:ascii="方正书宋_GBK" w:eastAsia="方正书宋_GBK"/>
                <w:b/>
              </w:rPr>
            </w:pPr>
          </w:p>
        </w:tc>
        <w:tc>
          <w:tcPr>
            <w:tcW w:w="1296" w:type="dxa"/>
            <w:vMerge/>
            <w:shd w:val="clear" w:color="auto" w:fill="auto"/>
            <w:vAlign w:val="center"/>
          </w:tcPr>
          <w:p w:rsidR="000F3FEA" w:rsidRDefault="000F3FEA">
            <w:pPr>
              <w:spacing w:line="300" w:lineRule="exact"/>
              <w:jc w:val="left"/>
              <w:rPr>
                <w:rFonts w:ascii="方正书宋_GBK" w:eastAsia="方正书宋_GBK" w:hAnsi="Calibri" w:cs="Times New Roman"/>
              </w:rPr>
            </w:pPr>
          </w:p>
        </w:tc>
        <w:tc>
          <w:tcPr>
            <w:tcW w:w="2400" w:type="dxa"/>
            <w:vMerge/>
            <w:shd w:val="clear" w:color="auto" w:fill="auto"/>
            <w:vAlign w:val="center"/>
          </w:tcPr>
          <w:p w:rsidR="000F3FEA" w:rsidRDefault="000F3FEA">
            <w:pPr>
              <w:spacing w:line="300" w:lineRule="exact"/>
              <w:jc w:val="left"/>
              <w:rPr>
                <w:rFonts w:ascii="方正书宋_GBK" w:eastAsia="方正书宋_GBK"/>
              </w:rPr>
            </w:pPr>
          </w:p>
        </w:tc>
        <w:tc>
          <w:tcPr>
            <w:tcW w:w="2880" w:type="dxa"/>
            <w:vMerge/>
            <w:shd w:val="clear" w:color="auto" w:fill="auto"/>
            <w:vAlign w:val="center"/>
          </w:tcPr>
          <w:p w:rsidR="000F3FEA" w:rsidRDefault="000F3FEA">
            <w:pPr>
              <w:spacing w:line="300" w:lineRule="exact"/>
              <w:jc w:val="left"/>
              <w:rPr>
                <w:rFonts w:ascii="方正书宋_GBK" w:eastAsia="方正书宋_GBK"/>
              </w:rPr>
            </w:pPr>
          </w:p>
        </w:tc>
        <w:tc>
          <w:tcPr>
            <w:tcW w:w="1380" w:type="dxa"/>
            <w:shd w:val="clear" w:color="auto" w:fill="auto"/>
            <w:vAlign w:val="center"/>
          </w:tcPr>
          <w:p w:rsidR="000F3FEA" w:rsidRDefault="00A43C00">
            <w:pPr>
              <w:spacing w:line="300" w:lineRule="exact"/>
              <w:jc w:val="left"/>
              <w:rPr>
                <w:rFonts w:ascii="方正书宋_GBK" w:eastAsia="方正书宋_GBK" w:cs="Times New Roman"/>
              </w:rPr>
            </w:pPr>
            <w:r>
              <w:rPr>
                <w:rFonts w:ascii="方正书宋_GBK" w:eastAsia="方正书宋_GBK" w:cs="Times New Roman" w:hint="eastAsia"/>
              </w:rPr>
              <w:t>每季度对乡、村计生协专干、会员进行培训的人数（%）</w:t>
            </w: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16%</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13-15%</w:t>
            </w:r>
          </w:p>
        </w:tc>
        <w:tc>
          <w:tcPr>
            <w:tcW w:w="900"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10-12%</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＜10%</w:t>
            </w:r>
          </w:p>
        </w:tc>
      </w:tr>
      <w:tr w:rsidR="000F3FEA">
        <w:trPr>
          <w:trHeight w:val="227"/>
          <w:jc w:val="center"/>
        </w:trPr>
        <w:tc>
          <w:tcPr>
            <w:tcW w:w="2341" w:type="dxa"/>
            <w:vMerge/>
            <w:shd w:val="clear" w:color="auto" w:fill="auto"/>
            <w:vAlign w:val="center"/>
          </w:tcPr>
          <w:p w:rsidR="000F3FEA" w:rsidRDefault="000F3FEA">
            <w:pPr>
              <w:spacing w:line="300" w:lineRule="exact"/>
              <w:jc w:val="left"/>
              <w:rPr>
                <w:rFonts w:ascii="方正书宋_GBK" w:eastAsia="方正书宋_GBK" w:hAnsi="Calibri" w:cs="Times New Roman"/>
                <w:b/>
                <w:highlight w:val="yellow"/>
              </w:rPr>
            </w:pPr>
          </w:p>
        </w:tc>
        <w:tc>
          <w:tcPr>
            <w:tcW w:w="1296"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2400"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2880"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1380" w:type="dxa"/>
            <w:shd w:val="clear" w:color="auto" w:fill="auto"/>
            <w:vAlign w:val="center"/>
          </w:tcPr>
          <w:p w:rsidR="000F3FEA" w:rsidRDefault="00A43C00">
            <w:pPr>
              <w:spacing w:line="300" w:lineRule="exact"/>
              <w:jc w:val="left"/>
              <w:rPr>
                <w:rFonts w:ascii="方正书宋_GBK" w:eastAsia="方正书宋_GBK" w:hAnsi="Calibri" w:cs="Times New Roman"/>
                <w:highlight w:val="yellow"/>
              </w:rPr>
            </w:pPr>
            <w:r>
              <w:rPr>
                <w:rFonts w:ascii="方正书宋_GBK" w:eastAsia="方正书宋_GBK" w:cs="Times New Roman" w:hint="eastAsia"/>
              </w:rPr>
              <w:t>利用“5.29”、“12.18”、母亲节等节日开展宣传活动。</w:t>
            </w: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≥5次</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≥4次</w:t>
            </w:r>
          </w:p>
        </w:tc>
        <w:tc>
          <w:tcPr>
            <w:tcW w:w="900"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≥3次</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＜3次</w:t>
            </w:r>
          </w:p>
        </w:tc>
      </w:tr>
      <w:tr w:rsidR="000F3FEA">
        <w:trPr>
          <w:trHeight w:val="227"/>
          <w:jc w:val="center"/>
        </w:trPr>
        <w:tc>
          <w:tcPr>
            <w:tcW w:w="2341" w:type="dxa"/>
            <w:vMerge w:val="restart"/>
            <w:shd w:val="clear" w:color="auto" w:fill="auto"/>
            <w:vAlign w:val="center"/>
          </w:tcPr>
          <w:p w:rsidR="000F3FEA" w:rsidRDefault="00A43C00">
            <w:pPr>
              <w:spacing w:line="300" w:lineRule="exact"/>
              <w:jc w:val="left"/>
              <w:rPr>
                <w:rFonts w:ascii="方正书宋_GBK" w:eastAsia="方正书宋_GBK" w:hAnsi="Calibri" w:cs="Times New Roman"/>
                <w:b/>
                <w:highlight w:val="yellow"/>
              </w:rPr>
            </w:pPr>
            <w:r>
              <w:rPr>
                <w:rFonts w:ascii="方正书宋_GBK" w:eastAsia="方正书宋_GBK" w:cs="Times New Roman" w:hint="eastAsia"/>
                <w:b/>
                <w:bCs/>
              </w:rPr>
              <w:t>基层群众自治达标验收</w:t>
            </w:r>
          </w:p>
        </w:tc>
        <w:tc>
          <w:tcPr>
            <w:tcW w:w="1296" w:type="dxa"/>
            <w:vMerge w:val="restart"/>
            <w:shd w:val="clear" w:color="auto" w:fill="auto"/>
            <w:vAlign w:val="center"/>
          </w:tcPr>
          <w:p w:rsidR="000F3FEA" w:rsidRDefault="00A43C00">
            <w:pPr>
              <w:spacing w:line="300" w:lineRule="exact"/>
              <w:jc w:val="center"/>
              <w:rPr>
                <w:rFonts w:ascii="方正书宋_GBK" w:eastAsia="方正书宋_GBK" w:hAnsi="Calibri" w:cs="Times New Roman"/>
                <w:highlight w:val="yellow"/>
              </w:rPr>
            </w:pPr>
            <w:r>
              <w:rPr>
                <w:rFonts w:ascii="方正书宋_GBK" w:eastAsia="方正书宋_GBK" w:hAnsi="Calibri" w:cs="Times New Roman" w:hint="eastAsia"/>
              </w:rPr>
              <w:t>2</w:t>
            </w:r>
          </w:p>
        </w:tc>
        <w:tc>
          <w:tcPr>
            <w:tcW w:w="2400" w:type="dxa"/>
            <w:vMerge w:val="restart"/>
            <w:shd w:val="clear" w:color="auto" w:fill="auto"/>
            <w:vAlign w:val="center"/>
          </w:tcPr>
          <w:p w:rsidR="000F3FEA" w:rsidRDefault="00A43C00">
            <w:pPr>
              <w:spacing w:line="300" w:lineRule="exact"/>
              <w:jc w:val="left"/>
              <w:rPr>
                <w:rFonts w:ascii="方正书宋_GBK" w:eastAsia="方正书宋_GBK" w:hAnsi="Calibri" w:cs="Times New Roman"/>
                <w:highlight w:val="yellow"/>
              </w:rPr>
            </w:pPr>
            <w:r>
              <w:rPr>
                <w:rFonts w:ascii="方正书宋_GBK" w:eastAsia="方正书宋_GBK" w:cs="Times New Roman" w:hint="eastAsia"/>
              </w:rPr>
              <w:t>协助政府开展计划生育群众自治、亲情关爱及幸福工程等工作，动员广大群众自觉参与和实行各项计划生育政策</w:t>
            </w:r>
          </w:p>
        </w:tc>
        <w:tc>
          <w:tcPr>
            <w:tcW w:w="2880" w:type="dxa"/>
            <w:vMerge w:val="restart"/>
            <w:shd w:val="clear" w:color="auto" w:fill="auto"/>
            <w:vAlign w:val="center"/>
          </w:tcPr>
          <w:p w:rsidR="000F3FEA" w:rsidRDefault="00A43C00">
            <w:pPr>
              <w:spacing w:line="300" w:lineRule="exact"/>
              <w:jc w:val="left"/>
              <w:rPr>
                <w:rFonts w:ascii="方正书宋_GBK" w:eastAsia="方正书宋_GBK" w:hAnsi="Calibri" w:cs="Times New Roman"/>
                <w:highlight w:val="yellow"/>
              </w:rPr>
            </w:pPr>
            <w:r>
              <w:rPr>
                <w:rFonts w:ascii="方正书宋_GBK" w:eastAsia="方正书宋_GBK" w:cs="Times New Roman" w:hint="eastAsia"/>
              </w:rPr>
              <w:t>增进广大育龄群众和计生家庭福祉，提高群众自觉实行计划生育的积极性</w:t>
            </w:r>
          </w:p>
        </w:tc>
        <w:tc>
          <w:tcPr>
            <w:tcW w:w="1380" w:type="dxa"/>
            <w:shd w:val="clear" w:color="auto" w:fill="auto"/>
            <w:vAlign w:val="center"/>
          </w:tcPr>
          <w:p w:rsidR="000F3FEA" w:rsidRDefault="00A43C00">
            <w:pPr>
              <w:spacing w:line="300" w:lineRule="exact"/>
              <w:jc w:val="left"/>
              <w:rPr>
                <w:rFonts w:ascii="方正书宋_GBK" w:eastAsia="方正书宋_GBK" w:hAnsi="Calibri" w:cs="Times New Roman"/>
                <w:highlight w:val="yellow"/>
              </w:rPr>
            </w:pPr>
            <w:r>
              <w:rPr>
                <w:rFonts w:ascii="方正书宋_GBK" w:eastAsia="方正书宋_GBK" w:cs="Times New Roman" w:hint="eastAsia"/>
              </w:rPr>
              <w:t>修订《计划生育村规民约》，创建人口计生基层群众自治村</w:t>
            </w: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highlight w:val="yellow"/>
              </w:rPr>
            </w:pPr>
            <w:r>
              <w:rPr>
                <w:rFonts w:ascii="方正书宋_GBK" w:eastAsia="方正书宋_GBK" w:hAnsi="Calibri" w:cs="Times New Roman" w:hint="eastAsia"/>
              </w:rPr>
              <w:t>100%</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highlight w:val="yellow"/>
              </w:rPr>
            </w:pPr>
            <w:r>
              <w:rPr>
                <w:rFonts w:ascii="方正书宋_GBK" w:eastAsia="方正书宋_GBK" w:hAnsi="Calibri" w:cs="Times New Roman" w:hint="eastAsia"/>
              </w:rPr>
              <w:t>≥98%</w:t>
            </w:r>
          </w:p>
        </w:tc>
        <w:tc>
          <w:tcPr>
            <w:tcW w:w="900" w:type="dxa"/>
            <w:shd w:val="clear" w:color="auto" w:fill="auto"/>
            <w:vAlign w:val="center"/>
          </w:tcPr>
          <w:p w:rsidR="000F3FEA" w:rsidRDefault="00A43C00">
            <w:pPr>
              <w:spacing w:line="300" w:lineRule="exact"/>
              <w:rPr>
                <w:rFonts w:ascii="方正书宋_GBK" w:eastAsia="方正书宋_GBK" w:hAnsi="Calibri" w:cs="Times New Roman"/>
                <w:highlight w:val="yellow"/>
              </w:rPr>
            </w:pPr>
            <w:r>
              <w:rPr>
                <w:rFonts w:ascii="方正书宋_GBK" w:eastAsia="方正书宋_GBK" w:hAnsi="Calibri" w:cs="Times New Roman" w:hint="eastAsia"/>
              </w:rPr>
              <w:t>≥95%</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highlight w:val="yellow"/>
              </w:rPr>
            </w:pPr>
            <w:r>
              <w:rPr>
                <w:rFonts w:ascii="方正书宋_GBK" w:eastAsia="方正书宋_GBK" w:hAnsi="Calibri" w:cs="Times New Roman" w:hint="eastAsia"/>
              </w:rPr>
              <w:t>＜95%</w:t>
            </w:r>
          </w:p>
        </w:tc>
      </w:tr>
      <w:tr w:rsidR="000F3FEA">
        <w:trPr>
          <w:trHeight w:val="227"/>
          <w:jc w:val="center"/>
        </w:trPr>
        <w:tc>
          <w:tcPr>
            <w:tcW w:w="2341" w:type="dxa"/>
            <w:vMerge/>
            <w:shd w:val="clear" w:color="auto" w:fill="auto"/>
            <w:vAlign w:val="center"/>
          </w:tcPr>
          <w:p w:rsidR="000F3FEA" w:rsidRDefault="000F3FEA">
            <w:pPr>
              <w:spacing w:line="300" w:lineRule="exact"/>
              <w:jc w:val="left"/>
              <w:rPr>
                <w:rFonts w:ascii="方正书宋_GBK" w:eastAsia="方正书宋_GBK" w:hAnsi="Calibri" w:cs="Times New Roman"/>
                <w:b/>
                <w:highlight w:val="yellow"/>
              </w:rPr>
            </w:pPr>
          </w:p>
        </w:tc>
        <w:tc>
          <w:tcPr>
            <w:tcW w:w="1296"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2400"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2880"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1380" w:type="dxa"/>
            <w:shd w:val="clear" w:color="auto" w:fill="auto"/>
            <w:vAlign w:val="center"/>
          </w:tcPr>
          <w:p w:rsidR="000F3FEA" w:rsidRDefault="00A43C00">
            <w:pPr>
              <w:spacing w:line="300" w:lineRule="exact"/>
              <w:jc w:val="left"/>
              <w:rPr>
                <w:rFonts w:ascii="方正书宋_GBK" w:eastAsia="方正书宋_GBK" w:hAnsi="Calibri" w:cs="Times New Roman"/>
                <w:highlight w:val="yellow"/>
              </w:rPr>
            </w:pPr>
            <w:r>
              <w:rPr>
                <w:rFonts w:ascii="方正书宋_GBK" w:eastAsia="方正书宋_GBK" w:hAnsi="Calibri" w:cs="Times New Roman" w:hint="eastAsia"/>
              </w:rPr>
              <w:t>开展宣传培训活动，传播计划生育和生殖健康等知识的次数</w:t>
            </w: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≥5次</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≥4次</w:t>
            </w:r>
          </w:p>
        </w:tc>
        <w:tc>
          <w:tcPr>
            <w:tcW w:w="900"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≥3次</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＜3次</w:t>
            </w:r>
          </w:p>
        </w:tc>
      </w:tr>
      <w:tr w:rsidR="000F3FEA">
        <w:trPr>
          <w:trHeight w:val="227"/>
          <w:jc w:val="center"/>
        </w:trPr>
        <w:tc>
          <w:tcPr>
            <w:tcW w:w="2341" w:type="dxa"/>
            <w:vMerge/>
            <w:shd w:val="clear" w:color="auto" w:fill="auto"/>
            <w:vAlign w:val="center"/>
          </w:tcPr>
          <w:p w:rsidR="000F3FEA" w:rsidRDefault="000F3FEA">
            <w:pPr>
              <w:spacing w:line="300" w:lineRule="exact"/>
              <w:jc w:val="left"/>
              <w:rPr>
                <w:rFonts w:ascii="方正书宋_GBK" w:eastAsia="方正书宋_GBK" w:hAnsi="Calibri" w:cs="Times New Roman"/>
                <w:b/>
                <w:highlight w:val="yellow"/>
              </w:rPr>
            </w:pPr>
          </w:p>
        </w:tc>
        <w:tc>
          <w:tcPr>
            <w:tcW w:w="1296"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2400"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2880" w:type="dxa"/>
            <w:vMerge/>
            <w:shd w:val="clear" w:color="auto" w:fill="auto"/>
            <w:vAlign w:val="center"/>
          </w:tcPr>
          <w:p w:rsidR="000F3FEA" w:rsidRDefault="000F3FEA">
            <w:pPr>
              <w:spacing w:line="300" w:lineRule="exact"/>
              <w:jc w:val="left"/>
              <w:rPr>
                <w:rFonts w:ascii="方正书宋_GBK" w:eastAsia="方正书宋_GBK" w:hAnsi="Calibri" w:cs="Times New Roman"/>
                <w:highlight w:val="yellow"/>
              </w:rPr>
            </w:pPr>
          </w:p>
        </w:tc>
        <w:tc>
          <w:tcPr>
            <w:tcW w:w="1380" w:type="dxa"/>
            <w:shd w:val="clear" w:color="auto" w:fill="auto"/>
            <w:vAlign w:val="center"/>
          </w:tcPr>
          <w:p w:rsidR="000F3FEA" w:rsidRDefault="00A43C00">
            <w:pPr>
              <w:spacing w:line="300" w:lineRule="exact"/>
              <w:jc w:val="left"/>
              <w:rPr>
                <w:rFonts w:ascii="方正书宋_GBK" w:eastAsia="方正书宋_GBK" w:hAnsi="Calibri" w:cs="Times New Roman"/>
              </w:rPr>
            </w:pPr>
            <w:r>
              <w:rPr>
                <w:rFonts w:ascii="方正书宋_GBK" w:eastAsia="方正书宋_GBK" w:hAnsi="Calibri" w:cs="Times New Roman" w:hint="eastAsia"/>
              </w:rPr>
              <w:t>创建人口基层自治示范村占全自然村的比重</w:t>
            </w:r>
          </w:p>
        </w:tc>
        <w:tc>
          <w:tcPr>
            <w:tcW w:w="82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≥89%</w:t>
            </w:r>
          </w:p>
        </w:tc>
        <w:tc>
          <w:tcPr>
            <w:tcW w:w="975"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≥60%</w:t>
            </w:r>
          </w:p>
        </w:tc>
        <w:tc>
          <w:tcPr>
            <w:tcW w:w="900"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≥45%</w:t>
            </w:r>
          </w:p>
        </w:tc>
        <w:tc>
          <w:tcPr>
            <w:tcW w:w="937" w:type="dxa"/>
            <w:shd w:val="clear" w:color="auto" w:fill="auto"/>
            <w:vAlign w:val="center"/>
          </w:tcPr>
          <w:p w:rsidR="000F3FEA" w:rsidRDefault="00A43C00">
            <w:pPr>
              <w:spacing w:line="300" w:lineRule="exact"/>
              <w:jc w:val="center"/>
              <w:rPr>
                <w:rFonts w:ascii="方正书宋_GBK" w:eastAsia="方正书宋_GBK" w:hAnsi="Calibri" w:cs="Times New Roman"/>
              </w:rPr>
            </w:pPr>
            <w:r>
              <w:rPr>
                <w:rFonts w:ascii="方正书宋_GBK" w:eastAsia="方正书宋_GBK" w:hAnsi="Calibri" w:cs="Times New Roman" w:hint="eastAsia"/>
              </w:rPr>
              <w:t>＜45%</w:t>
            </w:r>
          </w:p>
        </w:tc>
      </w:tr>
    </w:tbl>
    <w:p w:rsidR="000F3FEA" w:rsidRDefault="000F3FEA">
      <w:pPr>
        <w:autoSpaceDE w:val="0"/>
        <w:autoSpaceDN w:val="0"/>
        <w:adjustRightInd w:val="0"/>
        <w:ind w:left="200"/>
        <w:jc w:val="left"/>
        <w:rPr>
          <w:rFonts w:ascii="宋体" w:eastAsia="宋体" w:cs="宋体"/>
          <w:kern w:val="0"/>
          <w:sz w:val="18"/>
          <w:szCs w:val="18"/>
          <w:lang w:val="zh-CN"/>
        </w:rPr>
      </w:pPr>
    </w:p>
    <w:p w:rsidR="000F3FEA" w:rsidRDefault="000F3FEA">
      <w:pPr>
        <w:autoSpaceDE w:val="0"/>
        <w:autoSpaceDN w:val="0"/>
        <w:adjustRightInd w:val="0"/>
        <w:ind w:firstLineChars="200" w:firstLine="640"/>
        <w:jc w:val="left"/>
        <w:rPr>
          <w:rFonts w:ascii="黑体" w:eastAsia="黑体" w:hAnsi="黑体" w:cs="Times New Roman"/>
          <w:sz w:val="32"/>
          <w:szCs w:val="32"/>
        </w:rPr>
      </w:pPr>
    </w:p>
    <w:p w:rsidR="000F3FEA" w:rsidRDefault="00A43C00">
      <w:pPr>
        <w:numPr>
          <w:ilvl w:val="0"/>
          <w:numId w:val="2"/>
        </w:num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政府采购预算情况</w:t>
      </w:r>
      <w:bookmarkStart w:id="2" w:name="_Toc471398468"/>
    </w:p>
    <w:p w:rsidR="000F3FEA" w:rsidRDefault="00A43C00">
      <w:pPr>
        <w:autoSpaceDE w:val="0"/>
        <w:autoSpaceDN w:val="0"/>
        <w:adjustRightInd w:val="0"/>
        <w:ind w:firstLineChars="200" w:firstLine="640"/>
        <w:jc w:val="left"/>
        <w:rPr>
          <w:rFonts w:ascii="黑体" w:eastAsia="黑体" w:hAnsi="黑体" w:cs="Times New Roman"/>
          <w:sz w:val="32"/>
          <w:szCs w:val="32"/>
        </w:rPr>
      </w:pPr>
      <w:r>
        <w:rPr>
          <w:rFonts w:ascii="仿宋_GB2312" w:eastAsia="仿宋_GB2312" w:hAnsi="黑体" w:cs="仿宋_GB2312" w:hint="eastAsia"/>
          <w:sz w:val="32"/>
          <w:szCs w:val="32"/>
        </w:rPr>
        <w:lastRenderedPageBreak/>
        <w:t>2019年度本部门政府采购安排情况为： 本年度无政府采购预算。</w:t>
      </w:r>
      <w:bookmarkEnd w:id="2"/>
    </w:p>
    <w:p w:rsidR="000F3FEA" w:rsidRDefault="00A43C00">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tbl>
      <w:tblPr>
        <w:tblW w:w="13482" w:type="dxa"/>
        <w:tblInd w:w="93" w:type="dxa"/>
        <w:tblLayout w:type="fixed"/>
        <w:tblLook w:val="04A0" w:firstRow="1" w:lastRow="0" w:firstColumn="1" w:lastColumn="0" w:noHBand="0" w:noVBand="1"/>
      </w:tblPr>
      <w:tblGrid>
        <w:gridCol w:w="5224"/>
        <w:gridCol w:w="3155"/>
        <w:gridCol w:w="5103"/>
      </w:tblGrid>
      <w:tr w:rsidR="000F3FEA">
        <w:trPr>
          <w:trHeight w:val="705"/>
        </w:trPr>
        <w:tc>
          <w:tcPr>
            <w:tcW w:w="13482" w:type="dxa"/>
            <w:gridSpan w:val="3"/>
            <w:tcBorders>
              <w:top w:val="nil"/>
              <w:left w:val="nil"/>
              <w:bottom w:val="nil"/>
              <w:right w:val="nil"/>
            </w:tcBorders>
            <w:shd w:val="clear" w:color="auto" w:fill="auto"/>
            <w:noWrap/>
            <w:vAlign w:val="center"/>
          </w:tcPr>
          <w:p w:rsidR="000F3FEA" w:rsidRDefault="00A43C00">
            <w:pPr>
              <w:ind w:firstLine="640"/>
              <w:rPr>
                <w:rFonts w:ascii="仿宋_GB2312" w:eastAsia="仿宋_GB2312" w:hAnsi="黑体" w:cs="仿宋_GB2312"/>
                <w:sz w:val="32"/>
                <w:szCs w:val="32"/>
              </w:rPr>
            </w:pPr>
            <w:r>
              <w:rPr>
                <w:rFonts w:ascii="仿宋_GB2312" w:eastAsia="仿宋_GB2312" w:hAnsi="黑体" w:cs="仿宋_GB2312" w:hint="eastAsia"/>
                <w:sz w:val="32"/>
                <w:szCs w:val="32"/>
              </w:rPr>
              <w:t>本部门无</w:t>
            </w:r>
            <w:r>
              <w:rPr>
                <w:rFonts w:ascii="仿宋_GB2312" w:eastAsia="仿宋_GB2312" w:hAnsi="仿宋_GB2312" w:hint="eastAsia"/>
                <w:color w:val="000000"/>
                <w:sz w:val="32"/>
              </w:rPr>
              <w:t>本年度拟购置固定资产</w:t>
            </w:r>
            <w:r>
              <w:rPr>
                <w:rFonts w:ascii="仿宋_GB2312" w:eastAsia="仿宋_GB2312" w:hAnsi="黑体" w:cs="仿宋_GB2312" w:hint="eastAsia"/>
                <w:sz w:val="32"/>
                <w:szCs w:val="32"/>
              </w:rPr>
              <w:t>（详见下表）。</w:t>
            </w:r>
          </w:p>
          <w:p w:rsidR="000F3FEA" w:rsidRDefault="00A43C00">
            <w:pPr>
              <w:widowControl/>
              <w:jc w:val="center"/>
              <w:rPr>
                <w:rFonts w:ascii="宋体" w:eastAsia="宋体" w:hAnsi="宋体" w:cs="宋体"/>
                <w:b/>
                <w:bCs/>
                <w:kern w:val="0"/>
                <w:sz w:val="32"/>
                <w:szCs w:val="32"/>
                <w:highlight w:val="yellow"/>
              </w:rPr>
            </w:pPr>
            <w:r>
              <w:rPr>
                <w:rFonts w:ascii="宋体" w:eastAsia="宋体" w:hAnsi="宋体" w:cs="宋体" w:hint="eastAsia"/>
                <w:b/>
                <w:bCs/>
                <w:kern w:val="0"/>
                <w:sz w:val="32"/>
                <w:szCs w:val="32"/>
              </w:rPr>
              <w:t>固定资产占用情况表</w:t>
            </w:r>
          </w:p>
        </w:tc>
      </w:tr>
      <w:tr w:rsidR="000F3FEA">
        <w:trPr>
          <w:trHeight w:val="510"/>
        </w:trPr>
        <w:tc>
          <w:tcPr>
            <w:tcW w:w="8379" w:type="dxa"/>
            <w:gridSpan w:val="2"/>
            <w:tcBorders>
              <w:top w:val="nil"/>
              <w:left w:val="nil"/>
              <w:bottom w:val="nil"/>
              <w:right w:val="nil"/>
            </w:tcBorders>
            <w:shd w:val="clear" w:color="auto" w:fill="auto"/>
            <w:noWrap/>
            <w:vAlign w:val="center"/>
          </w:tcPr>
          <w:p w:rsidR="000F3FEA" w:rsidRDefault="00A43C00">
            <w:pPr>
              <w:widowControl/>
              <w:jc w:val="left"/>
              <w:rPr>
                <w:rFonts w:ascii="宋体" w:eastAsia="宋体" w:hAnsi="宋体" w:cs="宋体"/>
                <w:kern w:val="0"/>
                <w:sz w:val="22"/>
                <w:highlight w:val="yellow"/>
              </w:rPr>
            </w:pPr>
            <w:r>
              <w:rPr>
                <w:rFonts w:ascii="宋体" w:eastAsia="宋体" w:hAnsi="宋体" w:cs="宋体" w:hint="eastAsia"/>
                <w:kern w:val="0"/>
                <w:sz w:val="22"/>
              </w:rPr>
              <w:t>编制部门：威县计划生育协会</w:t>
            </w:r>
          </w:p>
        </w:tc>
        <w:tc>
          <w:tcPr>
            <w:tcW w:w="5103" w:type="dxa"/>
            <w:tcBorders>
              <w:top w:val="nil"/>
              <w:left w:val="nil"/>
              <w:bottom w:val="nil"/>
              <w:right w:val="nil"/>
            </w:tcBorders>
            <w:shd w:val="clear" w:color="auto" w:fill="auto"/>
            <w:noWrap/>
            <w:vAlign w:val="center"/>
          </w:tcPr>
          <w:p w:rsidR="000F3FEA" w:rsidRDefault="00A43C00">
            <w:pPr>
              <w:widowControl/>
              <w:ind w:firstLineChars="800" w:firstLine="1760"/>
              <w:jc w:val="left"/>
              <w:rPr>
                <w:rFonts w:ascii="宋体" w:eastAsia="宋体" w:hAnsi="宋体" w:cs="宋体"/>
                <w:kern w:val="0"/>
                <w:sz w:val="22"/>
                <w:highlight w:val="yellow"/>
              </w:rPr>
            </w:pPr>
            <w:r>
              <w:rPr>
                <w:rFonts w:ascii="宋体" w:eastAsia="宋体" w:hAnsi="宋体" w:cs="宋体" w:hint="eastAsia"/>
                <w:kern w:val="0"/>
                <w:sz w:val="22"/>
              </w:rPr>
              <w:t xml:space="preserve">截止时间：2018年12月31日  </w:t>
            </w:r>
          </w:p>
        </w:tc>
      </w:tr>
      <w:tr w:rsidR="000F3FEA">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FEA" w:rsidRDefault="00A43C00">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0F3FEA" w:rsidRDefault="00A43C00">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0F3FEA" w:rsidRDefault="00A43C00">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0F3FE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0F3FEA" w:rsidRDefault="00A43C00">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0F3FEA" w:rsidRDefault="000F3FEA">
            <w:pPr>
              <w:widowControl/>
              <w:jc w:val="center"/>
              <w:rPr>
                <w:rFonts w:ascii="Times New Roman" w:eastAsia="宋体" w:hAnsi="Times New Roman" w:cs="Times New Roman"/>
                <w:kern w:val="0"/>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0F3FEA" w:rsidRDefault="000F3FEA">
            <w:pPr>
              <w:widowControl/>
              <w:jc w:val="center"/>
              <w:rPr>
                <w:rFonts w:ascii="Times New Roman" w:eastAsia="宋体" w:hAnsi="Times New Roman" w:cs="Times New Roman"/>
                <w:kern w:val="0"/>
                <w:sz w:val="22"/>
                <w:highlight w:val="yellow"/>
              </w:rPr>
            </w:pPr>
          </w:p>
        </w:tc>
      </w:tr>
      <w:tr w:rsidR="000F3FE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0F3FEA" w:rsidRDefault="00A43C00">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r>
      <w:tr w:rsidR="000F3FE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0F3FEA" w:rsidRDefault="00A43C00">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r>
      <w:tr w:rsidR="000F3FE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0F3FEA" w:rsidRDefault="00A43C00">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r>
      <w:tr w:rsidR="000F3FEA">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0F3FEA" w:rsidRDefault="00A43C00">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r>
      <w:tr w:rsidR="000F3FE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0F3FEA" w:rsidRDefault="00A43C00">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0F3FEA" w:rsidRDefault="000F3FEA">
            <w:pPr>
              <w:jc w:val="center"/>
              <w:rPr>
                <w:rFonts w:ascii="Times New Roman" w:hAnsi="Times New Roman" w:cs="Times New Roman"/>
                <w:sz w:val="22"/>
              </w:rPr>
            </w:pPr>
          </w:p>
        </w:tc>
      </w:tr>
    </w:tbl>
    <w:p w:rsidR="000F3FEA" w:rsidRDefault="00A43C0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lastRenderedPageBreak/>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0F3FEA" w:rsidRDefault="00A43C00" w:rsidP="00B43511">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w:t>
      </w:r>
      <w:r>
        <w:rPr>
          <w:rFonts w:ascii="Times New Roman" w:eastAsia="方正仿宋_GBK" w:hAnsi="Times New Roman" w:cs="Times New Roman" w:hint="eastAsia"/>
          <w:sz w:val="32"/>
          <w:szCs w:val="32"/>
        </w:rPr>
        <w:lastRenderedPageBreak/>
        <w:t>理费、公务用车运行维护费以及</w:t>
      </w:r>
      <w:r>
        <w:rPr>
          <w:rFonts w:ascii="Times New Roman" w:eastAsia="方正仿宋_GBK" w:hAnsi="Times New Roman" w:cs="Times New Roman"/>
          <w:sz w:val="32"/>
          <w:szCs w:val="32"/>
        </w:rPr>
        <w:t>其他费用。</w:t>
      </w:r>
    </w:p>
    <w:p w:rsidR="000F3FEA" w:rsidRDefault="00A43C00" w:rsidP="00B4351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0F3FEA" w:rsidRDefault="00A43C0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0F3FEA" w:rsidRDefault="00A43C00">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0F3FE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24" w:rsidRDefault="00E55824" w:rsidP="00D62554">
      <w:r>
        <w:separator/>
      </w:r>
    </w:p>
  </w:endnote>
  <w:endnote w:type="continuationSeparator" w:id="0">
    <w:p w:rsidR="00E55824" w:rsidRDefault="00E55824" w:rsidP="00D6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24" w:rsidRDefault="00E55824" w:rsidP="00D62554">
      <w:r>
        <w:separator/>
      </w:r>
    </w:p>
  </w:footnote>
  <w:footnote w:type="continuationSeparator" w:id="0">
    <w:p w:rsidR="00E55824" w:rsidRDefault="00E55824" w:rsidP="00D6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D3E06"/>
    <w:multiLevelType w:val="singleLevel"/>
    <w:tmpl w:val="BF5D3E06"/>
    <w:lvl w:ilvl="0">
      <w:start w:val="6"/>
      <w:numFmt w:val="chineseCounting"/>
      <w:suff w:val="nothing"/>
      <w:lvlText w:val="%1、"/>
      <w:lvlJc w:val="left"/>
      <w:rPr>
        <w:rFonts w:hint="eastAsia"/>
      </w:rPr>
    </w:lvl>
  </w:abstractNum>
  <w:abstractNum w:abstractNumId="1">
    <w:nsid w:val="FF83CE08"/>
    <w:multiLevelType w:val="singleLevel"/>
    <w:tmpl w:val="FF83CE08"/>
    <w:lvl w:ilvl="0">
      <w:start w:val="1"/>
      <w:numFmt w:val="decimal"/>
      <w:suff w:val="nothing"/>
      <w:lvlText w:val="%1、"/>
      <w:lvlJc w:val="left"/>
      <w:pPr>
        <w:ind w:left="9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0F3FEA"/>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3C00"/>
    <w:rsid w:val="00A44E3D"/>
    <w:rsid w:val="00A72D2E"/>
    <w:rsid w:val="00A74447"/>
    <w:rsid w:val="00A74CE5"/>
    <w:rsid w:val="00A911E7"/>
    <w:rsid w:val="00A939D9"/>
    <w:rsid w:val="00B07D9E"/>
    <w:rsid w:val="00B20712"/>
    <w:rsid w:val="00B43238"/>
    <w:rsid w:val="00B43511"/>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62554"/>
    <w:rsid w:val="00DB4A9B"/>
    <w:rsid w:val="00E167C7"/>
    <w:rsid w:val="00E2482E"/>
    <w:rsid w:val="00E3206C"/>
    <w:rsid w:val="00E55824"/>
    <w:rsid w:val="00E57B93"/>
    <w:rsid w:val="00E73D47"/>
    <w:rsid w:val="00EC47F6"/>
    <w:rsid w:val="00EE65B8"/>
    <w:rsid w:val="00F149E2"/>
    <w:rsid w:val="00F66032"/>
    <w:rsid w:val="00F87C1E"/>
    <w:rsid w:val="00F958C2"/>
    <w:rsid w:val="04B6200E"/>
    <w:rsid w:val="08AB55BE"/>
    <w:rsid w:val="0B7D75EA"/>
    <w:rsid w:val="21FB3A85"/>
    <w:rsid w:val="2E12414E"/>
    <w:rsid w:val="3B7A3C2E"/>
    <w:rsid w:val="3EBB6E85"/>
    <w:rsid w:val="3EF567C8"/>
    <w:rsid w:val="42C72A3F"/>
    <w:rsid w:val="491104A0"/>
    <w:rsid w:val="4BA23A07"/>
    <w:rsid w:val="4CFE5692"/>
    <w:rsid w:val="60283423"/>
    <w:rsid w:val="68574075"/>
    <w:rsid w:val="6C014848"/>
    <w:rsid w:val="739661AB"/>
    <w:rsid w:val="797A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s="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s="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38730-9D85-4C84-8753-D8CDE929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451</Words>
  <Characters>2577</Characters>
  <Application>Microsoft Office Word</Application>
  <DocSecurity>0</DocSecurity>
  <Lines>21</Lines>
  <Paragraphs>6</Paragraphs>
  <ScaleCrop>false</ScaleCrop>
  <Company>Microsoft</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53</cp:revision>
  <cp:lastPrinted>2017-11-09T01:12:00Z</cp:lastPrinted>
  <dcterms:created xsi:type="dcterms:W3CDTF">2019-01-15T00:52:00Z</dcterms:created>
  <dcterms:modified xsi:type="dcterms:W3CDTF">2019-03-04T02:34:00Z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