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A3646" w:rsidRDefault="00B142C1">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威县卫生和计划生育局</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BA3646" w:rsidRDefault="00B142C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w:t>
      </w:r>
      <w:r>
        <w:rPr>
          <w:rFonts w:ascii="宋体" w:eastAsia="宋体" w:hAnsi="宋体" w:cs="宋体" w:hint="eastAsia"/>
          <w:sz w:val="32"/>
          <w:szCs w:val="32"/>
        </w:rPr>
        <w:t>地方预决算公开操作规</w:t>
      </w:r>
      <w:r>
        <w:rPr>
          <w:rFonts w:ascii="Times New Roman" w:eastAsia="方正仿宋_GBK" w:hAnsi="Times New Roman" w:cs="Times New Roman"/>
          <w:sz w:val="32"/>
          <w:szCs w:val="32"/>
        </w:rPr>
        <w:t>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w:t>
      </w:r>
      <w:r>
        <w:rPr>
          <w:rFonts w:ascii="微软雅黑" w:eastAsia="微软雅黑" w:hAnsi="微软雅黑" w:cs="微软雅黑" w:hint="eastAsia"/>
          <w:sz w:val="32"/>
          <w:szCs w:val="32"/>
        </w:rPr>
        <w:t>威县卫生和计划生育局</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BA3646" w:rsidRDefault="00B142C1">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BA3646" w:rsidRDefault="00B142C1">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（一）贯彻执行卫生和计划生育、中医药事业发展的法律、法规以及标准、规章。负责协调推进医药卫生体制改革和医疗保障</w:t>
      </w:r>
      <w:r>
        <w:rPr>
          <w:rFonts w:ascii="黑体" w:eastAsia="黑体" w:hAnsi="宋体" w:cs="宋体"/>
          <w:color w:val="000000"/>
          <w:kern w:val="0"/>
          <w:sz w:val="32"/>
        </w:rPr>
        <w:t xml:space="preserve">, </w:t>
      </w:r>
      <w:r>
        <w:rPr>
          <w:rFonts w:ascii="黑体" w:eastAsia="黑体" w:hAnsi="宋体" w:cs="宋体" w:hint="eastAsia"/>
          <w:color w:val="000000"/>
          <w:kern w:val="0"/>
          <w:sz w:val="32"/>
        </w:rPr>
        <w:t>会同有关部门制定并实施全县卫生和计划生育事业发展规划和政策措施，统筹规</w:t>
      </w:r>
      <w:r>
        <w:rPr>
          <w:rFonts w:ascii="黑体" w:eastAsia="黑体" w:hAnsi="宋体" w:cs="宋体" w:hint="eastAsia"/>
          <w:color w:val="000000"/>
          <w:kern w:val="0"/>
          <w:sz w:val="32"/>
        </w:rPr>
        <w:t>划与协调卫生和计划生育服务资源配置，指导区域卫生和计划生育规划的编制和实施。</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二）负责组织实施疾病预防控制规划、计划免疫规划和严重危害人民健康的公共卫生问题的干预措施，协调有关部门对重大疾病实施综合防控与干预，制定卫生应急和紧急医学救援预案、突发公共卫生事件监测和风险评估计划，组织和指导实施突发公共卫生事件预防控制与医疗应急处置，向上级部门报告法定传染病疫情信息、突发公共卫生事件应急处置信息。</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lastRenderedPageBreak/>
        <w:t>（三）负责职责范围内的职业卫生、放射卫生、环境卫生、学校卫生、公共场所和饮用水的卫生安全监督管理，组织开展相关监测、调查、评估和监督，负责传染病防治监督。</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（四）负责组织拟订并实施全县基层卫</w:t>
      </w:r>
      <w:r>
        <w:rPr>
          <w:rFonts w:ascii="黑体" w:eastAsia="黑体" w:hAnsi="宋体" w:cs="宋体" w:hint="eastAsia"/>
          <w:color w:val="000000"/>
          <w:kern w:val="0"/>
          <w:sz w:val="32"/>
        </w:rPr>
        <w:t>生和计划生育服务、妇幼卫生发展规划和政策措施，指导基层卫生和计划生育、妇幼卫生服务体系建设，推进基本公共卫生和计划生育服务均等化，完善基层运行新机制和乡村医生管理制度。负责新型农村合作医疗的综合管理。</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（五）负责医疗机构医疗服务的全行业监督管理。依法监督执行医疗机构服务、技术、医疗质量和我县</w:t>
      </w:r>
      <w:proofErr w:type="gramStart"/>
      <w:r>
        <w:rPr>
          <w:rFonts w:ascii="黑体" w:eastAsia="黑体" w:hAnsi="宋体" w:cs="宋体" w:hint="eastAsia"/>
          <w:color w:val="000000"/>
          <w:kern w:val="0"/>
          <w:sz w:val="32"/>
        </w:rPr>
        <w:t>储血点采供血</w:t>
      </w:r>
      <w:proofErr w:type="gramEnd"/>
      <w:r>
        <w:rPr>
          <w:rFonts w:ascii="黑体" w:eastAsia="黑体" w:hAnsi="宋体" w:cs="宋体" w:hint="eastAsia"/>
          <w:color w:val="000000"/>
          <w:kern w:val="0"/>
          <w:sz w:val="32"/>
        </w:rPr>
        <w:t>及临床用血质量的政策、规范、标准；建立医疗机构医疗服务评价和监督体系。</w:t>
      </w:r>
      <w:r>
        <w:rPr>
          <w:rFonts w:ascii="黑体" w:eastAsia="黑体" w:hAnsi="宋体" w:cs="仿宋" w:hint="eastAsia"/>
          <w:color w:val="000000"/>
          <w:kern w:val="0"/>
          <w:sz w:val="32"/>
        </w:rPr>
        <w:t>负责医疗纠纷的受理和日常接待工作，医疗纠纷材料调查、取证、调节工作；提请上级医疗鉴定委员会专家对医疗纠纷的鉴定工作，向医疗鉴定委员会专家组</w:t>
      </w:r>
      <w:r>
        <w:rPr>
          <w:rFonts w:ascii="黑体" w:eastAsia="黑体" w:hAnsi="宋体" w:cs="仿宋" w:hint="eastAsia"/>
          <w:color w:val="000000"/>
          <w:kern w:val="0"/>
          <w:sz w:val="32"/>
        </w:rPr>
        <w:t>提供医疗纠纷的综合文件，调查材料，组织实施申请医疗纠纷的尸体解剖工作，将鉴定结果及时反馈，对重新鉴定事故或纠纷提供有效的资料；对申请法院审理的医疗纠纷负责相关资料的提供，或受法律委托提请医疗鉴定</w:t>
      </w:r>
      <w:r>
        <w:rPr>
          <w:rFonts w:ascii="黑体" w:eastAsia="黑体" w:hAnsi="宋体" w:cs="仿宋"/>
          <w:color w:val="000000"/>
          <w:kern w:val="0"/>
          <w:sz w:val="32"/>
        </w:rPr>
        <w:t>.</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（六）负责组织推进公立医院改革，建立公益性为导向的绩效考核和评价运行机制，建设和谐医患关系，提出医疗服务和药品价格政策的建议。</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lastRenderedPageBreak/>
        <w:t>（七）负责组织实施国家药物政策，执行国家基本药物制度和国家基本药物目录，执行国家基本药物采购、配送、使用的管理制度。</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（八）负责完善生育政策，组织实施促进出生人口性别平衡的政策措施，组织</w:t>
      </w:r>
      <w:r>
        <w:rPr>
          <w:rFonts w:ascii="黑体" w:eastAsia="黑体" w:hAnsi="宋体" w:cs="宋体" w:hint="eastAsia"/>
          <w:color w:val="000000"/>
          <w:kern w:val="0"/>
          <w:sz w:val="32"/>
        </w:rPr>
        <w:t>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（十）制定流动人口计划生育服务管理制度并组织落实，推动建立流动人口卫生和计划生育信息共享和公共服</w:t>
      </w:r>
      <w:r>
        <w:rPr>
          <w:rFonts w:ascii="黑体" w:eastAsia="黑体" w:hAnsi="宋体" w:cs="宋体" w:hint="eastAsia"/>
          <w:color w:val="000000"/>
          <w:kern w:val="0"/>
          <w:sz w:val="32"/>
        </w:rPr>
        <w:t>务工作机制。</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（十一）组织拟订全县卫生和计划生育人才发展规划，指导卫生和计划生育人才队伍建设，加强全科医生等急需紧缺专业人才培养和培训。</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lastRenderedPageBreak/>
        <w:t>（十二）组织拟订全县卫生和计划生育科技发展规划，组织实施县重点卫生和计划生育相关科研攻关项目。</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（十三）指导乡、镇卫生和计划生育工作，完善综合监督执法体系，规范执法行为，监督检查法律法规和政策措施的落实，组织查处重大违法行为。监督落实计划生育一票否决制度。</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（十四）负责卫生和计划生育宣传、健康教育、健康促进和信息化建设等工作，依法组织实施统计调查对计划生育技术和药具发放管</w:t>
      </w:r>
      <w:r>
        <w:rPr>
          <w:rFonts w:ascii="黑体" w:eastAsia="黑体" w:hAnsi="宋体" w:cs="宋体" w:hint="eastAsia"/>
          <w:color w:val="000000"/>
          <w:kern w:val="0"/>
          <w:sz w:val="32"/>
        </w:rPr>
        <w:t>理。负责病残儿的初审、申报工作；组织推广应用计划生育科技新成果、新技术。</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五）贯彻中西医并重方针，制定全县中医事业的发展战略，编制中医事业发展规划并监督实施，加强中医药科技研究和人才培养，指导和管理各类中医医疗保健机构，推进全县中医药的继承和创新，实现中医药现代化。</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（十六）负责地方红十字会与世界红十字会组织的接轨，组织参与国际组织倡导的重大卫生活动，负责医学会的组织管理工作。</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lastRenderedPageBreak/>
        <w:t>（十七）依法监督和组织协调指导全县爱国卫生工作；承担全县爱国卫生运动委员会的日常工作；协调有关部门做好地方病防治工作。</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（十八</w:t>
      </w:r>
      <w:r>
        <w:rPr>
          <w:rFonts w:ascii="黑体" w:eastAsia="黑体" w:hAnsi="宋体" w:cs="宋体" w:hint="eastAsia"/>
          <w:color w:val="000000"/>
          <w:kern w:val="0"/>
          <w:sz w:val="32"/>
        </w:rPr>
        <w:t>）贯彻预防为主方针，开展全民健康教育，制定全县对人群危害严重疾病的防治规划；组织对重大疾病的综合防治，监督监察职业卫生、矿山卫生、劳动卫生工作。</w:t>
      </w:r>
    </w:p>
    <w:p w:rsidR="00BA3646" w:rsidRDefault="00B142C1">
      <w:pPr>
        <w:widowControl/>
        <w:shd w:val="clear" w:color="auto" w:fill="FFFFFF"/>
        <w:spacing w:line="480" w:lineRule="auto"/>
        <w:ind w:firstLine="630"/>
        <w:jc w:val="left"/>
        <w:rPr>
          <w:rFonts w:ascii="黑体" w:eastAsia="黑体" w:hAnsi="宋体" w:cs="宋体"/>
          <w:color w:val="000000"/>
          <w:kern w:val="0"/>
          <w:sz w:val="32"/>
        </w:rPr>
      </w:pPr>
      <w:r>
        <w:rPr>
          <w:rFonts w:ascii="黑体" w:eastAsia="黑体" w:hAnsi="宋体" w:cs="宋体" w:hint="eastAsia"/>
          <w:color w:val="000000"/>
          <w:kern w:val="0"/>
          <w:sz w:val="32"/>
        </w:rPr>
        <w:t>（十九）负责县财政拨付的计划生育经费预算的执行工作，搞好全县计划生育社会抚养费使用的监督与管理，检查计划生育奖惩政策的兑现情况。</w:t>
      </w:r>
    </w:p>
    <w:p w:rsidR="00BA3646" w:rsidRDefault="00BA3646">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BA3646" w:rsidRDefault="00BA3646">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BA3646" w:rsidRDefault="00BA3646">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BA3646" w:rsidRDefault="00BA3646">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BA3646" w:rsidRDefault="00BA3646">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BA3646" w:rsidRDefault="00BA3646">
      <w:pPr>
        <w:autoSpaceDE w:val="0"/>
        <w:autoSpaceDN w:val="0"/>
        <w:adjustRightInd w:val="0"/>
        <w:ind w:left="198" w:firstLineChars="200" w:firstLine="640"/>
        <w:jc w:val="left"/>
        <w:rPr>
          <w:rFonts w:ascii="方正仿宋_GBK" w:eastAsia="方正仿宋_GBK" w:hAnsi="Times New Roman" w:cs="Times New Roman"/>
          <w:b/>
          <w:sz w:val="32"/>
          <w:szCs w:val="32"/>
        </w:rPr>
      </w:pPr>
    </w:p>
    <w:p w:rsidR="00BA3646" w:rsidRDefault="00BA3646">
      <w:pPr>
        <w:autoSpaceDE w:val="0"/>
        <w:autoSpaceDN w:val="0"/>
        <w:adjustRightInd w:val="0"/>
        <w:jc w:val="left"/>
        <w:rPr>
          <w:rFonts w:ascii="方正仿宋_GBK" w:eastAsia="方正仿宋_GBK" w:hAnsi="Times New Roman" w:cs="Times New Roman"/>
          <w:b/>
          <w:sz w:val="32"/>
          <w:szCs w:val="32"/>
        </w:rPr>
      </w:pPr>
    </w:p>
    <w:p w:rsidR="00BA3646" w:rsidRDefault="00B142C1">
      <w:pPr>
        <w:autoSpaceDE w:val="0"/>
        <w:autoSpaceDN w:val="0"/>
        <w:adjustRightInd w:val="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lastRenderedPageBreak/>
        <w:t xml:space="preserve">    </w:t>
      </w:r>
      <w:r>
        <w:rPr>
          <w:rFonts w:ascii="方正仿宋_GBK" w:eastAsia="方正仿宋_GBK" w:hAnsi="Times New Roman" w:cs="Times New Roman" w:hint="eastAsia"/>
          <w:b/>
          <w:sz w:val="32"/>
          <w:szCs w:val="32"/>
        </w:rPr>
        <w:t>机构设置：</w:t>
      </w:r>
    </w:p>
    <w:p w:rsidR="00BA3646" w:rsidRDefault="00BA3646">
      <w:pPr>
        <w:jc w:val="center"/>
        <w:outlineLvl w:val="0"/>
        <w:rPr>
          <w:rFonts w:ascii="Times New Roman" w:eastAsia="方正小标宋_GBK" w:hAnsi="Times New Roman"/>
          <w:sz w:val="32"/>
          <w:szCs w:val="24"/>
        </w:rPr>
      </w:pPr>
    </w:p>
    <w:p w:rsidR="00BA3646" w:rsidRDefault="00BA3646">
      <w:pPr>
        <w:outlineLvl w:val="0"/>
        <w:rPr>
          <w:rFonts w:ascii="Times New Roman" w:eastAsia="方正小标宋_GBK" w:hAnsi="Times New Roman"/>
          <w:sz w:val="32"/>
          <w:szCs w:val="24"/>
        </w:rPr>
      </w:pPr>
    </w:p>
    <w:p w:rsidR="00BA3646" w:rsidRDefault="00B142C1">
      <w:pPr>
        <w:jc w:val="center"/>
        <w:outlineLvl w:val="0"/>
        <w:rPr>
          <w:rFonts w:ascii="Times New Roman" w:eastAsia="方正小标宋_GBK" w:hAnsi="Times New Roman"/>
          <w:sz w:val="32"/>
          <w:szCs w:val="24"/>
        </w:rPr>
      </w:pPr>
      <w:r>
        <w:rPr>
          <w:rFonts w:ascii="Times New Roman" w:eastAsia="方正小标宋_GBK" w:hAnsi="Times New Roman" w:hint="eastAsia"/>
          <w:sz w:val="32"/>
          <w:szCs w:val="24"/>
        </w:rPr>
        <w:t>部门机构设置情况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BA3646">
        <w:trPr>
          <w:trHeight w:val="300"/>
          <w:tblHeader/>
          <w:jc w:val="center"/>
        </w:trPr>
        <w:tc>
          <w:tcPr>
            <w:tcW w:w="4443" w:type="dxa"/>
            <w:vMerge w:val="restart"/>
            <w:vAlign w:val="center"/>
          </w:tcPr>
          <w:p w:rsidR="00BA3646" w:rsidRDefault="00B142C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134" w:type="dxa"/>
            <w:vMerge w:val="restart"/>
            <w:vAlign w:val="center"/>
          </w:tcPr>
          <w:p w:rsidR="00BA3646" w:rsidRDefault="00B142C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276" w:type="dxa"/>
            <w:vMerge w:val="restart"/>
            <w:vAlign w:val="center"/>
          </w:tcPr>
          <w:p w:rsidR="00BA3646" w:rsidRDefault="00B142C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902" w:type="dxa"/>
            <w:vMerge w:val="restart"/>
            <w:vAlign w:val="center"/>
          </w:tcPr>
          <w:p w:rsidR="00BA3646" w:rsidRDefault="00B142C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BA3646">
        <w:trPr>
          <w:trHeight w:val="300"/>
          <w:tblHeader/>
          <w:jc w:val="center"/>
        </w:trPr>
        <w:tc>
          <w:tcPr>
            <w:tcW w:w="4443" w:type="dxa"/>
            <w:vMerge/>
            <w:vAlign w:val="center"/>
          </w:tcPr>
          <w:p w:rsidR="00BA3646" w:rsidRDefault="00BA3646">
            <w:pPr>
              <w:spacing w:line="300" w:lineRule="exact"/>
              <w:jc w:val="left"/>
              <w:outlineLvl w:val="0"/>
              <w:rPr>
                <w:rFonts w:ascii="Times New Roman" w:hAnsi="Times New Roman"/>
                <w:szCs w:val="24"/>
              </w:rPr>
            </w:pPr>
          </w:p>
        </w:tc>
        <w:tc>
          <w:tcPr>
            <w:tcW w:w="1134" w:type="dxa"/>
            <w:vMerge/>
            <w:vAlign w:val="center"/>
          </w:tcPr>
          <w:p w:rsidR="00BA3646" w:rsidRDefault="00BA3646">
            <w:pPr>
              <w:spacing w:line="300" w:lineRule="exact"/>
              <w:jc w:val="left"/>
              <w:outlineLvl w:val="0"/>
              <w:rPr>
                <w:rFonts w:ascii="Times New Roman" w:hAnsi="Times New Roman"/>
                <w:szCs w:val="24"/>
              </w:rPr>
            </w:pPr>
          </w:p>
        </w:tc>
        <w:tc>
          <w:tcPr>
            <w:tcW w:w="1276" w:type="dxa"/>
            <w:vMerge/>
            <w:vAlign w:val="center"/>
          </w:tcPr>
          <w:p w:rsidR="00BA3646" w:rsidRDefault="00BA3646">
            <w:pPr>
              <w:spacing w:line="300" w:lineRule="exact"/>
              <w:jc w:val="left"/>
              <w:outlineLvl w:val="0"/>
              <w:rPr>
                <w:rFonts w:ascii="Times New Roman" w:hAnsi="Times New Roman"/>
                <w:szCs w:val="24"/>
              </w:rPr>
            </w:pPr>
          </w:p>
        </w:tc>
        <w:tc>
          <w:tcPr>
            <w:tcW w:w="2902" w:type="dxa"/>
            <w:vMerge/>
            <w:vAlign w:val="center"/>
          </w:tcPr>
          <w:p w:rsidR="00BA3646" w:rsidRDefault="00BA3646">
            <w:pPr>
              <w:spacing w:line="300" w:lineRule="exact"/>
              <w:jc w:val="left"/>
              <w:outlineLvl w:val="0"/>
              <w:rPr>
                <w:rFonts w:ascii="Times New Roman" w:hAnsi="Times New Roman"/>
                <w:szCs w:val="24"/>
              </w:rPr>
            </w:pPr>
          </w:p>
        </w:tc>
      </w:tr>
      <w:tr w:rsidR="00BA3646">
        <w:trPr>
          <w:trHeight w:val="227"/>
          <w:jc w:val="center"/>
        </w:trPr>
        <w:tc>
          <w:tcPr>
            <w:tcW w:w="4443" w:type="dxa"/>
            <w:vAlign w:val="center"/>
          </w:tcPr>
          <w:p w:rsidR="00BA3646" w:rsidRDefault="00B142C1">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134" w:type="dxa"/>
            <w:vAlign w:val="center"/>
          </w:tcPr>
          <w:p w:rsidR="00BA3646" w:rsidRDefault="00BA3646">
            <w:pPr>
              <w:spacing w:line="300" w:lineRule="exact"/>
              <w:jc w:val="center"/>
              <w:rPr>
                <w:rFonts w:ascii="方正书宋_GBK" w:eastAsia="方正书宋_GBK"/>
                <w:b/>
              </w:rPr>
            </w:pPr>
          </w:p>
        </w:tc>
        <w:tc>
          <w:tcPr>
            <w:tcW w:w="1276" w:type="dxa"/>
            <w:vAlign w:val="center"/>
          </w:tcPr>
          <w:p w:rsidR="00BA3646" w:rsidRDefault="00BA3646">
            <w:pPr>
              <w:spacing w:line="300" w:lineRule="exact"/>
              <w:jc w:val="center"/>
              <w:rPr>
                <w:rFonts w:ascii="方正书宋_GBK" w:eastAsia="方正书宋_GBK"/>
                <w:b/>
              </w:rPr>
            </w:pPr>
          </w:p>
        </w:tc>
        <w:tc>
          <w:tcPr>
            <w:tcW w:w="2902" w:type="dxa"/>
            <w:vAlign w:val="center"/>
          </w:tcPr>
          <w:p w:rsidR="00BA3646" w:rsidRDefault="00BA3646">
            <w:pPr>
              <w:spacing w:line="300" w:lineRule="exact"/>
              <w:jc w:val="center"/>
              <w:rPr>
                <w:rFonts w:ascii="方正书宋_GBK" w:eastAsia="方正书宋_GBK"/>
                <w:b/>
              </w:rPr>
            </w:pPr>
          </w:p>
        </w:tc>
      </w:tr>
      <w:tr w:rsidR="00BA3646">
        <w:trPr>
          <w:trHeight w:val="227"/>
          <w:jc w:val="center"/>
        </w:trPr>
        <w:tc>
          <w:tcPr>
            <w:tcW w:w="4443" w:type="dxa"/>
            <w:vAlign w:val="center"/>
          </w:tcPr>
          <w:p w:rsidR="00BA3646" w:rsidRDefault="00B142C1">
            <w:pPr>
              <w:jc w:val="left"/>
              <w:rPr>
                <w:rFonts w:ascii="仿宋" w:eastAsia="仿宋" w:hAnsi="仿宋"/>
              </w:rPr>
            </w:pPr>
            <w:r>
              <w:rPr>
                <w:rFonts w:ascii="仿宋" w:eastAsia="仿宋" w:hAnsi="仿宋" w:hint="eastAsia"/>
              </w:rPr>
              <w:t>威县卫生和计划生育局</w:t>
            </w:r>
          </w:p>
        </w:tc>
        <w:tc>
          <w:tcPr>
            <w:tcW w:w="1134" w:type="dxa"/>
            <w:vAlign w:val="center"/>
          </w:tcPr>
          <w:p w:rsidR="00BA3646" w:rsidRDefault="00B142C1">
            <w:pPr>
              <w:jc w:val="left"/>
              <w:rPr>
                <w:rFonts w:ascii="仿宋" w:eastAsia="仿宋" w:hAnsi="仿宋"/>
              </w:rPr>
            </w:pPr>
            <w:r>
              <w:rPr>
                <w:rFonts w:ascii="仿宋" w:eastAsia="仿宋" w:hAnsi="仿宋" w:hint="eastAsia"/>
              </w:rPr>
              <w:t>行政</w:t>
            </w:r>
          </w:p>
        </w:tc>
        <w:tc>
          <w:tcPr>
            <w:tcW w:w="1276" w:type="dxa"/>
            <w:vAlign w:val="center"/>
          </w:tcPr>
          <w:p w:rsidR="00BA3646" w:rsidRDefault="00BA3646">
            <w:pPr>
              <w:jc w:val="left"/>
              <w:rPr>
                <w:rFonts w:ascii="仿宋" w:eastAsia="仿宋" w:hAnsi="仿宋"/>
              </w:rPr>
            </w:pPr>
          </w:p>
        </w:tc>
        <w:tc>
          <w:tcPr>
            <w:tcW w:w="2902" w:type="dxa"/>
            <w:vAlign w:val="center"/>
          </w:tcPr>
          <w:p w:rsidR="00BA3646" w:rsidRDefault="00B142C1">
            <w:pPr>
              <w:jc w:val="left"/>
              <w:rPr>
                <w:rFonts w:ascii="仿宋" w:eastAsia="仿宋" w:hAnsi="仿宋"/>
              </w:rPr>
            </w:pPr>
            <w:r>
              <w:rPr>
                <w:rFonts w:ascii="仿宋" w:eastAsia="仿宋" w:hAnsi="仿宋" w:hint="eastAsia"/>
              </w:rPr>
              <w:t>财政拨款</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威县人民医院</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威县中医院</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威县卫生监督所</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威县疾病预防控制中心</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威县卫校</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w:t>
            </w:r>
            <w:proofErr w:type="gramStart"/>
            <w:r>
              <w:rPr>
                <w:rFonts w:ascii="仿宋" w:eastAsia="仿宋" w:hAnsi="仿宋" w:hint="eastAsia"/>
                <w:szCs w:val="21"/>
              </w:rPr>
              <w:t>侯贯中心</w:t>
            </w:r>
            <w:proofErr w:type="gramEnd"/>
            <w:r>
              <w:rPr>
                <w:rFonts w:ascii="仿宋" w:eastAsia="仿宋" w:hAnsi="仿宋" w:hint="eastAsia"/>
                <w:szCs w:val="21"/>
              </w:rPr>
              <w:t>卫生院</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威县七级中心卫生院</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w:t>
            </w:r>
            <w:proofErr w:type="gramStart"/>
            <w:r>
              <w:rPr>
                <w:rFonts w:ascii="仿宋" w:eastAsia="仿宋" w:hAnsi="仿宋" w:hint="eastAsia"/>
                <w:szCs w:val="21"/>
              </w:rPr>
              <w:t>梨元屯中心</w:t>
            </w:r>
            <w:proofErr w:type="gramEnd"/>
            <w:r>
              <w:rPr>
                <w:rFonts w:ascii="仿宋" w:eastAsia="仿宋" w:hAnsi="仿宋" w:hint="eastAsia"/>
                <w:szCs w:val="21"/>
              </w:rPr>
              <w:t>卫生院</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r w:rsidR="00BA3646">
        <w:trPr>
          <w:trHeight w:val="227"/>
          <w:jc w:val="center"/>
        </w:trPr>
        <w:tc>
          <w:tcPr>
            <w:tcW w:w="4443"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威县章台卫生院</w:t>
            </w:r>
          </w:p>
        </w:tc>
        <w:tc>
          <w:tcPr>
            <w:tcW w:w="1134"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w:t>
            </w:r>
          </w:p>
        </w:tc>
        <w:tc>
          <w:tcPr>
            <w:tcW w:w="1276" w:type="dxa"/>
          </w:tcPr>
          <w:p w:rsidR="00BA3646" w:rsidRDefault="00BA3646">
            <w:pPr>
              <w:spacing w:line="300" w:lineRule="exact"/>
              <w:outlineLvl w:val="0"/>
              <w:rPr>
                <w:rFonts w:ascii="仿宋" w:eastAsia="仿宋" w:hAnsi="仿宋"/>
                <w:szCs w:val="21"/>
              </w:rPr>
            </w:pPr>
          </w:p>
        </w:tc>
        <w:tc>
          <w:tcPr>
            <w:tcW w:w="2902" w:type="dxa"/>
          </w:tcPr>
          <w:p w:rsidR="00BA3646" w:rsidRDefault="00B142C1">
            <w:pPr>
              <w:spacing w:line="300" w:lineRule="exact"/>
              <w:outlineLvl w:val="0"/>
              <w:rPr>
                <w:rFonts w:ascii="仿宋" w:eastAsia="仿宋" w:hAnsi="仿宋"/>
                <w:szCs w:val="21"/>
              </w:rPr>
            </w:pPr>
            <w:r>
              <w:rPr>
                <w:rFonts w:ascii="仿宋" w:eastAsia="仿宋" w:hAnsi="仿宋" w:hint="eastAsia"/>
                <w:szCs w:val="21"/>
              </w:rPr>
              <w:t>事业费限额</w:t>
            </w:r>
          </w:p>
        </w:tc>
      </w:tr>
    </w:tbl>
    <w:p w:rsidR="00BA3646" w:rsidRDefault="00BA3646">
      <w:pPr>
        <w:ind w:firstLine="640"/>
        <w:rPr>
          <w:rFonts w:ascii="黑体" w:eastAsia="黑体" w:hAnsi="黑体"/>
          <w:sz w:val="32"/>
          <w:szCs w:val="32"/>
        </w:rPr>
      </w:pPr>
    </w:p>
    <w:p w:rsidR="00BA3646" w:rsidRDefault="00BA3646">
      <w:pPr>
        <w:jc w:val="center"/>
        <w:outlineLvl w:val="0"/>
        <w:rPr>
          <w:rFonts w:ascii="Times New Roman" w:eastAsia="方正小标宋_GBK" w:hAnsi="Times New Roman" w:cs="Times New Roman"/>
          <w:sz w:val="32"/>
          <w:szCs w:val="24"/>
        </w:rPr>
      </w:pPr>
    </w:p>
    <w:p w:rsidR="00BA3646" w:rsidRDefault="00B142C1">
      <w:pPr>
        <w:ind w:firstLine="640"/>
        <w:rPr>
          <w:rFonts w:ascii="黑体" w:eastAsia="黑体" w:hAnsi="黑体" w:cs="Times New Roman"/>
          <w:sz w:val="32"/>
          <w:szCs w:val="32"/>
        </w:rPr>
      </w:pPr>
      <w:r>
        <w:rPr>
          <w:rFonts w:ascii="黑体" w:eastAsia="黑体" w:hAnsi="黑体" w:cs="Times New Roman" w:hint="eastAsia"/>
          <w:sz w:val="32"/>
          <w:szCs w:val="32"/>
        </w:rPr>
        <w:lastRenderedPageBreak/>
        <w:t>二、部门预算安排的总体情况</w:t>
      </w:r>
    </w:p>
    <w:p w:rsidR="00BA3646" w:rsidRDefault="00B142C1">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shd w:val="clear" w:color="auto" w:fill="FFFFFF" w:themeFill="background1"/>
        </w:rPr>
        <w:t>威县卫生和计划生育局及所属事业单位</w:t>
      </w:r>
      <w:r>
        <w:rPr>
          <w:rFonts w:ascii="Times New Roman" w:eastAsia="方正仿宋_GBK" w:hAnsi="Times New Roman" w:cs="Times New Roman"/>
          <w:sz w:val="32"/>
          <w:szCs w:val="32"/>
        </w:rPr>
        <w:t>的收支包含在部门预算中。</w:t>
      </w:r>
    </w:p>
    <w:p w:rsidR="00BA3646" w:rsidRDefault="00B142C1">
      <w:pPr>
        <w:shd w:val="clear" w:color="auto" w:fill="FFFFFF" w:themeFill="background1"/>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BA3646" w:rsidRDefault="00B142C1">
      <w:pPr>
        <w:shd w:val="clear" w:color="auto" w:fill="FFFFFF" w:themeFill="background1"/>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w:t>
      </w:r>
      <w:r>
        <w:rPr>
          <w:rFonts w:ascii="Times New Roman" w:eastAsia="方正仿宋_GBK" w:hAnsi="Times New Roman" w:cs="Times New Roman"/>
          <w:sz w:val="32"/>
          <w:szCs w:val="32"/>
        </w:rPr>
        <w:t>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7583.65</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7583.65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p>
    <w:p w:rsidR="00BA3646" w:rsidRDefault="00B142C1">
      <w:pPr>
        <w:shd w:val="clear" w:color="auto" w:fill="FFFFFF" w:themeFill="background1"/>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BA3646" w:rsidRDefault="00B142C1">
      <w:pPr>
        <w:ind w:firstLine="640"/>
        <w:rPr>
          <w:rFonts w:ascii="Times New Roman" w:eastAsia="方正仿宋_GBK" w:hAnsi="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威县卫生和计划生育局</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7583.65</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1174.08</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1127.26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46.82</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6409.57</w:t>
      </w:r>
      <w:r>
        <w:rPr>
          <w:rFonts w:ascii="Times New Roman" w:eastAsia="方正仿宋_GBK" w:hAnsi="Times New Roman" w:cs="Times New Roman"/>
          <w:sz w:val="32"/>
          <w:szCs w:val="32"/>
        </w:rPr>
        <w:t>万元，主要为</w:t>
      </w:r>
      <w:r>
        <w:rPr>
          <w:rFonts w:ascii="Times New Roman" w:eastAsia="方正仿宋_GBK" w:hAnsi="Times New Roman" w:hint="eastAsia"/>
          <w:sz w:val="32"/>
          <w:szCs w:val="32"/>
        </w:rPr>
        <w:t>包括本级支出和对下补助支出，主要为重大公共卫生、基本公共卫生服务、基层医疗卫生机构药物制度、原“赤脚医生”补助、计划生育资金、</w:t>
      </w:r>
      <w:proofErr w:type="gramStart"/>
      <w:r>
        <w:rPr>
          <w:rFonts w:ascii="Times New Roman" w:eastAsia="方正仿宋_GBK" w:hAnsi="Times New Roman" w:hint="eastAsia"/>
          <w:sz w:val="32"/>
          <w:szCs w:val="32"/>
        </w:rPr>
        <w:t>奖扶特扶等</w:t>
      </w:r>
      <w:proofErr w:type="gramEnd"/>
      <w:r>
        <w:rPr>
          <w:rFonts w:ascii="Times New Roman" w:eastAsia="方正仿宋_GBK" w:hAnsi="Times New Roman" w:hint="eastAsia"/>
          <w:sz w:val="32"/>
          <w:szCs w:val="32"/>
        </w:rPr>
        <w:t>。</w:t>
      </w:r>
    </w:p>
    <w:p w:rsidR="00BA3646" w:rsidRDefault="00B142C1">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BA3646" w:rsidRDefault="00B142C1">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lastRenderedPageBreak/>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7583.65</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802.05</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27.33</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人员经费支出；项目支出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829.38</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基本公共卫生服务资金及赤脚医生养老补助资金相对增加。</w:t>
      </w:r>
    </w:p>
    <w:p w:rsidR="00BA3646" w:rsidRDefault="00B142C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w:t>
      </w:r>
      <w:r>
        <w:rPr>
          <w:rFonts w:ascii="黑体" w:eastAsia="黑体" w:hAnsi="黑体" w:cs="Times New Roman" w:hint="eastAsia"/>
          <w:sz w:val="32"/>
          <w:szCs w:val="32"/>
        </w:rPr>
        <w:t>情况</w:t>
      </w:r>
    </w:p>
    <w:p w:rsidR="00BA3646" w:rsidRDefault="00B142C1">
      <w:pPr>
        <w:autoSpaceDE w:val="0"/>
        <w:autoSpaceDN w:val="0"/>
        <w:adjustRightInd w:val="0"/>
        <w:ind w:left="198" w:firstLineChars="200" w:firstLine="640"/>
        <w:jc w:val="left"/>
        <w:rPr>
          <w:rFonts w:ascii="Times New Roman" w:eastAsia="方正仿宋_GBK" w:hAnsi="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46.82</w:t>
      </w:r>
      <w:r>
        <w:rPr>
          <w:rFonts w:ascii="Times New Roman" w:eastAsia="方正仿宋_GBK" w:hAnsi="Times New Roman" w:cs="Times New Roman" w:hint="eastAsia"/>
          <w:sz w:val="32"/>
          <w:szCs w:val="32"/>
        </w:rPr>
        <w:t>万元，主要用于</w:t>
      </w:r>
      <w:r>
        <w:rPr>
          <w:rFonts w:ascii="Times New Roman" w:eastAsia="方正仿宋_GBK" w:hAnsi="Times New Roman" w:hint="eastAsia"/>
          <w:sz w:val="32"/>
          <w:szCs w:val="32"/>
        </w:rPr>
        <w:t>日常维修、办公用房水电费、办公用房取暖费、等日常运行支出。</w:t>
      </w:r>
    </w:p>
    <w:p w:rsidR="00BA3646" w:rsidRDefault="00B142C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BA3646" w:rsidRDefault="00B142C1">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2.5</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0.5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相比减少</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减少的主要原因是：减少公务用车，相应减少公务用车运维费</w:t>
      </w:r>
      <w:r>
        <w:rPr>
          <w:rFonts w:ascii="Times New Roman" w:eastAsia="方正仿宋_GBK" w:hAnsi="Times New Roman" w:cs="Times New Roman"/>
          <w:sz w:val="32"/>
          <w:szCs w:val="32"/>
        </w:rPr>
        <w:t>。</w:t>
      </w:r>
    </w:p>
    <w:p w:rsidR="00BA3646" w:rsidRDefault="00BA3646">
      <w:pPr>
        <w:ind w:firstLine="640"/>
        <w:rPr>
          <w:rFonts w:ascii="黑体" w:eastAsia="黑体" w:hAnsi="黑体" w:cs="Times New Roman"/>
          <w:sz w:val="32"/>
          <w:szCs w:val="32"/>
        </w:rPr>
      </w:pPr>
    </w:p>
    <w:p w:rsidR="00BA3646" w:rsidRDefault="00BA3646">
      <w:pPr>
        <w:ind w:firstLine="640"/>
        <w:rPr>
          <w:rFonts w:ascii="黑体" w:eastAsia="黑体" w:hAnsi="黑体" w:cs="Times New Roman"/>
          <w:sz w:val="32"/>
          <w:szCs w:val="32"/>
        </w:rPr>
      </w:pPr>
    </w:p>
    <w:p w:rsidR="00BA3646" w:rsidRDefault="00B142C1">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BA3646" w:rsidRDefault="00B142C1">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lastRenderedPageBreak/>
        <w:t>总体绩效目标：</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（一）贯彻执行卫生和计划生育、中医药事业发展的法律、法规以及标准、规章。负责协调推进医药卫生体制改革和医疗保障</w:t>
      </w:r>
      <w:r>
        <w:rPr>
          <w:rFonts w:ascii="Times New Roman" w:eastAsia="新宋体" w:hAnsi="Times New Roman"/>
          <w:sz w:val="32"/>
          <w:szCs w:val="32"/>
        </w:rPr>
        <w:t xml:space="preserve">, </w:t>
      </w:r>
      <w:r>
        <w:rPr>
          <w:rFonts w:ascii="Times New Roman" w:eastAsia="新宋体" w:hAnsi="Times New Roman" w:hint="eastAsia"/>
          <w:sz w:val="32"/>
          <w:szCs w:val="32"/>
        </w:rPr>
        <w:t>会同有关部门制定并实施全县卫生和计划生育事业发展规划和政策措施，统筹规划与协调卫生和计划生育服务资源配置，指导区域卫生和计划生育规划的编制和实施。</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二）负责组织实施疾病预防控制规划、计划免疫规划和严重危害人民健康的公共卫生问题的干预措施，协调有关部门对重大疾病实施综合防控与干预，制定卫生应急和紧急医学救援预案、突发公共卫生事件监测和风险评估计划，组织和指导实施突发公共卫生事件预防控制与医疗应急</w:t>
      </w:r>
      <w:r>
        <w:rPr>
          <w:rFonts w:ascii="Times New Roman" w:eastAsia="新宋体" w:hAnsi="Times New Roman" w:hint="eastAsia"/>
          <w:sz w:val="32"/>
          <w:szCs w:val="32"/>
        </w:rPr>
        <w:t>处置，向上级部门报告法定传染病疫情信息、突发公共卫生事件应急处置信息。</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（三）负责职责范围内的职业卫生、放射卫生、环境卫生、学校卫生、公共场所和饮用水的卫生安全监督管理，组织开展相关监测、调查、评估和监督，负责传染病防治监督。</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四）负责组织拟订并实施全县基层卫生和计划生育服务、妇幼卫生发展规划和政策措施，指导基层卫生和计划生育、妇幼卫生服务体系建设，推进基本公共卫生和计划生育服务均等化，完善基层运行新机制和乡村医生管理制度。负责新型农村合作医疗的综合管理。</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lastRenderedPageBreak/>
        <w:t>（五）负责医疗机构医疗服务的全行业监督管理。依法</w:t>
      </w:r>
      <w:r>
        <w:rPr>
          <w:rFonts w:ascii="Times New Roman" w:eastAsia="新宋体" w:hAnsi="Times New Roman" w:hint="eastAsia"/>
          <w:sz w:val="32"/>
          <w:szCs w:val="32"/>
        </w:rPr>
        <w:t>监督执行医疗机构服务、技术、医疗质量和我县</w:t>
      </w:r>
      <w:proofErr w:type="gramStart"/>
      <w:r>
        <w:rPr>
          <w:rFonts w:ascii="Times New Roman" w:eastAsia="新宋体" w:hAnsi="Times New Roman" w:hint="eastAsia"/>
          <w:sz w:val="32"/>
          <w:szCs w:val="32"/>
        </w:rPr>
        <w:t>储血点采供血</w:t>
      </w:r>
      <w:proofErr w:type="gramEnd"/>
      <w:r>
        <w:rPr>
          <w:rFonts w:ascii="Times New Roman" w:eastAsia="新宋体" w:hAnsi="Times New Roman" w:hint="eastAsia"/>
          <w:sz w:val="32"/>
          <w:szCs w:val="32"/>
        </w:rPr>
        <w:t>及临床用血质量的政策、规范、标准；建立医疗机构医疗服务评价和监督体系。负责医疗纠纷的受理和日常接待工作，医疗纠纷材料调查、取证、调节工作；提请上级医疗鉴定委员会专家对医疗纠纷的鉴定工作，向医疗鉴定委员会专家组提供医疗纠纷的综合文件，调查材料，组织实施申请医疗纠纷的尸体解剖工作，将鉴定结果及时反馈，对重新鉴定事故或纠纷提供有效的资料；对申请法院审理的医疗纠纷负责相关资料的提供，或受法律委托提请医疗鉴定</w:t>
      </w:r>
      <w:r>
        <w:rPr>
          <w:rFonts w:ascii="Times New Roman" w:eastAsia="新宋体" w:hAnsi="Times New Roman"/>
          <w:sz w:val="32"/>
          <w:szCs w:val="32"/>
        </w:rPr>
        <w:t>.</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（六）负责组织推进公立医院改革，建立公益性为导向的绩</w:t>
      </w:r>
      <w:r>
        <w:rPr>
          <w:rFonts w:ascii="Times New Roman" w:eastAsia="新宋体" w:hAnsi="Times New Roman" w:hint="eastAsia"/>
          <w:sz w:val="32"/>
          <w:szCs w:val="32"/>
        </w:rPr>
        <w:t>效考核和评价运行机制，建设和谐医患关系，提出医疗服务和药品价格政策的建议。</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（七）负责组织实施国家药物政策，执行国家基本药物制度和国家基本药物目录，执行国家基本药物采购、配送、使用的管理制度。</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八）负责完善生育政策，组织实施促进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w:t>
      </w:r>
      <w:r>
        <w:rPr>
          <w:rFonts w:ascii="Times New Roman" w:eastAsia="新宋体" w:hAnsi="Times New Roman" w:hint="eastAsia"/>
          <w:sz w:val="32"/>
          <w:szCs w:val="32"/>
        </w:rPr>
        <w:lastRenderedPageBreak/>
        <w:t>生缺陷人口数量。</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（九）组织建立计划生育利益导向、计划生育</w:t>
      </w:r>
      <w:r>
        <w:rPr>
          <w:rFonts w:ascii="Times New Roman" w:eastAsia="新宋体" w:hAnsi="Times New Roman" w:hint="eastAsia"/>
          <w:sz w:val="32"/>
          <w:szCs w:val="32"/>
        </w:rPr>
        <w:t>特殊困难家庭扶助和促进计划生育家庭发展等机制。负责协调推进有关部门、群众团体履行计划生育工作相关职责，建立与经济社会发展政策的衔接机制，提出稳定低生育水平政策措施。</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（十）制定流动人口计划生育服务管理制度并组织落实，推动建立流动人口卫生和计划生育信息共享和公共服务工作机制。</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（十一）组织拟订全县卫生和计划生育人才发展规划，指导卫生和计划生育人才队伍建设，加强全科医生等急需紧缺专业人才培养和培训。</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r>
        <w:rPr>
          <w:rFonts w:ascii="Times New Roman" w:eastAsia="新宋体" w:hAnsi="Times New Roman" w:hint="eastAsia"/>
          <w:sz w:val="32"/>
          <w:szCs w:val="32"/>
        </w:rPr>
        <w:t>（十二）组织拟订全县卫生和计划生育科技发展规划，组织实施县重点卫生和计划生育相关科研攻关项目。</w:t>
      </w:r>
    </w:p>
    <w:p w:rsidR="00BA3646"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hint="eastAsia"/>
          <w:sz w:val="32"/>
          <w:szCs w:val="32"/>
        </w:rPr>
      </w:pPr>
      <w:r>
        <w:rPr>
          <w:rFonts w:ascii="Times New Roman" w:eastAsia="新宋体" w:hAnsi="Times New Roman" w:hint="eastAsia"/>
          <w:sz w:val="32"/>
          <w:szCs w:val="32"/>
        </w:rPr>
        <w:t>（十三）指导乡、</w:t>
      </w:r>
      <w:r>
        <w:rPr>
          <w:rFonts w:ascii="Times New Roman" w:eastAsia="新宋体" w:hAnsi="Times New Roman" w:hint="eastAsia"/>
          <w:sz w:val="32"/>
          <w:szCs w:val="32"/>
        </w:rPr>
        <w:t>镇卫生和计划生育工作，完善综合监督执法体系，规范执法行为，监督检查法律法规和政策措施的落实，组织查处重大违法行为。监督落实计划生育一票否决制度。</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楷体" w:eastAsia="楷体" w:hAnsi="楷体" w:cs="楷体" w:hint="eastAsia"/>
          <w:b/>
          <w:bCs/>
          <w:sz w:val="32"/>
          <w:szCs w:val="32"/>
        </w:rPr>
      </w:pPr>
      <w:r>
        <w:rPr>
          <w:rFonts w:ascii="楷体" w:eastAsia="楷体" w:hAnsi="楷体" w:cs="楷体" w:hint="eastAsia"/>
          <w:b/>
          <w:bCs/>
          <w:sz w:val="32"/>
          <w:szCs w:val="32"/>
        </w:rPr>
        <w:t>职责分类绩效目标：</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lastRenderedPageBreak/>
        <w:t xml:space="preserve"> 1</w:t>
      </w:r>
      <w:r>
        <w:rPr>
          <w:rFonts w:ascii="Times New Roman" w:eastAsia="新宋体" w:hAnsi="Times New Roman" w:hint="eastAsia"/>
          <w:sz w:val="32"/>
          <w:szCs w:val="32"/>
        </w:rPr>
        <w:t>、公共卫生方面。推进公共卫生服务均等化，对城乡居民健康实行干预，减少危害健康的因素，有效预防传染病及慢性病。控制各类重大疾病的发生与传播，有效应对我县突发公共卫生事件，保障妇女儿童身心健康，提高我县居民健康水平。</w:t>
      </w:r>
    </w:p>
    <w:p w:rsidR="00B142C1" w:rsidRDefault="00B142C1" w:rsidP="00B142C1">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t xml:space="preserve"> </w:t>
      </w:r>
      <w:r>
        <w:rPr>
          <w:rFonts w:ascii="Times New Roman" w:eastAsia="新宋体" w:hAnsi="Times New Roman" w:hint="eastAsia"/>
          <w:sz w:val="32"/>
          <w:szCs w:val="32"/>
        </w:rPr>
        <w:t>监督执法方面。监督、指导、规范卫生计生行政执法工作，负责传染病防治监督工作。加强饮用水的安全规范管理及医疗卫生、公共场所工作的规范化管理。</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t>3</w:t>
      </w:r>
      <w:r>
        <w:rPr>
          <w:rFonts w:ascii="Times New Roman" w:eastAsia="新宋体" w:hAnsi="Times New Roman" w:hint="eastAsia"/>
          <w:sz w:val="32"/>
          <w:szCs w:val="32"/>
        </w:rPr>
        <w:t>、医疗服务方面。通过医疗救治，机构改革，保障卫生计生事业顺利发展，保障卫生计生法律法规的落实，提升卫生计生工作规范化和法制化水平</w:t>
      </w:r>
      <w:r>
        <w:rPr>
          <w:rFonts w:ascii="Times New Roman" w:eastAsia="新宋体" w:hAnsi="Times New Roman" w:hint="eastAsia"/>
          <w:sz w:val="32"/>
          <w:szCs w:val="32"/>
        </w:rPr>
        <w:t xml:space="preserve"> </w:t>
      </w:r>
      <w:r>
        <w:rPr>
          <w:rFonts w:ascii="Times New Roman" w:eastAsia="新宋体" w:hAnsi="Times New Roman" w:hint="eastAsia"/>
          <w:sz w:val="32"/>
          <w:szCs w:val="32"/>
        </w:rPr>
        <w:t>，提高全县医疗卫生计生人才队伍服务水平和医疗卫生机构科研能力。深化医疗卫生体制改革，协调推进医疗服务、公共卫生、药品供应和监管体制综合改革，巩固完善基本药物制度和基层运行新机制。</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jc w:val="left"/>
        <w:rPr>
          <w:rFonts w:ascii="Times New Roman" w:eastAsia="新宋体" w:hAnsi="Times New Roman" w:hint="eastAsia"/>
          <w:sz w:val="32"/>
          <w:szCs w:val="32"/>
        </w:rPr>
      </w:pPr>
      <w:r>
        <w:rPr>
          <w:rFonts w:ascii="Times New Roman" w:eastAsia="新宋体" w:hAnsi="Times New Roman" w:hint="eastAsia"/>
          <w:sz w:val="32"/>
          <w:szCs w:val="32"/>
        </w:rPr>
        <w:t xml:space="preserve">    4</w:t>
      </w:r>
      <w:r>
        <w:rPr>
          <w:rFonts w:ascii="Times New Roman" w:eastAsia="新宋体" w:hAnsi="Times New Roman" w:hint="eastAsia"/>
          <w:sz w:val="32"/>
          <w:szCs w:val="32"/>
        </w:rPr>
        <w:t>、中医管理方面。加强中医药能力建设，培训中医药人才，普及中医药知识，推广中医药文化，提高中医药人员服务水平，有效发挥中医药在医疗保健领域的特色优势。</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t>5</w:t>
      </w:r>
      <w:r>
        <w:rPr>
          <w:rFonts w:ascii="Times New Roman" w:eastAsia="新宋体" w:hAnsi="Times New Roman" w:hint="eastAsia"/>
          <w:sz w:val="32"/>
          <w:szCs w:val="32"/>
        </w:rPr>
        <w:t>、计划生育方面。建立利益导向机制，开展出生人口性别比治理以及流动人口计划生育管理等各项工作。贯彻落实《关于实施全面两孩政策改革完善计划生育服务管理的决定》，落实全省全面两</w:t>
      </w:r>
      <w:r>
        <w:rPr>
          <w:rFonts w:ascii="Times New Roman" w:eastAsia="新宋体" w:hAnsi="Times New Roman" w:hint="eastAsia"/>
          <w:sz w:val="32"/>
          <w:szCs w:val="32"/>
        </w:rPr>
        <w:lastRenderedPageBreak/>
        <w:t>孩政策和完善计划生育服务实施意见，确保全面两孩政策平稳落地，做好全面两孩政策实施后的政策衔接。完善计划生育家庭奖励扶助和特别扶助政策，全力做好独生子女死亡伤残家庭扶助工作，建立特殊人员信息档案。</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t>6</w:t>
      </w:r>
      <w:r>
        <w:rPr>
          <w:rFonts w:ascii="Times New Roman" w:eastAsia="新宋体" w:hAnsi="Times New Roman" w:hint="eastAsia"/>
          <w:sz w:val="32"/>
          <w:szCs w:val="32"/>
        </w:rPr>
        <w:t>、卫生计生综合方面。拟定卫生和计生改革与发展目标，规划和政策措施等相关内容。保障卫生计生法律法规的落实，提升工作规范化和法制化水平。加大卫生计生重大违法案件的查处。</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t>7</w:t>
      </w:r>
      <w:r>
        <w:rPr>
          <w:rFonts w:ascii="Times New Roman" w:eastAsia="新宋体" w:hAnsi="Times New Roman" w:hint="eastAsia"/>
          <w:sz w:val="32"/>
          <w:szCs w:val="32"/>
        </w:rPr>
        <w:t>、卫生计生政务管理方面。提升全县卫生计生人才队伍服务水平和医疗卫生机构科研能力。培养卫生计生高素质职业化的干部队伍，为农村医疗机构免费培养定向医学人员。</w:t>
      </w:r>
    </w:p>
    <w:p w:rsidR="00B142C1" w:rsidRDefault="00B142C1" w:rsidP="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40"/>
        <w:jc w:val="left"/>
        <w:rPr>
          <w:rFonts w:ascii="Times New Roman" w:eastAsia="新宋体" w:hAnsi="Times New Roman" w:hint="eastAsia"/>
          <w:sz w:val="32"/>
          <w:szCs w:val="32"/>
        </w:rPr>
      </w:pPr>
      <w:r>
        <w:rPr>
          <w:rFonts w:ascii="Times New Roman" w:eastAsia="新宋体" w:hAnsi="Times New Roman" w:hint="eastAsia"/>
          <w:sz w:val="32"/>
          <w:szCs w:val="32"/>
        </w:rPr>
        <w:t>8</w:t>
      </w:r>
      <w:r>
        <w:rPr>
          <w:rFonts w:ascii="Times New Roman" w:eastAsia="新宋体" w:hAnsi="Times New Roman" w:hint="eastAsia"/>
          <w:sz w:val="32"/>
          <w:szCs w:val="32"/>
        </w:rPr>
        <w:t>、红十字会方面。建立健全应急救援体系，建立应急救护长效机制。做到全县患病家庭能免得到及时的救助，拓展捐献造血干细胞志愿服务工作的领域。</w:t>
      </w:r>
    </w:p>
    <w:p w:rsidR="00B142C1" w:rsidRPr="00B142C1" w:rsidRDefault="00B142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auto"/>
        <w:ind w:firstLine="630"/>
        <w:jc w:val="left"/>
        <w:rPr>
          <w:rFonts w:ascii="Times New Roman" w:eastAsia="新宋体" w:hAnsi="Times New Roman"/>
          <w:sz w:val="32"/>
          <w:szCs w:val="32"/>
        </w:rPr>
      </w:pPr>
      <w:bookmarkStart w:id="1" w:name="_GoBack"/>
      <w:bookmarkEnd w:id="1"/>
    </w:p>
    <w:p w:rsidR="00BA3646" w:rsidRDefault="00B142C1">
      <w:pPr>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BA3646" w:rsidRDefault="00B142C1">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w:t>
      </w:r>
      <w:r>
        <w:rPr>
          <w:rFonts w:ascii="方正小标宋_GBK" w:eastAsia="方正小标宋_GBK" w:hAnsi="Times New Roman" w:cs="Times New Roman" w:hint="eastAsia"/>
          <w:sz w:val="32"/>
          <w:szCs w:val="24"/>
        </w:rPr>
        <w:t>-</w:t>
      </w:r>
      <w:r>
        <w:rPr>
          <w:rFonts w:ascii="方正小标宋_GBK" w:eastAsia="方正小标宋_GBK" w:hAnsi="Times New Roman" w:cs="Times New Roman" w:hint="eastAsia"/>
          <w:sz w:val="32"/>
          <w:szCs w:val="24"/>
        </w:rPr>
        <w:t>工作活动绩效目标</w:t>
      </w:r>
      <w:bookmarkEnd w:id="0"/>
    </w:p>
    <w:tbl>
      <w:tblPr>
        <w:tblpPr w:leftFromText="180" w:rightFromText="180" w:vertAnchor="text" w:horzAnchor="page" w:tblpX="1724" w:tblpY="674"/>
        <w:tblOverlap w:val="never"/>
        <w:tblW w:w="14055" w:type="dxa"/>
        <w:tblLayout w:type="fixed"/>
        <w:tblCellMar>
          <w:top w:w="15" w:type="dxa"/>
          <w:left w:w="15" w:type="dxa"/>
          <w:bottom w:w="15" w:type="dxa"/>
          <w:right w:w="15" w:type="dxa"/>
        </w:tblCellMar>
        <w:tblLook w:val="04A0" w:firstRow="1" w:lastRow="0" w:firstColumn="1" w:lastColumn="0" w:noHBand="0" w:noVBand="1"/>
      </w:tblPr>
      <w:tblGrid>
        <w:gridCol w:w="2624"/>
        <w:gridCol w:w="1242"/>
        <w:gridCol w:w="1078"/>
        <w:gridCol w:w="1077"/>
        <w:gridCol w:w="1078"/>
        <w:gridCol w:w="1077"/>
        <w:gridCol w:w="1077"/>
        <w:gridCol w:w="1078"/>
        <w:gridCol w:w="3724"/>
      </w:tblGrid>
      <w:tr w:rsidR="00BA3646">
        <w:trPr>
          <w:trHeight w:val="819"/>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lastRenderedPageBreak/>
              <w:t>职责活动</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年度预算数</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内容描述</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绩效目标</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绩效指标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优</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良</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中</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b/>
                <w:color w:val="000000"/>
                <w:sz w:val="30"/>
                <w:szCs w:val="30"/>
              </w:rPr>
            </w:pPr>
            <w:r>
              <w:rPr>
                <w:rFonts w:ascii="Times New Roman" w:eastAsia="宋体" w:hAnsi="Times New Roman" w:cs="Times New Roman"/>
                <w:b/>
                <w:color w:val="000000"/>
                <w:kern w:val="0"/>
                <w:sz w:val="30"/>
                <w:szCs w:val="30"/>
                <w:lang w:bidi="ar"/>
              </w:rPr>
              <w:t>差</w:t>
            </w:r>
          </w:p>
        </w:tc>
      </w:tr>
      <w:tr w:rsidR="00BA3646">
        <w:trPr>
          <w:trHeight w:val="5664"/>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公共卫生服务</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hint="eastAsia"/>
                <w:color w:val="000000"/>
                <w:kern w:val="0"/>
                <w:sz w:val="28"/>
                <w:szCs w:val="30"/>
                <w:lang w:bidi="ar"/>
              </w:rPr>
              <w:t>3766.67</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公共卫生是对重大疾病的预防、监控和医治，对突发公共事件的卫生应急</w:t>
            </w:r>
            <w:r>
              <w:rPr>
                <w:rFonts w:ascii="Times New Roman" w:eastAsia="宋体" w:hAnsi="Times New Roman" w:cs="Times New Roman"/>
                <w:color w:val="000000"/>
                <w:kern w:val="0"/>
                <w:sz w:val="28"/>
                <w:szCs w:val="30"/>
                <w:lang w:bidi="ar"/>
              </w:rPr>
              <w:lastRenderedPageBreak/>
              <w:t>处置，公共环境卫生的监督管制。</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对城乡居民健康实行干预，减少危害健康的因素，有效预防传染病及慢性</w:t>
            </w:r>
            <w:r>
              <w:rPr>
                <w:rFonts w:ascii="Times New Roman" w:eastAsia="宋体" w:hAnsi="Times New Roman" w:cs="Times New Roman"/>
                <w:color w:val="000000"/>
                <w:kern w:val="0"/>
                <w:sz w:val="28"/>
                <w:szCs w:val="30"/>
                <w:lang w:bidi="ar"/>
              </w:rPr>
              <w:lastRenderedPageBreak/>
              <w:t>病。</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居民健康档案总体建档率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60%</w:t>
            </w:r>
            <w:r>
              <w:rPr>
                <w:rFonts w:ascii="宋体" w:eastAsia="宋体" w:hAnsi="宋体" w:cs="宋体" w:hint="eastAsia"/>
                <w:color w:val="000000"/>
                <w:kern w:val="0"/>
                <w:sz w:val="28"/>
                <w:szCs w:val="30"/>
                <w:lang w:bidi="ar"/>
              </w:rPr>
              <w:t>以下</w:t>
            </w:r>
          </w:p>
        </w:tc>
      </w:tr>
      <w:tr w:rsidR="00BA3646">
        <w:trPr>
          <w:trHeight w:val="2287"/>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适龄儿童免疫规划疫苗接种</w:t>
            </w:r>
            <w:r>
              <w:rPr>
                <w:rFonts w:ascii="Times New Roman" w:eastAsia="宋体" w:hAnsi="Times New Roman" w:cs="Times New Roman"/>
                <w:color w:val="000000"/>
                <w:kern w:val="0"/>
                <w:sz w:val="28"/>
                <w:szCs w:val="30"/>
                <w:lang w:bidi="ar"/>
              </w:rPr>
              <w:lastRenderedPageBreak/>
              <w:t>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95%</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93%</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以下</w:t>
            </w:r>
          </w:p>
        </w:tc>
      </w:tr>
      <w:tr w:rsidR="00BA3646">
        <w:trPr>
          <w:trHeight w:val="2287"/>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高血压和糖尿病患者管理率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30%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20%</w:t>
            </w:r>
            <w:r>
              <w:rPr>
                <w:rFonts w:ascii="宋体" w:eastAsia="宋体" w:hAnsi="宋体" w:cs="宋体" w:hint="eastAsia"/>
                <w:color w:val="000000"/>
                <w:kern w:val="0"/>
                <w:sz w:val="28"/>
                <w:szCs w:val="30"/>
                <w:lang w:bidi="ar"/>
              </w:rPr>
              <w:t>以下</w:t>
            </w:r>
          </w:p>
        </w:tc>
      </w:tr>
      <w:tr w:rsidR="00BA3646">
        <w:trPr>
          <w:trHeight w:val="1725"/>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疫情报告管理率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以下</w:t>
            </w:r>
          </w:p>
        </w:tc>
      </w:tr>
      <w:tr w:rsidR="00BA3646">
        <w:trPr>
          <w:trHeight w:val="1725"/>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职业健康监护开展率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60%</w:t>
            </w:r>
            <w:r>
              <w:rPr>
                <w:rFonts w:ascii="宋体" w:eastAsia="宋体" w:hAnsi="宋体" w:cs="宋体" w:hint="eastAsia"/>
                <w:color w:val="000000"/>
                <w:kern w:val="0"/>
                <w:sz w:val="28"/>
                <w:szCs w:val="30"/>
                <w:lang w:bidi="ar"/>
              </w:rPr>
              <w:t>以下</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突发公共卫生事件网络直报率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95%</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以下</w:t>
            </w:r>
          </w:p>
        </w:tc>
      </w:tr>
      <w:tr w:rsidR="00BA3646">
        <w:trPr>
          <w:trHeight w:val="1725"/>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新生儿疾病筛查率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75%</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75%</w:t>
            </w:r>
            <w:r>
              <w:rPr>
                <w:rFonts w:ascii="宋体" w:eastAsia="宋体" w:hAnsi="宋体" w:cs="宋体" w:hint="eastAsia"/>
                <w:color w:val="000000"/>
                <w:kern w:val="0"/>
                <w:sz w:val="28"/>
                <w:szCs w:val="30"/>
                <w:lang w:bidi="ar"/>
              </w:rPr>
              <w:t>以下</w:t>
            </w:r>
          </w:p>
        </w:tc>
      </w:tr>
      <w:tr w:rsidR="00BA3646">
        <w:trPr>
          <w:trHeight w:val="116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proofErr w:type="gramStart"/>
            <w:r>
              <w:rPr>
                <w:rFonts w:ascii="Times New Roman" w:eastAsia="宋体" w:hAnsi="Times New Roman" w:cs="Times New Roman"/>
                <w:color w:val="000000"/>
                <w:kern w:val="0"/>
                <w:sz w:val="28"/>
                <w:szCs w:val="30"/>
                <w:lang w:bidi="ar"/>
              </w:rPr>
              <w:t>孕</w:t>
            </w:r>
            <w:proofErr w:type="gramEnd"/>
            <w:r>
              <w:rPr>
                <w:rFonts w:ascii="Times New Roman" w:eastAsia="宋体" w:hAnsi="Times New Roman" w:cs="Times New Roman"/>
                <w:color w:val="000000"/>
                <w:kern w:val="0"/>
                <w:sz w:val="28"/>
                <w:szCs w:val="30"/>
                <w:lang w:bidi="ar"/>
              </w:rPr>
              <w:t>产妇死亡率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24/10</w:t>
            </w:r>
            <w:r>
              <w:rPr>
                <w:rFonts w:ascii="宋体" w:eastAsia="宋体" w:hAnsi="宋体" w:cs="宋体" w:hint="eastAsia"/>
                <w:color w:val="000000"/>
                <w:kern w:val="0"/>
                <w:sz w:val="28"/>
                <w:szCs w:val="30"/>
                <w:lang w:bidi="ar"/>
              </w:rPr>
              <w:t>万及以下</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25/10</w:t>
            </w:r>
            <w:r>
              <w:rPr>
                <w:rFonts w:ascii="宋体" w:eastAsia="宋体" w:hAnsi="宋体" w:cs="宋体" w:hint="eastAsia"/>
                <w:color w:val="000000"/>
                <w:kern w:val="0"/>
                <w:sz w:val="28"/>
                <w:szCs w:val="30"/>
                <w:lang w:bidi="ar"/>
              </w:rPr>
              <w:t>万及以下</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26/10</w:t>
            </w:r>
            <w:r>
              <w:rPr>
                <w:rFonts w:ascii="宋体" w:eastAsia="宋体" w:hAnsi="宋体" w:cs="宋体" w:hint="eastAsia"/>
                <w:color w:val="000000"/>
                <w:kern w:val="0"/>
                <w:sz w:val="28"/>
                <w:szCs w:val="30"/>
                <w:lang w:bidi="ar"/>
              </w:rPr>
              <w:t>万及以下</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26/10</w:t>
            </w:r>
            <w:r>
              <w:rPr>
                <w:rFonts w:ascii="宋体" w:eastAsia="宋体" w:hAnsi="宋体" w:cs="宋体" w:hint="eastAsia"/>
                <w:color w:val="000000"/>
                <w:kern w:val="0"/>
                <w:sz w:val="28"/>
                <w:szCs w:val="30"/>
                <w:lang w:bidi="ar"/>
              </w:rPr>
              <w:t>万以上</w:t>
            </w:r>
          </w:p>
        </w:tc>
      </w:tr>
      <w:tr w:rsidR="00BA3646">
        <w:trPr>
          <w:trHeight w:val="1725"/>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5</w:t>
            </w:r>
            <w:r>
              <w:rPr>
                <w:rFonts w:ascii="宋体" w:eastAsia="宋体" w:hAnsi="宋体" w:cs="宋体" w:hint="eastAsia"/>
                <w:color w:val="000000"/>
                <w:kern w:val="0"/>
                <w:sz w:val="28"/>
                <w:szCs w:val="30"/>
                <w:lang w:bidi="ar"/>
              </w:rPr>
              <w:t>岁以下儿童死亡率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12‰</w:t>
            </w:r>
            <w:r>
              <w:rPr>
                <w:rFonts w:ascii="宋体" w:eastAsia="宋体" w:hAnsi="宋体" w:cs="宋体" w:hint="eastAsia"/>
                <w:color w:val="000000"/>
                <w:kern w:val="0"/>
                <w:sz w:val="28"/>
                <w:szCs w:val="30"/>
                <w:lang w:bidi="ar"/>
              </w:rPr>
              <w:t>及以下</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13‰</w:t>
            </w:r>
            <w:r>
              <w:rPr>
                <w:rFonts w:ascii="宋体" w:eastAsia="宋体" w:hAnsi="宋体" w:cs="宋体" w:hint="eastAsia"/>
                <w:color w:val="000000"/>
                <w:kern w:val="0"/>
                <w:sz w:val="28"/>
                <w:szCs w:val="30"/>
                <w:lang w:bidi="ar"/>
              </w:rPr>
              <w:t>及以下</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14‰</w:t>
            </w:r>
            <w:r>
              <w:rPr>
                <w:rFonts w:ascii="宋体" w:eastAsia="宋体" w:hAnsi="宋体" w:cs="宋体" w:hint="eastAsia"/>
                <w:color w:val="000000"/>
                <w:kern w:val="0"/>
                <w:sz w:val="28"/>
                <w:szCs w:val="30"/>
                <w:lang w:bidi="ar"/>
              </w:rPr>
              <w:t>及以下</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14‰</w:t>
            </w:r>
            <w:r>
              <w:rPr>
                <w:rFonts w:ascii="宋体" w:eastAsia="宋体" w:hAnsi="宋体" w:cs="宋体" w:hint="eastAsia"/>
                <w:color w:val="000000"/>
                <w:kern w:val="0"/>
                <w:sz w:val="28"/>
                <w:szCs w:val="30"/>
                <w:lang w:bidi="ar"/>
              </w:rPr>
              <w:t>以上</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食源性监测哨点医院信息反馈率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50%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50%</w:t>
            </w:r>
            <w:r>
              <w:rPr>
                <w:rFonts w:ascii="宋体" w:eastAsia="宋体" w:hAnsi="宋体" w:cs="宋体" w:hint="eastAsia"/>
                <w:color w:val="000000"/>
                <w:kern w:val="0"/>
                <w:sz w:val="28"/>
                <w:szCs w:val="30"/>
                <w:lang w:bidi="ar"/>
              </w:rPr>
              <w:t>以下</w:t>
            </w:r>
          </w:p>
        </w:tc>
      </w:tr>
      <w:tr w:rsidR="00BA3646">
        <w:trPr>
          <w:trHeight w:val="510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监督执法</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hint="eastAsia"/>
                <w:color w:val="000000"/>
                <w:kern w:val="0"/>
                <w:sz w:val="28"/>
                <w:szCs w:val="30"/>
                <w:lang w:bidi="ar"/>
              </w:rPr>
              <w:t>20</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监督、指导、规范卫生行政执法工作，负责传染病防治监督。</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加强饮用水的安全规范管理及医疗卫生、公共场所工作的规范化管理。</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医疗机构监督次数。</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3</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3976"/>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医疗服务</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hint="eastAsia"/>
                <w:color w:val="000000"/>
                <w:kern w:val="0"/>
                <w:sz w:val="28"/>
                <w:szCs w:val="30"/>
                <w:lang w:bidi="ar"/>
              </w:rPr>
              <w:t>785</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通过医疗救治，机构改革，鼓励社会资本办医等内容。</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做好各项医疗救治工作，提高医疗救治水平。</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市级临床重点专科建设数量（</w:t>
            </w:r>
            <w:proofErr w:type="gramStart"/>
            <w:r>
              <w:rPr>
                <w:rFonts w:ascii="Times New Roman" w:eastAsia="宋体" w:hAnsi="Times New Roman" w:cs="Times New Roman"/>
                <w:color w:val="000000"/>
                <w:kern w:val="0"/>
                <w:sz w:val="28"/>
                <w:szCs w:val="30"/>
                <w:lang w:bidi="ar"/>
              </w:rPr>
              <w:t>个</w:t>
            </w:r>
            <w:proofErr w:type="gramEnd"/>
            <w:r>
              <w:rPr>
                <w:rFonts w:ascii="Times New Roman" w:eastAsia="宋体" w:hAnsi="Times New Roman" w:cs="Times New Roman"/>
                <w:color w:val="000000"/>
                <w:kern w:val="0"/>
                <w:sz w:val="28"/>
                <w:szCs w:val="30"/>
                <w:lang w:bidi="ar"/>
              </w:rPr>
              <w:t>）</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医疗机构质控中心建设数量（</w:t>
            </w:r>
            <w:proofErr w:type="gramStart"/>
            <w:r>
              <w:rPr>
                <w:rFonts w:ascii="Times New Roman" w:eastAsia="宋体" w:hAnsi="Times New Roman" w:cs="Times New Roman"/>
                <w:color w:val="000000"/>
                <w:kern w:val="0"/>
                <w:sz w:val="28"/>
                <w:szCs w:val="30"/>
                <w:lang w:bidi="ar"/>
              </w:rPr>
              <w:t>个</w:t>
            </w:r>
            <w:proofErr w:type="gramEnd"/>
            <w:r>
              <w:rPr>
                <w:rFonts w:ascii="Times New Roman" w:eastAsia="宋体" w:hAnsi="Times New Roman" w:cs="Times New Roman"/>
                <w:color w:val="000000"/>
                <w:kern w:val="0"/>
                <w:sz w:val="28"/>
                <w:szCs w:val="30"/>
                <w:lang w:bidi="ar"/>
              </w:rPr>
              <w:t>）</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2287"/>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便捷转诊通道开通数量（</w:t>
            </w:r>
            <w:proofErr w:type="gramStart"/>
            <w:r>
              <w:rPr>
                <w:rFonts w:ascii="Times New Roman" w:eastAsia="宋体" w:hAnsi="Times New Roman" w:cs="Times New Roman"/>
                <w:color w:val="000000"/>
                <w:kern w:val="0"/>
                <w:sz w:val="28"/>
                <w:szCs w:val="30"/>
                <w:lang w:bidi="ar"/>
              </w:rPr>
              <w:t>个</w:t>
            </w:r>
            <w:proofErr w:type="gramEnd"/>
            <w:r>
              <w:rPr>
                <w:rFonts w:ascii="Times New Roman" w:eastAsia="宋体" w:hAnsi="Times New Roman" w:cs="Times New Roman"/>
                <w:color w:val="000000"/>
                <w:kern w:val="0"/>
                <w:sz w:val="28"/>
                <w:szCs w:val="30"/>
                <w:lang w:bidi="ar"/>
              </w:rPr>
              <w:t>）</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2287"/>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基本药物及时配送到位率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以下</w:t>
            </w: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基层医疗卫生机构药品零差率实施率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以下</w:t>
            </w:r>
          </w:p>
        </w:tc>
      </w:tr>
      <w:tr w:rsidR="00BA3646">
        <w:trPr>
          <w:trHeight w:val="4539"/>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基层医疗卫生机构基本药物临床应用指南和处方集培训覆盖率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以下</w:t>
            </w:r>
          </w:p>
        </w:tc>
      </w:tr>
      <w:tr w:rsidR="00BA3646">
        <w:trPr>
          <w:trHeight w:val="735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计划生育</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4</w:t>
            </w:r>
            <w:r>
              <w:rPr>
                <w:rFonts w:ascii="Times New Roman" w:eastAsia="宋体" w:hAnsi="Times New Roman" w:cs="Times New Roman" w:hint="eastAsia"/>
                <w:color w:val="000000"/>
                <w:kern w:val="0"/>
                <w:sz w:val="28"/>
                <w:szCs w:val="30"/>
                <w:lang w:bidi="ar"/>
              </w:rPr>
              <w:t>03.82</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建立利益导向机制，开展出生人口性别比治理以及流动人口计划生育管理等各项工作。</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增强群众自觉实行计划生育的积极性，提高计划生育家庭发展能力。</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农村部分计划生育家庭奖励扶助政策落实率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2287"/>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计划生育家庭特别扶助政策落实率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出生人口性别比</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112</w:t>
            </w:r>
            <w:r>
              <w:rPr>
                <w:rFonts w:ascii="宋体" w:eastAsia="宋体" w:hAnsi="宋体" w:cs="宋体" w:hint="eastAsia"/>
                <w:color w:val="000000"/>
                <w:kern w:val="0"/>
                <w:sz w:val="28"/>
                <w:szCs w:val="30"/>
                <w:lang w:bidi="ar"/>
              </w:rPr>
              <w:t>及以下</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114</w:t>
            </w:r>
            <w:r>
              <w:rPr>
                <w:rFonts w:ascii="宋体" w:eastAsia="宋体" w:hAnsi="宋体" w:cs="宋体" w:hint="eastAsia"/>
                <w:color w:val="000000"/>
                <w:kern w:val="0"/>
                <w:sz w:val="28"/>
                <w:szCs w:val="30"/>
                <w:lang w:bidi="ar"/>
              </w:rPr>
              <w:t>及以下</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116</w:t>
            </w:r>
            <w:r>
              <w:rPr>
                <w:rFonts w:ascii="宋体" w:eastAsia="宋体" w:hAnsi="宋体" w:cs="宋体" w:hint="eastAsia"/>
                <w:color w:val="000000"/>
                <w:kern w:val="0"/>
                <w:sz w:val="28"/>
                <w:szCs w:val="30"/>
                <w:lang w:bidi="ar"/>
              </w:rPr>
              <w:t>及以下</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116</w:t>
            </w:r>
            <w:r>
              <w:rPr>
                <w:rFonts w:ascii="宋体" w:eastAsia="宋体" w:hAnsi="宋体" w:cs="宋体" w:hint="eastAsia"/>
                <w:color w:val="000000"/>
                <w:kern w:val="0"/>
                <w:sz w:val="28"/>
                <w:szCs w:val="30"/>
                <w:lang w:bidi="ar"/>
              </w:rPr>
              <w:t>以上</w:t>
            </w:r>
          </w:p>
        </w:tc>
      </w:tr>
      <w:tr w:rsidR="00BA3646">
        <w:trPr>
          <w:trHeight w:val="679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计划生育家庭救助公益金的落实率。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计划生育独生子女父母奖励金的落实率。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1725"/>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计划生育独生子女父母是国这有工作人员、企业事</w:t>
            </w:r>
            <w:r>
              <w:rPr>
                <w:rFonts w:ascii="Times New Roman" w:eastAsia="宋体" w:hAnsi="Times New Roman" w:cs="Times New Roman"/>
                <w:color w:val="000000"/>
                <w:kern w:val="0"/>
                <w:sz w:val="28"/>
                <w:szCs w:val="30"/>
                <w:lang w:bidi="ar"/>
              </w:rPr>
              <w:lastRenderedPageBreak/>
              <w:t>业单位职工退休时奖励金的落实率。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计划生育家庭</w:t>
            </w:r>
            <w:r>
              <w:rPr>
                <w:rFonts w:ascii="Times New Roman" w:eastAsia="宋体" w:hAnsi="Times New Roman" w:cs="Times New Roman"/>
                <w:color w:val="000000"/>
                <w:kern w:val="0"/>
                <w:sz w:val="28"/>
                <w:szCs w:val="30"/>
                <w:lang w:bidi="ar"/>
              </w:rPr>
              <w:t>“</w:t>
            </w:r>
            <w:r>
              <w:rPr>
                <w:rFonts w:ascii="宋体" w:eastAsia="宋体" w:hAnsi="宋体" w:cs="宋体" w:hint="eastAsia"/>
                <w:color w:val="000000"/>
                <w:kern w:val="0"/>
                <w:sz w:val="28"/>
                <w:szCs w:val="30"/>
                <w:lang w:bidi="ar"/>
              </w:rPr>
              <w:t>养老</w:t>
            </w:r>
            <w:r>
              <w:rPr>
                <w:rFonts w:ascii="Times New Roman" w:eastAsia="宋体" w:hAnsi="Times New Roman" w:cs="Times New Roman"/>
                <w:color w:val="000000"/>
                <w:kern w:val="0"/>
                <w:sz w:val="28"/>
                <w:szCs w:val="30"/>
                <w:lang w:bidi="ar"/>
              </w:rPr>
              <w:t>”</w:t>
            </w:r>
            <w:r>
              <w:rPr>
                <w:rFonts w:ascii="宋体" w:eastAsia="宋体" w:hAnsi="宋体" w:cs="宋体" w:hint="eastAsia"/>
                <w:color w:val="000000"/>
                <w:kern w:val="0"/>
                <w:sz w:val="28"/>
                <w:szCs w:val="30"/>
                <w:lang w:bidi="ar"/>
              </w:rPr>
              <w:t>资金的落实率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及时更新人口计生系统信息，定时维护。</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4551"/>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适时了解计划生育工作的新内容和工作要求。</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通过有效的方法将人口和计划生育</w:t>
            </w:r>
            <w:r>
              <w:rPr>
                <w:rFonts w:ascii="Times New Roman" w:eastAsia="宋体" w:hAnsi="Times New Roman" w:cs="Times New Roman"/>
                <w:color w:val="000000"/>
                <w:kern w:val="0"/>
                <w:sz w:val="28"/>
                <w:szCs w:val="30"/>
                <w:lang w:bidi="ar"/>
              </w:rPr>
              <w:lastRenderedPageBreak/>
              <w:t>方针政策传播给社会公众。</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适时组织人员对全县进行人口调查。</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以下</w:t>
            </w:r>
          </w:p>
        </w:tc>
      </w:tr>
      <w:tr w:rsidR="00BA3646">
        <w:trPr>
          <w:trHeight w:val="3976"/>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卫生计生综合</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hint="eastAsia"/>
                <w:color w:val="000000"/>
                <w:kern w:val="0"/>
                <w:sz w:val="28"/>
                <w:szCs w:val="30"/>
                <w:lang w:bidi="ar"/>
              </w:rPr>
              <w:t>1046.08</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拟定卫生和计生改革与发展目标、规划和政策措施等相关内容。</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保障卫生计生法律法规的落实，提升工作规范化和法制化水平。</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卫生计生重大违法案件查处率。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以下</w:t>
            </w:r>
          </w:p>
        </w:tc>
      </w:tr>
      <w:tr w:rsidR="00BA3646">
        <w:trPr>
          <w:trHeight w:val="510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proofErr w:type="gramStart"/>
            <w:r>
              <w:rPr>
                <w:rFonts w:ascii="Times New Roman" w:eastAsia="宋体" w:hAnsi="Times New Roman" w:cs="Times New Roman"/>
                <w:color w:val="000000"/>
                <w:kern w:val="0"/>
                <w:sz w:val="28"/>
                <w:szCs w:val="30"/>
                <w:lang w:bidi="ar"/>
              </w:rPr>
              <w:lastRenderedPageBreak/>
              <w:t>卫计政务</w:t>
            </w:r>
            <w:proofErr w:type="gramEnd"/>
            <w:r>
              <w:rPr>
                <w:rFonts w:ascii="Times New Roman" w:eastAsia="宋体" w:hAnsi="Times New Roman" w:cs="Times New Roman"/>
                <w:color w:val="000000"/>
                <w:kern w:val="0"/>
                <w:sz w:val="28"/>
                <w:szCs w:val="30"/>
                <w:lang w:bidi="ar"/>
              </w:rPr>
              <w:t>管理</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hint="eastAsia"/>
                <w:color w:val="000000"/>
                <w:kern w:val="0"/>
                <w:sz w:val="28"/>
                <w:szCs w:val="30"/>
                <w:lang w:bidi="ar"/>
              </w:rPr>
              <w:t>370</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拟定卫生和计生改革与发展目标、规划和政策措施等相关内容。</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提高全县卫生计生人才队伍服务水平和医疗卫生机构科研能力。</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行政许可及时办结率。</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以下</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培养卫生计划生育高素质职业化的</w:t>
            </w:r>
            <w:proofErr w:type="gramStart"/>
            <w:r>
              <w:rPr>
                <w:rFonts w:ascii="Times New Roman" w:eastAsia="宋体" w:hAnsi="Times New Roman" w:cs="Times New Roman"/>
                <w:color w:val="000000"/>
                <w:kern w:val="0"/>
                <w:sz w:val="28"/>
                <w:szCs w:val="30"/>
                <w:lang w:bidi="ar"/>
              </w:rPr>
              <w:t>的</w:t>
            </w:r>
            <w:proofErr w:type="gramEnd"/>
            <w:r>
              <w:rPr>
                <w:rFonts w:ascii="Times New Roman" w:eastAsia="宋体" w:hAnsi="Times New Roman" w:cs="Times New Roman"/>
                <w:color w:val="000000"/>
                <w:kern w:val="0"/>
                <w:sz w:val="28"/>
                <w:szCs w:val="30"/>
                <w:lang w:bidi="ar"/>
              </w:rPr>
              <w:t>干部队伍。</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以下</w:t>
            </w:r>
          </w:p>
        </w:tc>
      </w:tr>
      <w:tr w:rsidR="00BA3646">
        <w:trPr>
          <w:trHeight w:val="510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为农村医疗机构免费培养定向医学生人数</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16</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16</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510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市级医学重点学科建设数</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2850"/>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推广基层医疗适宜技术项数</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3</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0</w:t>
            </w: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红十字会</w:t>
            </w: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hint="eastAsia"/>
                <w:color w:val="000000"/>
                <w:kern w:val="0"/>
                <w:sz w:val="28"/>
                <w:szCs w:val="30"/>
                <w:lang w:bidi="ar"/>
              </w:rPr>
              <w:t>18</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建立健全应急救援体系，建立应急救护培训长效机制。</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center"/>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加强应急救援体系建设，建立备灾救灾仓库。</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建立集物资储备、管理的备灾救灾仓库。</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以下</w:t>
            </w:r>
          </w:p>
        </w:tc>
      </w:tr>
      <w:tr w:rsidR="00BA3646">
        <w:trPr>
          <w:trHeight w:val="1725"/>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以政府购买的应急救护初级培训的</w:t>
            </w:r>
            <w:r>
              <w:rPr>
                <w:rFonts w:ascii="Times New Roman" w:eastAsia="宋体" w:hAnsi="Times New Roman" w:cs="Times New Roman"/>
                <w:color w:val="000000"/>
                <w:kern w:val="0"/>
                <w:sz w:val="28"/>
                <w:szCs w:val="30"/>
                <w:lang w:bidi="ar"/>
              </w:rPr>
              <w:lastRenderedPageBreak/>
              <w:t>服务方式对新生入学急救护初级培训和应急救护员培。</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90</w:t>
            </w:r>
            <w:r>
              <w:rPr>
                <w:rFonts w:ascii="宋体" w:eastAsia="宋体" w:hAnsi="宋体" w:cs="宋体" w:hint="eastAsia"/>
                <w:color w:val="000000"/>
                <w:kern w:val="0"/>
                <w:sz w:val="28"/>
                <w:szCs w:val="30"/>
                <w:lang w:bidi="ar"/>
              </w:rPr>
              <w:t>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70</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60</w:t>
            </w:r>
            <w:r>
              <w:rPr>
                <w:rFonts w:ascii="宋体" w:eastAsia="宋体" w:hAnsi="宋体" w:cs="宋体" w:hint="eastAsia"/>
                <w:color w:val="000000"/>
                <w:kern w:val="0"/>
                <w:sz w:val="28"/>
                <w:szCs w:val="30"/>
                <w:lang w:bidi="ar"/>
              </w:rPr>
              <w:t>以下</w:t>
            </w:r>
          </w:p>
        </w:tc>
      </w:tr>
      <w:tr w:rsidR="00BA3646">
        <w:trPr>
          <w:trHeight w:val="2287"/>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做到全县患病家庭能够得到及时的</w:t>
            </w:r>
            <w:r>
              <w:rPr>
                <w:rFonts w:ascii="Times New Roman" w:eastAsia="宋体" w:hAnsi="Times New Roman" w:cs="Times New Roman"/>
                <w:color w:val="000000"/>
                <w:kern w:val="0"/>
                <w:sz w:val="28"/>
                <w:szCs w:val="30"/>
                <w:lang w:bidi="ar"/>
              </w:rPr>
              <w:lastRenderedPageBreak/>
              <w:t>救助。</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lastRenderedPageBreak/>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90%</w:t>
            </w:r>
            <w:r>
              <w:rPr>
                <w:rFonts w:ascii="宋体" w:eastAsia="宋体" w:hAnsi="宋体" w:cs="宋体" w:hint="eastAsia"/>
                <w:color w:val="000000"/>
                <w:kern w:val="0"/>
                <w:sz w:val="28"/>
                <w:szCs w:val="30"/>
                <w:lang w:bidi="ar"/>
              </w:rPr>
              <w:t>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85%</w:t>
            </w:r>
            <w:r>
              <w:rPr>
                <w:rFonts w:ascii="宋体" w:eastAsia="宋体" w:hAnsi="宋体" w:cs="宋体" w:hint="eastAsia"/>
                <w:color w:val="000000"/>
                <w:kern w:val="0"/>
                <w:sz w:val="28"/>
                <w:szCs w:val="30"/>
                <w:lang w:bidi="ar"/>
              </w:rPr>
              <w:t>以下</w:t>
            </w:r>
          </w:p>
        </w:tc>
      </w:tr>
      <w:tr w:rsidR="00BA3646">
        <w:trPr>
          <w:trHeight w:val="3976"/>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拓展捐献造血干细胞志愿服务工作的领域。</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25</w:t>
            </w:r>
            <w:r>
              <w:rPr>
                <w:rFonts w:ascii="宋体" w:eastAsia="宋体" w:hAnsi="宋体" w:cs="宋体" w:hint="eastAsia"/>
                <w:color w:val="000000"/>
                <w:kern w:val="0"/>
                <w:sz w:val="28"/>
                <w:szCs w:val="30"/>
                <w:lang w:bidi="ar"/>
              </w:rPr>
              <w:t>人份及以上</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20</w:t>
            </w:r>
            <w:r>
              <w:rPr>
                <w:rFonts w:ascii="宋体" w:eastAsia="宋体" w:hAnsi="宋体" w:cs="宋体" w:hint="eastAsia"/>
                <w:color w:val="000000"/>
                <w:kern w:val="0"/>
                <w:sz w:val="28"/>
                <w:szCs w:val="30"/>
                <w:lang w:bidi="ar"/>
              </w:rPr>
              <w:t>人份及以上</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15</w:t>
            </w:r>
            <w:r>
              <w:rPr>
                <w:rFonts w:ascii="宋体" w:eastAsia="宋体" w:hAnsi="宋体" w:cs="宋体" w:hint="eastAsia"/>
                <w:color w:val="000000"/>
                <w:kern w:val="0"/>
                <w:sz w:val="28"/>
                <w:szCs w:val="30"/>
                <w:lang w:bidi="ar"/>
              </w:rPr>
              <w:t>人份及以上</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w:t>
            </w:r>
            <w:r>
              <w:rPr>
                <w:rFonts w:ascii="宋体" w:eastAsia="宋体" w:hAnsi="宋体" w:cs="宋体" w:hint="eastAsia"/>
                <w:color w:val="000000"/>
                <w:kern w:val="0"/>
                <w:sz w:val="28"/>
                <w:szCs w:val="30"/>
                <w:lang w:bidi="ar"/>
              </w:rPr>
              <w:t>人份以下</w:t>
            </w:r>
          </w:p>
        </w:tc>
      </w:tr>
      <w:tr w:rsidR="00BA3646">
        <w:trPr>
          <w:trHeight w:val="510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新注册志愿者、新登记志愿服务组织数量。</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10</w:t>
            </w: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7</w:t>
            </w: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5</w:t>
            </w: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142C1">
            <w:pPr>
              <w:widowControl/>
              <w:jc w:val="left"/>
              <w:textAlignment w:val="center"/>
              <w:rPr>
                <w:rFonts w:ascii="Times New Roman" w:eastAsia="宋体" w:hAnsi="Times New Roman" w:cs="Times New Roman"/>
                <w:color w:val="000000"/>
                <w:sz w:val="28"/>
                <w:szCs w:val="30"/>
              </w:rPr>
            </w:pPr>
            <w:r>
              <w:rPr>
                <w:rFonts w:ascii="Times New Roman" w:eastAsia="宋体" w:hAnsi="Times New Roman" w:cs="Times New Roman"/>
                <w:color w:val="000000"/>
                <w:kern w:val="0"/>
                <w:sz w:val="28"/>
                <w:szCs w:val="30"/>
                <w:lang w:bidi="ar"/>
              </w:rPr>
              <w:t>5</w:t>
            </w: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r>
      <w:tr w:rsidR="00BA3646">
        <w:trPr>
          <w:trHeight w:val="3413"/>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r>
      <w:tr w:rsidR="00BA3646">
        <w:trPr>
          <w:trHeight w:val="3422"/>
        </w:trPr>
        <w:tc>
          <w:tcPr>
            <w:tcW w:w="2624"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jc w:val="left"/>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c>
          <w:tcPr>
            <w:tcW w:w="3724" w:type="dxa"/>
            <w:tcBorders>
              <w:top w:val="single" w:sz="4" w:space="0" w:color="000000"/>
              <w:left w:val="single" w:sz="4" w:space="0" w:color="000000"/>
              <w:bottom w:val="single" w:sz="4" w:space="0" w:color="000000"/>
              <w:right w:val="single" w:sz="4" w:space="0" w:color="000000"/>
            </w:tcBorders>
            <w:vAlign w:val="center"/>
          </w:tcPr>
          <w:p w:rsidR="00BA3646" w:rsidRDefault="00BA3646">
            <w:pPr>
              <w:widowControl/>
              <w:jc w:val="left"/>
              <w:textAlignment w:val="center"/>
              <w:rPr>
                <w:rFonts w:ascii="Times New Roman" w:eastAsia="宋体" w:hAnsi="Times New Roman" w:cs="Times New Roman"/>
                <w:color w:val="000000"/>
                <w:sz w:val="28"/>
                <w:szCs w:val="30"/>
              </w:rPr>
            </w:pPr>
          </w:p>
        </w:tc>
      </w:tr>
    </w:tbl>
    <w:p w:rsidR="00BA3646" w:rsidRDefault="00BA3646">
      <w:pPr>
        <w:autoSpaceDE w:val="0"/>
        <w:autoSpaceDN w:val="0"/>
        <w:adjustRightInd w:val="0"/>
        <w:ind w:left="200"/>
        <w:jc w:val="left"/>
        <w:rPr>
          <w:rFonts w:ascii="宋体" w:eastAsia="宋体" w:cs="宋体"/>
          <w:kern w:val="0"/>
          <w:sz w:val="18"/>
          <w:szCs w:val="18"/>
          <w:lang w:val="zh-CN"/>
        </w:rPr>
      </w:pPr>
    </w:p>
    <w:p w:rsidR="00BA3646" w:rsidRDefault="00BA3646">
      <w:pPr>
        <w:autoSpaceDE w:val="0"/>
        <w:autoSpaceDN w:val="0"/>
        <w:adjustRightInd w:val="0"/>
        <w:ind w:firstLineChars="200" w:firstLine="640"/>
        <w:jc w:val="left"/>
        <w:rPr>
          <w:rFonts w:ascii="黑体" w:eastAsia="黑体" w:hAnsi="黑体" w:cs="Times New Roman"/>
          <w:sz w:val="32"/>
          <w:szCs w:val="32"/>
        </w:rPr>
      </w:pPr>
    </w:p>
    <w:p w:rsidR="00BA3646" w:rsidRDefault="00B142C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BA3646" w:rsidRDefault="00B142C1">
      <w:pPr>
        <w:autoSpaceDE w:val="0"/>
        <w:autoSpaceDN w:val="0"/>
        <w:adjustRightInd w:val="0"/>
        <w:ind w:left="198" w:firstLineChars="200" w:firstLine="640"/>
        <w:jc w:val="left"/>
        <w:rPr>
          <w:rFonts w:ascii="黑体" w:eastAsia="黑体" w:hAnsi="黑体" w:cs="Times New Roman"/>
          <w:sz w:val="32"/>
          <w:szCs w:val="32"/>
        </w:rPr>
      </w:pPr>
      <w:bookmarkStart w:id="2"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w:t>
      </w:r>
      <w:bookmarkEnd w:id="2"/>
      <w:proofErr w:type="gramStart"/>
      <w:r>
        <w:rPr>
          <w:rFonts w:ascii="Times New Roman" w:eastAsia="方正仿宋_GBK" w:hAnsi="Times New Roman" w:cs="Times New Roman" w:hint="eastAsia"/>
          <w:sz w:val="32"/>
          <w:szCs w:val="24"/>
        </w:rPr>
        <w:t>我部门</w:t>
      </w:r>
      <w:proofErr w:type="gramEnd"/>
      <w:r>
        <w:rPr>
          <w:rFonts w:ascii="Times New Roman" w:eastAsia="方正仿宋_GBK" w:hAnsi="Times New Roman" w:cs="Times New Roman" w:hint="eastAsia"/>
          <w:sz w:val="32"/>
          <w:szCs w:val="24"/>
        </w:rPr>
        <w:t>无政府采购预算。</w:t>
      </w:r>
    </w:p>
    <w:p w:rsidR="00BA3646" w:rsidRDefault="00BA3646">
      <w:pPr>
        <w:autoSpaceDE w:val="0"/>
        <w:autoSpaceDN w:val="0"/>
        <w:adjustRightInd w:val="0"/>
        <w:ind w:firstLineChars="200" w:firstLine="640"/>
        <w:jc w:val="left"/>
        <w:rPr>
          <w:rFonts w:ascii="黑体" w:eastAsia="黑体" w:hAnsi="黑体" w:cs="Times New Roman"/>
          <w:sz w:val="32"/>
          <w:szCs w:val="32"/>
        </w:rPr>
      </w:pPr>
    </w:p>
    <w:p w:rsidR="00BA3646" w:rsidRDefault="00BA3646">
      <w:pPr>
        <w:autoSpaceDE w:val="0"/>
        <w:autoSpaceDN w:val="0"/>
        <w:adjustRightInd w:val="0"/>
        <w:ind w:firstLineChars="200" w:firstLine="640"/>
        <w:jc w:val="left"/>
        <w:rPr>
          <w:rFonts w:ascii="黑体" w:eastAsia="黑体" w:hAnsi="黑体" w:cs="Times New Roman"/>
          <w:sz w:val="32"/>
          <w:szCs w:val="32"/>
        </w:rPr>
      </w:pPr>
    </w:p>
    <w:p w:rsidR="00BA3646" w:rsidRDefault="00BA3646">
      <w:pPr>
        <w:autoSpaceDE w:val="0"/>
        <w:autoSpaceDN w:val="0"/>
        <w:adjustRightInd w:val="0"/>
        <w:ind w:firstLineChars="200" w:firstLine="640"/>
        <w:jc w:val="left"/>
        <w:rPr>
          <w:rFonts w:ascii="黑体" w:eastAsia="黑体" w:hAnsi="黑体" w:cs="Times New Roman"/>
          <w:sz w:val="32"/>
          <w:szCs w:val="32"/>
        </w:rPr>
      </w:pPr>
    </w:p>
    <w:p w:rsidR="00BA3646" w:rsidRDefault="00B142C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BA3646" w:rsidRDefault="00B142C1">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威县卫生和计划生育</w:t>
      </w:r>
      <w:proofErr w:type="gramStart"/>
      <w:r>
        <w:rPr>
          <w:rFonts w:ascii="仿宋_GB2312" w:eastAsia="仿宋_GB2312" w:hAnsi="黑体" w:cs="Times New Roman" w:hint="eastAsia"/>
          <w:sz w:val="32"/>
          <w:szCs w:val="32"/>
        </w:rPr>
        <w:t>局</w:t>
      </w:r>
      <w:r>
        <w:rPr>
          <w:rFonts w:ascii="仿宋_GB2312" w:eastAsia="仿宋_GB2312" w:hAnsi="黑体" w:cs="Times New Roman" w:hint="eastAsia"/>
          <w:sz w:val="32"/>
          <w:szCs w:val="32"/>
        </w:rPr>
        <w:t>上年</w:t>
      </w:r>
      <w:proofErr w:type="gramEnd"/>
      <w:r>
        <w:rPr>
          <w:rFonts w:ascii="仿宋_GB2312" w:eastAsia="仿宋_GB2312" w:hAnsi="黑体" w:cs="Times New Roman" w:hint="eastAsia"/>
          <w:sz w:val="32"/>
          <w:szCs w:val="32"/>
        </w:rPr>
        <w:t>末固定资产金额为</w:t>
      </w:r>
      <w:r>
        <w:rPr>
          <w:rFonts w:ascii="仿宋_GB2312" w:eastAsia="仿宋_GB2312" w:hAnsi="黑体" w:cs="Times New Roman" w:hint="eastAsia"/>
          <w:sz w:val="32"/>
          <w:szCs w:val="32"/>
        </w:rPr>
        <w:t>971.59</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p>
    <w:tbl>
      <w:tblPr>
        <w:tblW w:w="13482" w:type="dxa"/>
        <w:tblInd w:w="93" w:type="dxa"/>
        <w:tblLayout w:type="fixed"/>
        <w:tblLook w:val="04A0" w:firstRow="1" w:lastRow="0" w:firstColumn="1" w:lastColumn="0" w:noHBand="0" w:noVBand="1"/>
      </w:tblPr>
      <w:tblGrid>
        <w:gridCol w:w="5224"/>
        <w:gridCol w:w="3155"/>
        <w:gridCol w:w="5103"/>
      </w:tblGrid>
      <w:tr w:rsidR="00BA3646">
        <w:trPr>
          <w:trHeight w:val="705"/>
        </w:trPr>
        <w:tc>
          <w:tcPr>
            <w:tcW w:w="13482" w:type="dxa"/>
            <w:gridSpan w:val="3"/>
            <w:tcBorders>
              <w:top w:val="nil"/>
              <w:left w:val="nil"/>
              <w:bottom w:val="nil"/>
              <w:right w:val="nil"/>
            </w:tcBorders>
            <w:shd w:val="clear" w:color="auto" w:fill="auto"/>
            <w:vAlign w:val="center"/>
          </w:tcPr>
          <w:p w:rsidR="00BA3646" w:rsidRDefault="00B142C1">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固定资产占用情况表</w:t>
            </w:r>
          </w:p>
        </w:tc>
      </w:tr>
      <w:tr w:rsidR="00BA3646">
        <w:trPr>
          <w:trHeight w:val="510"/>
        </w:trPr>
        <w:tc>
          <w:tcPr>
            <w:tcW w:w="8379" w:type="dxa"/>
            <w:gridSpan w:val="2"/>
            <w:tcBorders>
              <w:top w:val="nil"/>
              <w:left w:val="nil"/>
              <w:bottom w:val="nil"/>
              <w:right w:val="nil"/>
            </w:tcBorders>
            <w:shd w:val="clear" w:color="auto" w:fill="auto"/>
            <w:vAlign w:val="center"/>
          </w:tcPr>
          <w:p w:rsidR="00BA3646" w:rsidRDefault="00B142C1">
            <w:pPr>
              <w:widowControl/>
              <w:jc w:val="left"/>
              <w:rPr>
                <w:rFonts w:ascii="宋体" w:eastAsia="宋体" w:hAnsi="宋体" w:cs="宋体"/>
                <w:kern w:val="0"/>
                <w:sz w:val="22"/>
              </w:rPr>
            </w:pPr>
            <w:r>
              <w:rPr>
                <w:rFonts w:ascii="宋体" w:eastAsia="宋体" w:hAnsi="宋体" w:cs="宋体" w:hint="eastAsia"/>
                <w:kern w:val="0"/>
                <w:sz w:val="22"/>
              </w:rPr>
              <w:t>编制部门：</w:t>
            </w:r>
            <w:r>
              <w:rPr>
                <w:rFonts w:ascii="宋体" w:eastAsia="宋体" w:hAnsi="宋体" w:cs="宋体" w:hint="eastAsia"/>
                <w:kern w:val="0"/>
                <w:sz w:val="22"/>
              </w:rPr>
              <w:t>威县卫生和计划生育局</w:t>
            </w:r>
          </w:p>
        </w:tc>
        <w:tc>
          <w:tcPr>
            <w:tcW w:w="5103" w:type="dxa"/>
            <w:tcBorders>
              <w:top w:val="nil"/>
              <w:left w:val="nil"/>
              <w:bottom w:val="nil"/>
              <w:right w:val="nil"/>
            </w:tcBorders>
            <w:shd w:val="clear" w:color="auto" w:fill="auto"/>
            <w:vAlign w:val="center"/>
          </w:tcPr>
          <w:p w:rsidR="00BA3646" w:rsidRDefault="00B142C1">
            <w:pPr>
              <w:widowControl/>
              <w:ind w:firstLineChars="800" w:firstLine="1760"/>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2018</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BA3646">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BA3646" w:rsidRDefault="00B142C1">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BA3646" w:rsidRDefault="00B142C1">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BA3646" w:rsidRDefault="00B142C1">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BA364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3646" w:rsidRDefault="00B142C1">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BA3646" w:rsidRDefault="00B142C1">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BA3646" w:rsidRDefault="00B142C1">
            <w:pPr>
              <w:widowControl/>
              <w:jc w:val="center"/>
              <w:rPr>
                <w:rFonts w:ascii="Times New Roman" w:eastAsia="宋体" w:hAnsi="Times New Roman" w:cs="Times New Roman"/>
                <w:kern w:val="0"/>
                <w:sz w:val="22"/>
              </w:rPr>
            </w:pPr>
            <w:r>
              <w:rPr>
                <w:rFonts w:ascii="仿宋_GB2312" w:eastAsia="仿宋_GB2312" w:hAnsi="黑体" w:cs="Times New Roman" w:hint="eastAsia"/>
                <w:sz w:val="32"/>
                <w:szCs w:val="32"/>
              </w:rPr>
              <w:t>971.59</w:t>
            </w:r>
          </w:p>
        </w:tc>
      </w:tr>
      <w:tr w:rsidR="00BA364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3646" w:rsidRDefault="00B142C1">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627.40</w:t>
            </w:r>
          </w:p>
        </w:tc>
        <w:tc>
          <w:tcPr>
            <w:tcW w:w="5103"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580.21</w:t>
            </w:r>
          </w:p>
        </w:tc>
      </w:tr>
      <w:tr w:rsidR="00BA364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3646" w:rsidRDefault="00B142C1">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627.40</w:t>
            </w:r>
          </w:p>
        </w:tc>
        <w:tc>
          <w:tcPr>
            <w:tcW w:w="5103"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580.21</w:t>
            </w:r>
          </w:p>
        </w:tc>
      </w:tr>
      <w:tr w:rsidR="00BA364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3646" w:rsidRDefault="00B142C1">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3</w:t>
            </w:r>
          </w:p>
        </w:tc>
        <w:tc>
          <w:tcPr>
            <w:tcW w:w="5103"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42.28</w:t>
            </w:r>
          </w:p>
        </w:tc>
      </w:tr>
      <w:tr w:rsidR="00BA364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3646" w:rsidRDefault="00B142C1">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0</w:t>
            </w:r>
          </w:p>
        </w:tc>
      </w:tr>
      <w:tr w:rsidR="00BA3646">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3646" w:rsidRDefault="00B142C1">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vAlign w:val="center"/>
          </w:tcPr>
          <w:p w:rsidR="00BA3646" w:rsidRDefault="00B142C1">
            <w:pPr>
              <w:jc w:val="center"/>
              <w:rPr>
                <w:rFonts w:ascii="Times New Roman" w:hAnsi="Times New Roman" w:cs="Times New Roman"/>
                <w:sz w:val="22"/>
              </w:rPr>
            </w:pPr>
            <w:r>
              <w:rPr>
                <w:rFonts w:ascii="Times New Roman" w:hAnsi="Times New Roman" w:cs="Times New Roman" w:hint="eastAsia"/>
                <w:sz w:val="22"/>
              </w:rPr>
              <w:t>349.10</w:t>
            </w:r>
          </w:p>
        </w:tc>
      </w:tr>
    </w:tbl>
    <w:p w:rsidR="00BA3646" w:rsidRDefault="00B142C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BA3646" w:rsidRDefault="00B142C1">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BA3646" w:rsidRDefault="00B142C1">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BA3646" w:rsidRDefault="00B142C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九、其他需要说明的事项</w:t>
      </w:r>
    </w:p>
    <w:p w:rsidR="00BA3646" w:rsidRDefault="00B142C1">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BA364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C157F"/>
    <w:multiLevelType w:val="singleLevel"/>
    <w:tmpl w:val="5B7C157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0AC4"/>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142C1"/>
    <w:rsid w:val="00B20712"/>
    <w:rsid w:val="00B43238"/>
    <w:rsid w:val="00B45DD3"/>
    <w:rsid w:val="00B52632"/>
    <w:rsid w:val="00B727A9"/>
    <w:rsid w:val="00B75216"/>
    <w:rsid w:val="00B91D52"/>
    <w:rsid w:val="00B9490F"/>
    <w:rsid w:val="00BA1ACD"/>
    <w:rsid w:val="00BA3646"/>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12251EBD"/>
    <w:rsid w:val="2E956890"/>
    <w:rsid w:val="30B357BE"/>
    <w:rsid w:val="49236EE3"/>
    <w:rsid w:val="49316CCA"/>
    <w:rsid w:val="4C5F7E8F"/>
    <w:rsid w:val="5C2F364F"/>
    <w:rsid w:val="6B4A744D"/>
    <w:rsid w:val="6C6A2101"/>
    <w:rsid w:val="6CD7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unhideWhenUsed/>
    <w:qFormat/>
  </w:style>
  <w:style w:type="character" w:styleId="a8">
    <w:name w:val="Hyperlink"/>
    <w:uiPriority w:val="99"/>
    <w:unhideWhenUsed/>
    <w:qFormat/>
    <w:rPr>
      <w:color w:val="0000FF"/>
      <w:u w:val="single"/>
    </w:rPr>
  </w:style>
  <w:style w:type="character" w:styleId="a9">
    <w:name w:val="footnote reference"/>
    <w:uiPriority w:val="99"/>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unhideWhenUsed/>
    <w:qFormat/>
  </w:style>
  <w:style w:type="character" w:styleId="a8">
    <w:name w:val="Hyperlink"/>
    <w:uiPriority w:val="99"/>
    <w:unhideWhenUsed/>
    <w:qFormat/>
    <w:rPr>
      <w:color w:val="0000FF"/>
      <w:u w:val="single"/>
    </w:rPr>
  </w:style>
  <w:style w:type="character" w:styleId="a9">
    <w:name w:val="footnote reference"/>
    <w:uiPriority w:val="99"/>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EB09B-4A06-4165-BC12-22195DDE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1242</Words>
  <Characters>7081</Characters>
  <Application>Microsoft Office Word</Application>
  <DocSecurity>0</DocSecurity>
  <Lines>59</Lines>
  <Paragraphs>16</Paragraphs>
  <ScaleCrop>false</ScaleCrop>
  <Company>Microsoft</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51</cp:revision>
  <cp:lastPrinted>2017-11-09T01:12:00Z</cp:lastPrinted>
  <dcterms:created xsi:type="dcterms:W3CDTF">2019-01-15T00:52:00Z</dcterms:created>
  <dcterms:modified xsi:type="dcterms:W3CDTF">2019-03-04T02:28:00Z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