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D1" w:rsidRDefault="007C70D1">
      <w:pPr>
        <w:rPr>
          <w:rFonts w:ascii="Times New Roman" w:eastAsia="方正小标宋_GBK" w:hAnsi="Times New Roman" w:cs="Times New Roman"/>
          <w:sz w:val="44"/>
          <w:szCs w:val="44"/>
        </w:rPr>
      </w:pPr>
    </w:p>
    <w:p w:rsidR="007C70D1" w:rsidRDefault="004766DD">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威县城乡规划建设局</w:t>
      </w:r>
    </w:p>
    <w:p w:rsidR="007C70D1" w:rsidRDefault="004766DD">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将威县城乡规划建设局</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7C70D1" w:rsidRDefault="004766DD">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7C70D1" w:rsidRDefault="004766DD">
      <w:pPr>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（一）负责贯彻执行国家、省、市有关城市、村镇建设管理、城乡规划工作、房地产业、建筑业等方针、政策、法律、法规。结合我县实际，拟订有关政策措施和管理办法，经县政府批准后组织实施。</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研究拟定全县工程建设、城市建设、村镇建设有关政策、规定草案，并指导实施和进行行业管理。承办县政府委托的规划编制审查报批工作；综合协调与城乡总体规划相关的专业规划、专项规划；负责全县城乡规划技术、规划设计单位资质管理，监督注册规划师执业行为；负责指导城乡规</w:t>
      </w:r>
      <w:proofErr w:type="gramStart"/>
      <w:r>
        <w:rPr>
          <w:rFonts w:ascii="Times New Roman" w:eastAsia="方正仿宋_GBK" w:hAnsi="Times New Roman" w:cs="Times New Roman" w:hint="eastAsia"/>
          <w:sz w:val="32"/>
          <w:szCs w:val="32"/>
        </w:rPr>
        <w:lastRenderedPageBreak/>
        <w:t>划基础</w:t>
      </w:r>
      <w:proofErr w:type="gramEnd"/>
      <w:r>
        <w:rPr>
          <w:rFonts w:ascii="Times New Roman" w:eastAsia="方正仿宋_GBK" w:hAnsi="Times New Roman" w:cs="Times New Roman" w:hint="eastAsia"/>
          <w:sz w:val="32"/>
          <w:szCs w:val="32"/>
        </w:rPr>
        <w:t>信息资料的管理工作；负责城乡规划建设档案的管理工作。</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负责县城总体规划的审查报批工作，监督指导规划的实施；负责全县各类建设项目选址、规划条件研制工作，指导各类开发区、独立工业园区、水资源保护区、自然文化遗产和风景名胜区规划；负责全县各乡（镇）、村总体规划的审查工作。对城镇雕塑、城市绿地和建筑物、构筑物外装修等进行专项规划审查报批。</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四）负责城乡基本建设项目的综合管理；负责编制全县城市建设、市政公用基础设施建设、村镇建设、建筑业、住宅房地产业中长期及年度计划并组织实施；负责编制县城建设投资金使用计划和政府投入的市政公用设施项目的前期筹备工作、工程建设实施与管理；负责城市市政公用设施资产和土地资产的经营管理工作；会同有关部门做好城乡建设利用外资、融资工作。</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（五）负责城建监察工作，并根据城市发展战略和规划，研究拟定其发展规划和年度计划，且负责组织实施。</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（六）负责全县建设活动，规范建筑市场；负责建筑市场准入、工程招投标、工程咨询、工程监理、工程质量、工程稽查和施工安全的监督管理工作。指导住宅建成后住户室内装饰及公建内外装饰；</w:t>
      </w:r>
      <w:r>
        <w:rPr>
          <w:rFonts w:ascii="Times New Roman" w:eastAsia="方正仿宋_GBK" w:hAnsi="Times New Roman" w:cs="Times New Roman" w:hint="eastAsia"/>
          <w:sz w:val="32"/>
          <w:szCs w:val="32"/>
        </w:rPr>
        <w:lastRenderedPageBreak/>
        <w:t>研究建筑施工、建设监理、工程咨询和相关中介组织管理的办法并监督指导实施，负责其企业资质的审报管理；指导组织全县建筑施工企业开拓外地建筑市场和建筑劳务合作。</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（七）负责并协调城市建设综合开发管理；负责房地产开发企业资质审报管理、指导房地产开发工作；负责协调支援油田和公路、铁路建设。指导风景名胜、文物区建设工作。</w:t>
      </w:r>
    </w:p>
    <w:p w:rsidR="007C70D1" w:rsidRDefault="004766D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（八）负责建设行业新技术、新材料、新产品的推广、使用和管理；负责全县建筑节能工作；负责工业与民用建筑抗震防灾设防管理工作。</w:t>
      </w:r>
    </w:p>
    <w:p w:rsidR="007C70D1" w:rsidRDefault="007C70D1">
      <w:pPr>
        <w:autoSpaceDE w:val="0"/>
        <w:autoSpaceDN w:val="0"/>
        <w:adjustRightInd w:val="0"/>
        <w:ind w:left="198" w:firstLineChars="200" w:firstLine="643"/>
        <w:jc w:val="left"/>
        <w:rPr>
          <w:rFonts w:ascii="方正仿宋_GBK" w:eastAsia="方正仿宋_GBK" w:hAnsi="Times New Roman" w:cs="Times New Roman"/>
          <w:b/>
          <w:sz w:val="32"/>
          <w:szCs w:val="32"/>
        </w:rPr>
      </w:pPr>
    </w:p>
    <w:p w:rsidR="007C70D1" w:rsidRDefault="007C70D1">
      <w:pPr>
        <w:autoSpaceDE w:val="0"/>
        <w:autoSpaceDN w:val="0"/>
        <w:adjustRightInd w:val="0"/>
        <w:ind w:left="198" w:firstLineChars="200" w:firstLine="643"/>
        <w:jc w:val="left"/>
        <w:rPr>
          <w:rFonts w:ascii="方正仿宋_GBK" w:eastAsia="方正仿宋_GBK" w:hAnsi="Times New Roman" w:cs="Times New Roman"/>
          <w:b/>
          <w:sz w:val="32"/>
          <w:szCs w:val="32"/>
        </w:rPr>
      </w:pPr>
    </w:p>
    <w:p w:rsidR="007C70D1" w:rsidRDefault="004766DD">
      <w:pPr>
        <w:autoSpaceDE w:val="0"/>
        <w:autoSpaceDN w:val="0"/>
        <w:adjustRightInd w:val="0"/>
        <w:ind w:left="198" w:firstLineChars="200" w:firstLine="643"/>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7C70D1" w:rsidRDefault="004766DD">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pPr w:leftFromText="180" w:rightFromText="180" w:vertAnchor="text" w:horzAnchor="page" w:tblpX="1911" w:tblpY="596"/>
        <w:tblOverlap w:val="never"/>
        <w:tblW w:w="1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1"/>
        <w:gridCol w:w="3543"/>
        <w:gridCol w:w="2477"/>
        <w:gridCol w:w="2769"/>
      </w:tblGrid>
      <w:tr w:rsidR="007C70D1">
        <w:tc>
          <w:tcPr>
            <w:tcW w:w="4231" w:type="dxa"/>
          </w:tcPr>
          <w:p w:rsidR="007C70D1" w:rsidRDefault="004766DD">
            <w:pPr>
              <w:autoSpaceDE w:val="0"/>
              <w:autoSpaceDN w:val="0"/>
              <w:rPr>
                <w:rFonts w:ascii="仿宋_GB2312" w:eastAsia="仿宋_GB2312" w:hAnsi="仿宋_GB2312"/>
                <w:bCs/>
                <w:sz w:val="24"/>
                <w:szCs w:val="24"/>
              </w:rPr>
            </w:pPr>
            <w:r>
              <w:rPr>
                <w:rFonts w:ascii="Times New Roman" w:eastAsia="方正书宋_GBK" w:hAnsi="Times New Roman"/>
                <w:bCs/>
                <w:sz w:val="24"/>
                <w:szCs w:val="24"/>
              </w:rPr>
              <w:t>单位名称</w:t>
            </w:r>
          </w:p>
        </w:tc>
        <w:tc>
          <w:tcPr>
            <w:tcW w:w="3543" w:type="dxa"/>
          </w:tcPr>
          <w:p w:rsidR="007C70D1" w:rsidRDefault="004766DD">
            <w:pPr>
              <w:autoSpaceDE w:val="0"/>
              <w:autoSpaceDN w:val="0"/>
              <w:rPr>
                <w:rFonts w:ascii="仿宋_GB2312" w:eastAsia="仿宋_GB2312" w:hAnsi="仿宋_GB2312"/>
                <w:bCs/>
                <w:sz w:val="24"/>
                <w:szCs w:val="24"/>
              </w:rPr>
            </w:pPr>
            <w:r>
              <w:rPr>
                <w:rFonts w:ascii="Times New Roman" w:eastAsia="方正书宋_GBK" w:hAnsi="Times New Roman"/>
                <w:bCs/>
                <w:sz w:val="24"/>
                <w:szCs w:val="24"/>
              </w:rPr>
              <w:t>单位性质</w:t>
            </w:r>
          </w:p>
        </w:tc>
        <w:tc>
          <w:tcPr>
            <w:tcW w:w="2477" w:type="dxa"/>
          </w:tcPr>
          <w:p w:rsidR="007C70D1" w:rsidRDefault="004766DD">
            <w:pPr>
              <w:autoSpaceDE w:val="0"/>
              <w:autoSpaceDN w:val="0"/>
              <w:rPr>
                <w:rFonts w:ascii="仿宋_GB2312" w:eastAsia="仿宋_GB2312" w:hAnsi="仿宋_GB2312"/>
                <w:bCs/>
                <w:sz w:val="24"/>
                <w:szCs w:val="24"/>
              </w:rPr>
            </w:pPr>
            <w:r>
              <w:rPr>
                <w:rFonts w:ascii="Times New Roman" w:eastAsia="方正书宋_GBK" w:hAnsi="Times New Roman"/>
                <w:bCs/>
                <w:sz w:val="24"/>
                <w:szCs w:val="24"/>
              </w:rPr>
              <w:t>单位规格</w:t>
            </w:r>
          </w:p>
        </w:tc>
        <w:tc>
          <w:tcPr>
            <w:tcW w:w="2769" w:type="dxa"/>
          </w:tcPr>
          <w:p w:rsidR="007C70D1" w:rsidRDefault="004766DD">
            <w:pPr>
              <w:autoSpaceDE w:val="0"/>
              <w:autoSpaceDN w:val="0"/>
              <w:rPr>
                <w:rFonts w:ascii="仿宋_GB2312" w:eastAsia="仿宋_GB2312" w:hAnsi="仿宋_GB2312"/>
                <w:bCs/>
                <w:sz w:val="24"/>
                <w:szCs w:val="24"/>
              </w:rPr>
            </w:pPr>
            <w:r>
              <w:rPr>
                <w:rFonts w:ascii="Times New Roman" w:eastAsia="方正书宋_GBK" w:hAnsi="Times New Roman"/>
                <w:bCs/>
                <w:sz w:val="24"/>
                <w:szCs w:val="24"/>
              </w:rPr>
              <w:t>经费保障形式</w:t>
            </w:r>
          </w:p>
        </w:tc>
      </w:tr>
      <w:tr w:rsidR="007C70D1">
        <w:tc>
          <w:tcPr>
            <w:tcW w:w="4231"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hint="eastAsia"/>
                <w:bCs/>
                <w:sz w:val="24"/>
                <w:szCs w:val="24"/>
              </w:rPr>
              <w:t>威县城乡规划建设局（机关）</w:t>
            </w:r>
          </w:p>
        </w:tc>
        <w:tc>
          <w:tcPr>
            <w:tcW w:w="3543"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hint="eastAsia"/>
                <w:bCs/>
                <w:sz w:val="24"/>
                <w:szCs w:val="24"/>
              </w:rPr>
              <w:t>行政</w:t>
            </w:r>
          </w:p>
        </w:tc>
        <w:tc>
          <w:tcPr>
            <w:tcW w:w="2477"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hint="eastAsia"/>
                <w:bCs/>
                <w:sz w:val="24"/>
                <w:szCs w:val="24"/>
              </w:rPr>
              <w:t>正科级</w:t>
            </w:r>
          </w:p>
        </w:tc>
        <w:tc>
          <w:tcPr>
            <w:tcW w:w="2769"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hint="eastAsia"/>
                <w:bCs/>
                <w:sz w:val="24"/>
                <w:szCs w:val="24"/>
              </w:rPr>
              <w:t>财政拨款</w:t>
            </w:r>
          </w:p>
        </w:tc>
      </w:tr>
      <w:tr w:rsidR="007C70D1">
        <w:tc>
          <w:tcPr>
            <w:tcW w:w="4231"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t>…</w:t>
            </w:r>
          </w:p>
        </w:tc>
        <w:tc>
          <w:tcPr>
            <w:tcW w:w="3543"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t>…</w:t>
            </w:r>
          </w:p>
        </w:tc>
        <w:tc>
          <w:tcPr>
            <w:tcW w:w="2477"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t>…</w:t>
            </w:r>
          </w:p>
        </w:tc>
        <w:tc>
          <w:tcPr>
            <w:tcW w:w="2769"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t>…</w:t>
            </w:r>
          </w:p>
        </w:tc>
      </w:tr>
      <w:tr w:rsidR="007C70D1">
        <w:tc>
          <w:tcPr>
            <w:tcW w:w="4231"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lastRenderedPageBreak/>
              <w:t>…</w:t>
            </w:r>
          </w:p>
        </w:tc>
        <w:tc>
          <w:tcPr>
            <w:tcW w:w="3543"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t>…</w:t>
            </w:r>
          </w:p>
        </w:tc>
        <w:tc>
          <w:tcPr>
            <w:tcW w:w="2477"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t>…</w:t>
            </w:r>
          </w:p>
        </w:tc>
        <w:tc>
          <w:tcPr>
            <w:tcW w:w="2769" w:type="dxa"/>
          </w:tcPr>
          <w:p w:rsidR="007C70D1" w:rsidRDefault="004766DD">
            <w:pPr>
              <w:autoSpaceDE w:val="0"/>
              <w:autoSpaceDN w:val="0"/>
              <w:rPr>
                <w:rFonts w:ascii="仿宋_GB2312" w:eastAsia="仿宋_GB2312" w:hAnsi="仿宋_GB2312"/>
                <w:bCs/>
                <w:sz w:val="24"/>
                <w:szCs w:val="24"/>
              </w:rPr>
            </w:pPr>
            <w:r>
              <w:rPr>
                <w:rFonts w:ascii="仿宋_GB2312" w:eastAsia="仿宋_GB2312" w:hAnsi="仿宋_GB2312"/>
                <w:bCs/>
                <w:sz w:val="24"/>
                <w:szCs w:val="24"/>
              </w:rPr>
              <w:t>…</w:t>
            </w:r>
          </w:p>
        </w:tc>
      </w:tr>
    </w:tbl>
    <w:p w:rsidR="007C70D1" w:rsidRDefault="007C70D1">
      <w:pPr>
        <w:jc w:val="center"/>
        <w:outlineLvl w:val="0"/>
        <w:rPr>
          <w:rFonts w:ascii="Times New Roman" w:eastAsia="方正小标宋_GBK" w:hAnsi="Times New Roman" w:cs="Times New Roman"/>
          <w:sz w:val="32"/>
          <w:szCs w:val="24"/>
        </w:rPr>
      </w:pPr>
    </w:p>
    <w:p w:rsidR="007C70D1" w:rsidRDefault="004766DD">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7C70D1" w:rsidRDefault="004766D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威县城乡规划建设局</w:t>
      </w:r>
      <w:r>
        <w:rPr>
          <w:rFonts w:ascii="Times New Roman" w:eastAsia="方正仿宋_GBK" w:hAnsi="Times New Roman" w:cs="Times New Roman"/>
          <w:sz w:val="32"/>
          <w:szCs w:val="32"/>
        </w:rPr>
        <w:t>的收支包含在部门预算中。</w:t>
      </w:r>
    </w:p>
    <w:p w:rsidR="007C70D1" w:rsidRDefault="004766D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7C70D1" w:rsidRDefault="004766D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2340.2</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2340.2</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7C70D1" w:rsidRDefault="004766D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7C70D1" w:rsidRDefault="004766D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威县城乡规划建设局</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2340.2</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811.7</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783.66</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28.04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1528.5</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农村危房改造改造经费、保障房建设经费、城市地下管线普查工作经费、城乡规划展馆运行及维护等。</w:t>
      </w:r>
    </w:p>
    <w:p w:rsidR="007C70D1" w:rsidRDefault="004766D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7C70D1" w:rsidRDefault="004766DD">
      <w:pPr>
        <w:ind w:firstLine="640"/>
        <w:rPr>
          <w:rFonts w:ascii="仿宋_GB2312" w:eastAsia="方正仿宋_GBK" w:hAnsi="黑体" w:cs="Times New Roman"/>
          <w:sz w:val="32"/>
          <w:szCs w:val="32"/>
        </w:rPr>
      </w:pPr>
      <w:r>
        <w:rPr>
          <w:rFonts w:ascii="Times New Roman" w:eastAsia="方正仿宋_GBK" w:hAnsi="Times New Roman" w:cs="Times New Roman"/>
          <w:sz w:val="32"/>
          <w:szCs w:val="32"/>
        </w:rPr>
        <w:lastRenderedPageBreak/>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2340.2</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1298.71</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27.69</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人员经费</w:t>
      </w:r>
      <w:r>
        <w:rPr>
          <w:rFonts w:ascii="Times New Roman" w:eastAsia="方正仿宋_GBK" w:hAnsi="Times New Roman" w:cs="Times New Roman" w:hint="eastAsia"/>
          <w:sz w:val="32"/>
          <w:szCs w:val="32"/>
        </w:rPr>
        <w:t>和正常公用经费</w:t>
      </w:r>
      <w:r>
        <w:rPr>
          <w:rFonts w:ascii="Times New Roman" w:eastAsia="方正仿宋_GBK" w:hAnsi="Times New Roman" w:cs="Times New Roman"/>
          <w:sz w:val="32"/>
          <w:szCs w:val="32"/>
        </w:rPr>
        <w:t>支出；项目支出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1326.4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，主要为</w:t>
      </w:r>
      <w:r>
        <w:rPr>
          <w:rFonts w:ascii="Times New Roman" w:eastAsia="方正仿宋_GBK" w:hAnsi="Times New Roman" w:cs="Times New Roman" w:hint="eastAsia"/>
          <w:sz w:val="32"/>
          <w:szCs w:val="32"/>
        </w:rPr>
        <w:t>增加了</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年省级大气污染防治资金（</w:t>
      </w:r>
      <w:proofErr w:type="gramStart"/>
      <w:r>
        <w:rPr>
          <w:rFonts w:ascii="Times New Roman" w:eastAsia="方正仿宋_GBK" w:hAnsi="Times New Roman" w:cs="Times New Roman" w:hint="eastAsia"/>
          <w:sz w:val="32"/>
          <w:szCs w:val="32"/>
        </w:rPr>
        <w:t>冀财社【</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w:t>
      </w:r>
      <w:proofErr w:type="gramEnd"/>
      <w:r>
        <w:rPr>
          <w:rFonts w:ascii="Times New Roman" w:eastAsia="方正仿宋_GBK" w:hAnsi="Times New Roman" w:cs="Times New Roman" w:hint="eastAsia"/>
          <w:sz w:val="32"/>
          <w:szCs w:val="32"/>
        </w:rPr>
        <w:t>97</w:t>
      </w:r>
      <w:r>
        <w:rPr>
          <w:rFonts w:ascii="Times New Roman" w:eastAsia="方正仿宋_GBK" w:hAnsi="Times New Roman" w:cs="Times New Roman" w:hint="eastAsia"/>
          <w:sz w:val="32"/>
          <w:szCs w:val="32"/>
        </w:rPr>
        <w:t>号）等支出。</w:t>
      </w:r>
    </w:p>
    <w:p w:rsidR="007C70D1" w:rsidRDefault="004766DD">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7C70D1" w:rsidRDefault="004766DD">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28.04</w:t>
      </w:r>
      <w:r>
        <w:rPr>
          <w:rFonts w:ascii="Times New Roman" w:eastAsia="方正仿宋_GBK" w:hAnsi="Times New Roman" w:cs="Times New Roman" w:hint="eastAsia"/>
          <w:sz w:val="32"/>
          <w:szCs w:val="32"/>
        </w:rPr>
        <w:t>万元，主要用于办公费、邮电费、差旅费、会议费、日常维修费、办公用房水电费等日常运行支出。</w:t>
      </w:r>
    </w:p>
    <w:p w:rsidR="007C70D1" w:rsidRDefault="004766DD">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7C70D1" w:rsidRDefault="004766DD">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相比没有增减。</w:t>
      </w:r>
    </w:p>
    <w:p w:rsidR="007C70D1" w:rsidRDefault="004766DD">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7C70D1" w:rsidRDefault="004766DD">
      <w:pPr>
        <w:ind w:firstLineChars="200" w:firstLine="643"/>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p>
    <w:p w:rsidR="007C70D1" w:rsidRDefault="004766DD">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以习近平新时代中国特色社会主义思想为统领，深入学习贯彻党的十九大精神和省委九届五次</w:t>
      </w:r>
      <w:r>
        <w:rPr>
          <w:rFonts w:ascii="Times New Roman" w:eastAsia="方正仿宋_GBK" w:hAnsi="Times New Roman" w:cs="Times New Roman" w:hint="eastAsia"/>
          <w:sz w:val="32"/>
          <w:szCs w:val="32"/>
        </w:rPr>
        <w:lastRenderedPageBreak/>
        <w:t>六次全会精神，坚持以撤县设市、创建国家人居环境奖为目标，积极推进</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多城联创”（国家环境保护模范城市、节水型城市、国家人居环境奖、智慧城市、国家文明城市、国家卫生县城、全国双拥模范城、国家森林城市、国家平安城市）。突出抓好城乡规划编制，基础设施和重点项目建设，严格工程建设法定程序、强制性标准和工程施工安全质量管理；深入开展整顿和规范建筑市场秩序，规范建筑业、房地产业管理和机关行政执法行为，加强法制建设、作风建设、廉政建设和精神文明建设，打好脱贫攻坚战，让群众在共建共享发展中有更多获得感、幸福感、安全感，打好新型城镇化及城乡统筹建设攻坚战。</w:t>
      </w:r>
    </w:p>
    <w:p w:rsidR="007C70D1" w:rsidRDefault="004766DD">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、解放思想，更新观念。采取走出去、请进来的方式，引进先进的思想和管理理念，树立新的开放观、发展观和创新观，善于用新思路、新办法解决发展中遇到的新问题。</w:t>
      </w:r>
    </w:p>
    <w:p w:rsidR="007C70D1" w:rsidRDefault="004766DD">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、明确职责，责任到人。把</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年建设工作任务分工具体落实到股室和职工，做到人人身上有担子，个个有压力，凝心聚力，全面推进，真正形成一级抓一级、层层抓落实的工作机制，确保各项工作落实到位。</w:t>
      </w:r>
    </w:p>
    <w:p w:rsidR="007C70D1" w:rsidRDefault="004766DD">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、积极拓宽建设投融资渠道。按照“政府引导、社会参与、市场化运作、谁投资、谁受益”的</w:t>
      </w:r>
      <w:r>
        <w:rPr>
          <w:rFonts w:ascii="Times New Roman" w:eastAsia="方正仿宋_GBK" w:hAnsi="Times New Roman" w:cs="Times New Roman" w:hint="eastAsia"/>
          <w:sz w:val="32"/>
          <w:szCs w:val="32"/>
        </w:rPr>
        <w:lastRenderedPageBreak/>
        <w:t>原则，用足、用好上级政策，积极争取上级资金扶持，广泛筹集建设资金，不断创新发展建设投融资体制。</w:t>
      </w:r>
    </w:p>
    <w:p w:rsidR="007C70D1" w:rsidRDefault="004766DD">
      <w:pPr>
        <w:autoSpaceDE w:val="0"/>
        <w:autoSpaceDN w:val="0"/>
        <w:adjustRightInd w:val="0"/>
        <w:ind w:left="198" w:firstLineChars="200" w:firstLine="640"/>
        <w:jc w:val="left"/>
        <w:rPr>
          <w:rFonts w:ascii="方正小标宋_GBK" w:eastAsia="方正小标宋_GBK" w:hAnsi="Times New Roman" w:cs="Times New Roman"/>
          <w:sz w:val="32"/>
          <w:szCs w:val="24"/>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、严格目标考核。全面落实目标责任制，把狠抓工作落实与工作考核有力地结合起来，进一步激发干部职工干事创业、拼搏实干的昂扬斗志，推动城乡规划建设事业健康、快速发展，确保各项工作落到实处。</w:t>
      </w:r>
    </w:p>
    <w:p w:rsidR="00BA5EA6" w:rsidRPr="00D46FE8" w:rsidRDefault="00BA5EA6" w:rsidP="00BA5EA6">
      <w:pPr>
        <w:ind w:firstLineChars="200" w:firstLine="643"/>
        <w:jc w:val="left"/>
        <w:rPr>
          <w:rFonts w:ascii="Times New Roman" w:eastAsia="方正仿宋_GBK" w:hAnsi="Times New Roman" w:hint="eastAsia"/>
          <w:sz w:val="32"/>
          <w:szCs w:val="32"/>
        </w:rPr>
      </w:pPr>
      <w:r w:rsidRPr="00D46FE8">
        <w:rPr>
          <w:rFonts w:ascii="Times New Roman" w:eastAsia="方正仿宋_GBK" w:hAnsi="Times New Roman" w:hint="eastAsia"/>
          <w:b/>
          <w:sz w:val="32"/>
          <w:szCs w:val="32"/>
        </w:rPr>
        <w:t>职责分类绩效目标：</w:t>
      </w:r>
    </w:p>
    <w:p w:rsidR="00BA5EA6" w:rsidRPr="00D46FE8" w:rsidRDefault="00BA5EA6" w:rsidP="00BA5EA6">
      <w:pPr>
        <w:autoSpaceDE w:val="0"/>
        <w:autoSpaceDN w:val="0"/>
        <w:adjustRightInd w:val="0"/>
        <w:ind w:left="198" w:firstLineChars="200" w:firstLine="640"/>
        <w:jc w:val="left"/>
        <w:rPr>
          <w:rFonts w:ascii="Times New Roman" w:eastAsia="方正仿宋_GBK" w:hAnsi="Times New Roman"/>
          <w:sz w:val="32"/>
          <w:szCs w:val="32"/>
        </w:rPr>
      </w:pPr>
      <w:r w:rsidRPr="00D46FE8">
        <w:rPr>
          <w:rFonts w:ascii="Times New Roman" w:eastAsia="方正仿宋_GBK" w:hAnsi="Times New Roman"/>
          <w:sz w:val="32"/>
          <w:szCs w:val="32"/>
        </w:rPr>
        <w:t>我局将在开展好建设行政日常管理工作的同时，抓好以下重点工作：</w:t>
      </w:r>
    </w:p>
    <w:p w:rsidR="00BA5EA6" w:rsidRPr="00D46FE8" w:rsidRDefault="00BA5EA6" w:rsidP="00BA5EA6">
      <w:pPr>
        <w:autoSpaceDE w:val="0"/>
        <w:autoSpaceDN w:val="0"/>
        <w:adjustRightInd w:val="0"/>
        <w:ind w:left="198" w:firstLineChars="200" w:firstLine="640"/>
        <w:jc w:val="left"/>
        <w:rPr>
          <w:rFonts w:ascii="Times New Roman" w:eastAsia="方正仿宋_GBK" w:hAnsi="Times New Roman"/>
          <w:sz w:val="32"/>
          <w:szCs w:val="32"/>
        </w:rPr>
      </w:pPr>
      <w:r w:rsidRPr="00D46FE8">
        <w:rPr>
          <w:rFonts w:ascii="Times New Roman" w:eastAsia="方正仿宋_GBK" w:hAnsi="Times New Roman"/>
          <w:sz w:val="32"/>
          <w:szCs w:val="32"/>
        </w:rPr>
        <w:t>1</w:t>
      </w:r>
      <w:r w:rsidRPr="00D46FE8">
        <w:rPr>
          <w:rFonts w:ascii="Times New Roman" w:eastAsia="方正仿宋_GBK" w:hAnsi="Times New Roman"/>
          <w:sz w:val="32"/>
          <w:szCs w:val="32"/>
        </w:rPr>
        <w:t>、继续组织、配合、协调设计院</w:t>
      </w:r>
      <w:proofErr w:type="gramStart"/>
      <w:r w:rsidRPr="00D46FE8">
        <w:rPr>
          <w:rFonts w:ascii="Times New Roman" w:eastAsia="方正仿宋_GBK" w:hAnsi="Times New Roman"/>
          <w:sz w:val="32"/>
          <w:szCs w:val="32"/>
        </w:rPr>
        <w:t>编制编制</w:t>
      </w:r>
      <w:proofErr w:type="gramEnd"/>
      <w:r w:rsidRPr="00D46FE8">
        <w:rPr>
          <w:rFonts w:ascii="Times New Roman" w:eastAsia="方正仿宋_GBK" w:hAnsi="Times New Roman"/>
          <w:sz w:val="32"/>
          <w:szCs w:val="32"/>
        </w:rPr>
        <w:t>综合防灾专项规划，为城镇建设提供依据。</w:t>
      </w:r>
    </w:p>
    <w:p w:rsidR="00BA5EA6" w:rsidRPr="00D46FE8" w:rsidRDefault="00BA5EA6" w:rsidP="00BA5EA6">
      <w:pPr>
        <w:autoSpaceDE w:val="0"/>
        <w:autoSpaceDN w:val="0"/>
        <w:adjustRightInd w:val="0"/>
        <w:ind w:left="198" w:firstLineChars="200" w:firstLine="640"/>
        <w:jc w:val="left"/>
        <w:rPr>
          <w:rFonts w:ascii="Times New Roman" w:eastAsia="方正仿宋_GBK" w:hAnsi="Times New Roman"/>
          <w:sz w:val="32"/>
          <w:szCs w:val="32"/>
        </w:rPr>
      </w:pPr>
      <w:r w:rsidRPr="00D46FE8">
        <w:rPr>
          <w:rFonts w:ascii="Times New Roman" w:eastAsia="方正仿宋_GBK" w:hAnsi="Times New Roman"/>
          <w:sz w:val="32"/>
          <w:szCs w:val="32"/>
        </w:rPr>
        <w:t>2</w:t>
      </w:r>
      <w:r w:rsidRPr="00D46FE8">
        <w:rPr>
          <w:rFonts w:ascii="Times New Roman" w:eastAsia="方正仿宋_GBK" w:hAnsi="Times New Roman"/>
          <w:sz w:val="32"/>
          <w:szCs w:val="32"/>
        </w:rPr>
        <w:t>、加速推进城市亮化工程。督促新建住宅或工业项目必须按照规划方案实施亮化，已建成住宅或工业项目未按照规划方案亮化的尽快整改。</w:t>
      </w:r>
    </w:p>
    <w:p w:rsidR="00BA5EA6" w:rsidRPr="00D46FE8" w:rsidRDefault="00BA5EA6" w:rsidP="00BA5EA6">
      <w:pPr>
        <w:autoSpaceDE w:val="0"/>
        <w:autoSpaceDN w:val="0"/>
        <w:adjustRightInd w:val="0"/>
        <w:ind w:left="198" w:firstLineChars="200" w:firstLine="640"/>
        <w:jc w:val="left"/>
        <w:rPr>
          <w:rFonts w:ascii="Times New Roman" w:eastAsia="方正仿宋_GBK" w:hAnsi="Times New Roman"/>
          <w:sz w:val="32"/>
          <w:szCs w:val="32"/>
        </w:rPr>
      </w:pPr>
      <w:r w:rsidRPr="00D46FE8">
        <w:rPr>
          <w:rFonts w:ascii="Times New Roman" w:eastAsia="方正仿宋_GBK" w:hAnsi="Times New Roman"/>
          <w:sz w:val="32"/>
          <w:szCs w:val="32"/>
        </w:rPr>
        <w:t>3</w:t>
      </w:r>
      <w:r w:rsidRPr="00D46FE8">
        <w:rPr>
          <w:rFonts w:ascii="Times New Roman" w:eastAsia="方正仿宋_GBK" w:hAnsi="Times New Roman"/>
          <w:sz w:val="32"/>
          <w:szCs w:val="32"/>
        </w:rPr>
        <w:t>、继续扎实推进保障性住房建设最大限度解决好低收入家庭的住房问题。</w:t>
      </w:r>
    </w:p>
    <w:p w:rsidR="00BA5EA6" w:rsidRPr="00D46FE8" w:rsidRDefault="00BA5EA6" w:rsidP="00BA5EA6">
      <w:pPr>
        <w:autoSpaceDE w:val="0"/>
        <w:autoSpaceDN w:val="0"/>
        <w:adjustRightInd w:val="0"/>
        <w:ind w:left="198" w:firstLineChars="200" w:firstLine="640"/>
        <w:jc w:val="left"/>
        <w:rPr>
          <w:rFonts w:ascii="Times New Roman" w:eastAsia="方正仿宋_GBK" w:hAnsi="Times New Roman"/>
          <w:sz w:val="32"/>
          <w:szCs w:val="32"/>
        </w:rPr>
      </w:pPr>
      <w:r w:rsidRPr="00D46FE8">
        <w:rPr>
          <w:rFonts w:ascii="Times New Roman" w:eastAsia="方正仿宋_GBK" w:hAnsi="Times New Roman"/>
          <w:sz w:val="32"/>
          <w:szCs w:val="32"/>
        </w:rPr>
        <w:t>4</w:t>
      </w:r>
      <w:r w:rsidRPr="00D46FE8">
        <w:rPr>
          <w:rFonts w:ascii="Times New Roman" w:eastAsia="方正仿宋_GBK" w:hAnsi="Times New Roman"/>
          <w:sz w:val="32"/>
          <w:szCs w:val="32"/>
        </w:rPr>
        <w:t>、继续推进房地产业持续发展，</w:t>
      </w:r>
      <w:bookmarkStart w:id="1" w:name="_GoBack"/>
      <w:bookmarkEnd w:id="1"/>
      <w:r w:rsidRPr="00D46FE8">
        <w:rPr>
          <w:rFonts w:ascii="Times New Roman" w:eastAsia="方正仿宋_GBK" w:hAnsi="Times New Roman"/>
          <w:sz w:val="32"/>
          <w:szCs w:val="32"/>
        </w:rPr>
        <w:t>同时加强房地产项目的监督管理，确保全县房地产业健康持续发展。</w:t>
      </w:r>
    </w:p>
    <w:p w:rsidR="00BA5EA6" w:rsidRPr="00D46FE8" w:rsidRDefault="00BA5EA6" w:rsidP="00BA5EA6">
      <w:pPr>
        <w:autoSpaceDE w:val="0"/>
        <w:autoSpaceDN w:val="0"/>
        <w:adjustRightInd w:val="0"/>
        <w:ind w:left="198" w:firstLineChars="200" w:firstLine="640"/>
        <w:jc w:val="left"/>
        <w:rPr>
          <w:rFonts w:ascii="Times New Roman" w:eastAsia="方正仿宋_GBK" w:hAnsi="Times New Roman"/>
          <w:sz w:val="32"/>
          <w:szCs w:val="32"/>
        </w:rPr>
      </w:pPr>
      <w:r w:rsidRPr="00D46FE8">
        <w:rPr>
          <w:rFonts w:ascii="Times New Roman" w:eastAsia="方正仿宋_GBK" w:hAnsi="Times New Roman"/>
          <w:sz w:val="32"/>
          <w:szCs w:val="32"/>
        </w:rPr>
        <w:lastRenderedPageBreak/>
        <w:t>5</w:t>
      </w:r>
      <w:r w:rsidRPr="00D46FE8">
        <w:rPr>
          <w:rFonts w:ascii="Times New Roman" w:eastAsia="方正仿宋_GBK" w:hAnsi="Times New Roman"/>
          <w:sz w:val="32"/>
          <w:szCs w:val="32"/>
        </w:rPr>
        <w:t>、按照县委、县政府安排，做好生物制热电联厂项目、信德商务中心及游园的建设工作。</w:t>
      </w:r>
    </w:p>
    <w:p w:rsidR="00BA5EA6" w:rsidRPr="00D46FE8" w:rsidRDefault="00BA5EA6" w:rsidP="00BA5EA6">
      <w:pPr>
        <w:autoSpaceDE w:val="0"/>
        <w:autoSpaceDN w:val="0"/>
        <w:adjustRightInd w:val="0"/>
        <w:ind w:left="198" w:firstLineChars="200" w:firstLine="640"/>
        <w:jc w:val="left"/>
        <w:rPr>
          <w:rFonts w:ascii="Times New Roman" w:eastAsia="方正仿宋_GBK" w:hAnsi="Times New Roman"/>
          <w:sz w:val="32"/>
          <w:szCs w:val="32"/>
        </w:rPr>
      </w:pPr>
      <w:r w:rsidRPr="00D46FE8">
        <w:rPr>
          <w:rFonts w:ascii="Times New Roman" w:eastAsia="方正仿宋_GBK" w:hAnsi="Times New Roman"/>
          <w:sz w:val="32"/>
          <w:szCs w:val="32"/>
        </w:rPr>
        <w:t>6</w:t>
      </w:r>
      <w:r w:rsidRPr="00D46FE8">
        <w:rPr>
          <w:rFonts w:ascii="Times New Roman" w:eastAsia="方正仿宋_GBK" w:hAnsi="Times New Roman"/>
          <w:sz w:val="32"/>
          <w:szCs w:val="32"/>
        </w:rPr>
        <w:t>、做好建筑质量监督和安全监管工作。</w:t>
      </w:r>
    </w:p>
    <w:p w:rsidR="007C70D1" w:rsidRPr="00BA5EA6" w:rsidRDefault="007C70D1">
      <w:pPr>
        <w:rPr>
          <w:rFonts w:ascii="Times New Roman" w:eastAsia="方正仿宋_GBK" w:hAnsi="Times New Roman" w:cs="Times New Roman"/>
          <w:sz w:val="32"/>
          <w:szCs w:val="32"/>
        </w:rPr>
      </w:pPr>
    </w:p>
    <w:p w:rsidR="007C70D1" w:rsidRDefault="004766DD">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7C70D1" w:rsidRDefault="004766DD">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部门职责-工作活动绩效目标</w:t>
      </w:r>
      <w:bookmarkEnd w:id="0"/>
    </w:p>
    <w:tbl>
      <w:tblPr>
        <w:tblpPr w:leftFromText="180" w:rightFromText="180" w:vertAnchor="text" w:horzAnchor="page" w:tblpX="1553" w:tblpY="596"/>
        <w:tblOverlap w:val="nev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7C70D1">
        <w:trPr>
          <w:trHeight w:val="227"/>
          <w:tblHeader/>
        </w:trPr>
        <w:tc>
          <w:tcPr>
            <w:tcW w:w="10986" w:type="dxa"/>
            <w:gridSpan w:val="5"/>
            <w:tcBorders>
              <w:top w:val="single" w:sz="6" w:space="0" w:color="FFFFFF"/>
              <w:left w:val="single" w:sz="6" w:space="0" w:color="FFFFFF"/>
              <w:right w:val="single" w:sz="6" w:space="0" w:color="FFFFFF"/>
            </w:tcBorders>
            <w:vAlign w:val="center"/>
          </w:tcPr>
          <w:p w:rsidR="007C70D1" w:rsidRDefault="004766DD">
            <w:pPr>
              <w:spacing w:line="300" w:lineRule="exact"/>
              <w:jc w:val="left"/>
              <w:rPr>
                <w:rFonts w:ascii="方正小标宋_GBK" w:eastAsia="方正小标宋_GBK"/>
                <w:sz w:val="24"/>
              </w:rPr>
            </w:pPr>
            <w:r>
              <w:rPr>
                <w:rFonts w:ascii="方正小标宋_GBK" w:eastAsia="方正小标宋_GBK" w:hint="eastAsia"/>
                <w:sz w:val="24"/>
              </w:rPr>
              <w:t>威县城乡规划建设局</w:t>
            </w:r>
          </w:p>
        </w:tc>
        <w:tc>
          <w:tcPr>
            <w:tcW w:w="2948" w:type="dxa"/>
            <w:gridSpan w:val="4"/>
            <w:tcBorders>
              <w:top w:val="single" w:sz="6" w:space="0" w:color="FFFFFF"/>
              <w:left w:val="single" w:sz="6" w:space="0" w:color="FFFFFF"/>
              <w:right w:val="single" w:sz="6" w:space="0" w:color="FFFFFF"/>
            </w:tcBorders>
            <w:vAlign w:val="center"/>
          </w:tcPr>
          <w:p w:rsidR="007C70D1" w:rsidRDefault="004766DD">
            <w:pPr>
              <w:spacing w:line="300" w:lineRule="exact"/>
              <w:jc w:val="right"/>
              <w:rPr>
                <w:rFonts w:ascii="方正书宋_GBK" w:eastAsia="方正书宋_GBK"/>
                <w:sz w:val="24"/>
              </w:rPr>
            </w:pPr>
            <w:r>
              <w:rPr>
                <w:rFonts w:ascii="方正书宋_GBK" w:eastAsia="方正书宋_GBK" w:hint="eastAsia"/>
                <w:sz w:val="24"/>
              </w:rPr>
              <w:t>单位：万元</w:t>
            </w:r>
          </w:p>
        </w:tc>
      </w:tr>
      <w:tr w:rsidR="007C70D1">
        <w:trPr>
          <w:trHeight w:val="227"/>
          <w:tblHeader/>
        </w:trPr>
        <w:tc>
          <w:tcPr>
            <w:tcW w:w="2341" w:type="dxa"/>
            <w:vMerge w:val="restart"/>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评价标准</w:t>
            </w:r>
          </w:p>
        </w:tc>
      </w:tr>
      <w:tr w:rsidR="007C70D1">
        <w:trPr>
          <w:trHeight w:val="227"/>
          <w:tblHeader/>
        </w:trPr>
        <w:tc>
          <w:tcPr>
            <w:tcW w:w="2341" w:type="dxa"/>
            <w:vMerge/>
            <w:vAlign w:val="center"/>
          </w:tcPr>
          <w:p w:rsidR="007C70D1" w:rsidRDefault="007C70D1">
            <w:pPr>
              <w:spacing w:line="300" w:lineRule="exact"/>
              <w:jc w:val="left"/>
              <w:outlineLvl w:val="0"/>
            </w:pPr>
          </w:p>
        </w:tc>
        <w:tc>
          <w:tcPr>
            <w:tcW w:w="1276" w:type="dxa"/>
            <w:vMerge/>
            <w:vAlign w:val="center"/>
          </w:tcPr>
          <w:p w:rsidR="007C70D1" w:rsidRDefault="007C70D1">
            <w:pPr>
              <w:spacing w:line="300" w:lineRule="exact"/>
              <w:jc w:val="left"/>
              <w:outlineLvl w:val="0"/>
            </w:pPr>
          </w:p>
        </w:tc>
        <w:tc>
          <w:tcPr>
            <w:tcW w:w="2976" w:type="dxa"/>
            <w:vMerge/>
            <w:vAlign w:val="center"/>
          </w:tcPr>
          <w:p w:rsidR="007C70D1" w:rsidRDefault="007C70D1">
            <w:pPr>
              <w:spacing w:line="300" w:lineRule="exact"/>
              <w:jc w:val="left"/>
              <w:outlineLvl w:val="0"/>
            </w:pPr>
          </w:p>
        </w:tc>
        <w:tc>
          <w:tcPr>
            <w:tcW w:w="2976" w:type="dxa"/>
            <w:vMerge/>
            <w:vAlign w:val="center"/>
          </w:tcPr>
          <w:p w:rsidR="007C70D1" w:rsidRDefault="007C70D1">
            <w:pPr>
              <w:spacing w:line="300" w:lineRule="exact"/>
              <w:jc w:val="left"/>
              <w:outlineLvl w:val="0"/>
            </w:pPr>
          </w:p>
        </w:tc>
        <w:tc>
          <w:tcPr>
            <w:tcW w:w="1417" w:type="dxa"/>
            <w:vMerge/>
            <w:vAlign w:val="center"/>
          </w:tcPr>
          <w:p w:rsidR="007C70D1" w:rsidRDefault="007C70D1">
            <w:pPr>
              <w:spacing w:line="300" w:lineRule="exact"/>
              <w:jc w:val="left"/>
              <w:outlineLvl w:val="0"/>
            </w:pPr>
          </w:p>
        </w:tc>
        <w:tc>
          <w:tcPr>
            <w:tcW w:w="737"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差</w:t>
            </w:r>
          </w:p>
        </w:tc>
      </w:tr>
      <w:tr w:rsidR="007C70D1">
        <w:trPr>
          <w:trHeight w:val="227"/>
        </w:trPr>
        <w:tc>
          <w:tcPr>
            <w:tcW w:w="2341"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住房保障管理</w:t>
            </w:r>
          </w:p>
        </w:tc>
        <w:tc>
          <w:tcPr>
            <w:tcW w:w="12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10</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落实国家、省市住房保障政策；承办保障性安居工程资金安排有关事项；组织编制住房保障建设发展规划和年度计划并监督实施；指导住房建设和住房制度改革。</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进一步健全住房保障体系，稳妥推进住房制度改革，按照国家要求达到城镇住房保障工作目标。</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住房竣工率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保障性安居工程建设管理</w:t>
            </w:r>
          </w:p>
        </w:tc>
        <w:tc>
          <w:tcPr>
            <w:tcW w:w="1276" w:type="dxa"/>
            <w:vMerge w:val="restart"/>
            <w:vAlign w:val="center"/>
          </w:tcPr>
          <w:p w:rsidR="007C70D1" w:rsidRDefault="007C70D1">
            <w:pPr>
              <w:spacing w:line="300" w:lineRule="exact"/>
              <w:jc w:val="left"/>
              <w:rPr>
                <w:rFonts w:ascii="方正书宋_GBK" w:eastAsia="方正书宋_GBK"/>
              </w:rPr>
            </w:pP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研究制定保障性安居工程建设规划，拟定年度建设目标并监督实施；</w:t>
            </w:r>
            <w:proofErr w:type="gramStart"/>
            <w:r>
              <w:rPr>
                <w:rFonts w:ascii="方正书宋_GBK" w:eastAsia="方正书宋_GBK" w:hint="eastAsia"/>
              </w:rPr>
              <w:t>承担县保障</w:t>
            </w:r>
            <w:proofErr w:type="gramEnd"/>
            <w:r>
              <w:rPr>
                <w:rFonts w:ascii="方正书宋_GBK" w:eastAsia="方正书宋_GBK" w:hint="eastAsia"/>
              </w:rPr>
              <w:t>性安居工程领导小组办公室职责；</w:t>
            </w:r>
            <w:proofErr w:type="gramStart"/>
            <w:r>
              <w:rPr>
                <w:rFonts w:ascii="方正书宋_GBK" w:eastAsia="方正书宋_GBK" w:hint="eastAsia"/>
              </w:rPr>
              <w:t>承担县</w:t>
            </w:r>
            <w:proofErr w:type="gramEnd"/>
            <w:r>
              <w:rPr>
                <w:rFonts w:ascii="方正书宋_GBK" w:eastAsia="方正书宋_GBK" w:hint="eastAsia"/>
              </w:rPr>
              <w:t>棚户区改造项目；选聘和管</w:t>
            </w:r>
            <w:r>
              <w:rPr>
                <w:rFonts w:ascii="方正书宋_GBK" w:eastAsia="方正书宋_GBK" w:hint="eastAsia"/>
              </w:rPr>
              <w:lastRenderedPageBreak/>
              <w:t>理县级督查员；研究拟定保障性安居工程政策并监督实施，对项目分配、管理和运营情况监督指导</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完成城镇保障性安居工程年度建设任务，建立健全公平、公正、公开的分配机制和优质、高效管理服务机制，保障性住房及时分配到位。及时出台政</w:t>
            </w:r>
            <w:r>
              <w:rPr>
                <w:rFonts w:ascii="方正书宋_GBK" w:eastAsia="方正书宋_GBK" w:hint="eastAsia"/>
              </w:rPr>
              <w:lastRenderedPageBreak/>
              <w:t>策；妥善处理房改遗留问题，避免产生新的社会矛盾</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新增租赁补贴户数完成率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保障性住房竣工率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保障性住房开工率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lastRenderedPageBreak/>
              <w:t>城乡规划</w:t>
            </w:r>
          </w:p>
        </w:tc>
        <w:tc>
          <w:tcPr>
            <w:tcW w:w="12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29.1</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承办县政府委托的规划编制审查管理工作；综合协调与城乡总体规划相关的专业规划、专项规划。负责县城总体规划的审查管理工作，监督指导规划的实施。负责城市地形图测绘工作</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加强城乡规划管理，协调城乡空间布局，改善人居环境，促进城乡经济社会全面协调可持续发展。</w:t>
            </w:r>
          </w:p>
        </w:tc>
        <w:tc>
          <w:tcPr>
            <w:tcW w:w="1417" w:type="dxa"/>
            <w:vAlign w:val="center"/>
          </w:tcPr>
          <w:p w:rsidR="007C70D1" w:rsidRDefault="007C70D1">
            <w:pPr>
              <w:spacing w:line="300" w:lineRule="exact"/>
              <w:jc w:val="left"/>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城乡资源保护</w:t>
            </w:r>
          </w:p>
        </w:tc>
        <w:tc>
          <w:tcPr>
            <w:tcW w:w="1276" w:type="dxa"/>
            <w:vMerge w:val="restart"/>
            <w:vAlign w:val="center"/>
          </w:tcPr>
          <w:p w:rsidR="007C70D1" w:rsidRDefault="007C70D1">
            <w:pPr>
              <w:spacing w:line="300" w:lineRule="exact"/>
              <w:jc w:val="left"/>
              <w:rPr>
                <w:rFonts w:ascii="方正书宋_GBK" w:eastAsia="方正书宋_GBK"/>
              </w:rPr>
            </w:pP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城镇古树名木和风景名胜、历史文化名城和街区得到有效保护</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年度村镇规划编制完成率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&lt;75%</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城镇古树名木、风景名胜、历史文化名城和街区保护工程开工率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&lt;50%</w:t>
            </w:r>
          </w:p>
        </w:tc>
      </w:tr>
      <w:tr w:rsidR="007C70D1">
        <w:trPr>
          <w:trHeight w:val="227"/>
        </w:trPr>
        <w:tc>
          <w:tcPr>
            <w:tcW w:w="2341" w:type="dxa"/>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城乡规划方案审查报批</w:t>
            </w:r>
          </w:p>
        </w:tc>
        <w:tc>
          <w:tcPr>
            <w:tcW w:w="1276" w:type="dxa"/>
            <w:vAlign w:val="center"/>
          </w:tcPr>
          <w:p w:rsidR="007C70D1" w:rsidRDefault="007C70D1">
            <w:pPr>
              <w:spacing w:line="300" w:lineRule="exact"/>
              <w:jc w:val="left"/>
              <w:rPr>
                <w:rFonts w:ascii="方正书宋_GBK" w:eastAsia="方正书宋_GBK"/>
              </w:rPr>
            </w:pP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负责对全县各类建筑工作的方案审查，对建筑工程高度、体量、体形、间距、建筑色彩和风格进行规划控制；负责将审查项目方案提请县规划委员会审议。</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依法审查，加强和改进规划管理技术手段，以便更快更及时完成审查。</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规划审查率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&lt;75%</w:t>
            </w: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城乡规划制订与监</w:t>
            </w:r>
            <w:r>
              <w:rPr>
                <w:rFonts w:ascii="方正书宋_GBK" w:eastAsia="方正书宋_GBK" w:hint="eastAsia"/>
                <w:b/>
              </w:rPr>
              <w:lastRenderedPageBreak/>
              <w:t>督</w:t>
            </w:r>
          </w:p>
        </w:tc>
        <w:tc>
          <w:tcPr>
            <w:tcW w:w="1276" w:type="dxa"/>
            <w:vMerge w:val="restart"/>
            <w:vAlign w:val="center"/>
          </w:tcPr>
          <w:p w:rsidR="007C70D1" w:rsidRDefault="007C70D1">
            <w:pPr>
              <w:spacing w:line="300" w:lineRule="exact"/>
              <w:jc w:val="left"/>
              <w:rPr>
                <w:rFonts w:ascii="方正书宋_GBK" w:eastAsia="方正书宋_GBK"/>
              </w:rPr>
            </w:pP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负责组织全县城乡总体规划、</w:t>
            </w:r>
            <w:r>
              <w:rPr>
                <w:rFonts w:ascii="方正书宋_GBK" w:eastAsia="方正书宋_GBK" w:hint="eastAsia"/>
              </w:rPr>
              <w:lastRenderedPageBreak/>
              <w:t>控制性详细规划、城镇体系规划、近期建设规划的编制；综合协调与城乡总体规划相关的专业规划、专项规划。监督全县城乡规划实施；</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提高规划实施及监督管理的效</w:t>
            </w:r>
            <w:r>
              <w:rPr>
                <w:rFonts w:ascii="方正书宋_GBK" w:eastAsia="方正书宋_GBK" w:hint="eastAsia"/>
              </w:rPr>
              <w:lastRenderedPageBreak/>
              <w:t>能</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城乡规划编</w:t>
            </w:r>
            <w:r>
              <w:rPr>
                <w:rFonts w:ascii="方正书宋_GBK" w:eastAsia="方正书宋_GBK" w:hint="eastAsia"/>
              </w:rPr>
              <w:lastRenderedPageBreak/>
              <w:t>制进展情况</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完成</w:t>
            </w:r>
            <w:r>
              <w:rPr>
                <w:rFonts w:ascii="方正书宋_GBK" w:eastAsia="方正书宋_GBK" w:hint="eastAsia"/>
              </w:rPr>
              <w:lastRenderedPageBreak/>
              <w:t>报审稿</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基本</w:t>
            </w:r>
            <w:r>
              <w:rPr>
                <w:rFonts w:ascii="方正书宋_GBK" w:eastAsia="方正书宋_GBK" w:hint="eastAsia"/>
              </w:rPr>
              <w:lastRenderedPageBreak/>
              <w:t>完成本级规划编制工作</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完成</w:t>
            </w:r>
            <w:r>
              <w:rPr>
                <w:rFonts w:ascii="方正书宋_GBK" w:eastAsia="方正书宋_GBK" w:hint="eastAsia"/>
              </w:rPr>
              <w:lastRenderedPageBreak/>
              <w:t>初稿</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未开</w:t>
            </w:r>
            <w:r>
              <w:rPr>
                <w:rFonts w:ascii="方正书宋_GBK" w:eastAsia="方正书宋_GBK" w:hint="eastAsia"/>
              </w:rPr>
              <w:lastRenderedPageBreak/>
              <w:t>展</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参与各级、各部门规划编制的完成比例</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&lt;75%</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编制规划应用率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&lt;75%</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批后监管率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以上</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90%-95%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85%-90%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以下</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案件办结率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以上</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90%-95%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85%-90%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以下</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动态监测报告完成率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城乡测量、勘察</w:t>
            </w:r>
          </w:p>
        </w:tc>
        <w:tc>
          <w:tcPr>
            <w:tcW w:w="1276" w:type="dxa"/>
            <w:vAlign w:val="center"/>
          </w:tcPr>
          <w:p w:rsidR="007C70D1" w:rsidRDefault="007C70D1">
            <w:pPr>
              <w:spacing w:line="300" w:lineRule="exact"/>
              <w:jc w:val="left"/>
              <w:rPr>
                <w:rFonts w:ascii="方正书宋_GBK" w:eastAsia="方正书宋_GBK"/>
              </w:rPr>
            </w:pP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测绘是城乡规划编制的基础性、前期性的工作，为城乡规划提供基础数据。主要包括地形图测绘、放线测量、验线测量、竣工规划测量等。</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完成高水平的测绘工作，为城乡规划提供精确的一手资料，保障规划编制的科学性、现实性与可持续发展性</w:t>
            </w:r>
            <w:r>
              <w:rPr>
                <w:rFonts w:ascii="方正书宋_GBK" w:eastAsia="方正书宋_GBK"/>
              </w:rPr>
              <w:t>.</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作业效率与精准</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&lt;75%</w:t>
            </w:r>
          </w:p>
        </w:tc>
      </w:tr>
      <w:tr w:rsidR="007C70D1">
        <w:trPr>
          <w:trHeight w:val="227"/>
        </w:trPr>
        <w:tc>
          <w:tcPr>
            <w:tcW w:w="2341"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城乡建设管理</w:t>
            </w:r>
          </w:p>
        </w:tc>
        <w:tc>
          <w:tcPr>
            <w:tcW w:w="12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11.4</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负责市政公用设施建设、安全和应急管理；负责镇、乡村</w:t>
            </w:r>
            <w:proofErr w:type="gramStart"/>
            <w:r>
              <w:rPr>
                <w:rFonts w:ascii="方正书宋_GBK" w:eastAsia="方正书宋_GBK" w:hint="eastAsia"/>
              </w:rPr>
              <w:t>庄规划</w:t>
            </w:r>
            <w:proofErr w:type="gramEnd"/>
            <w:r>
              <w:rPr>
                <w:rFonts w:ascii="方正书宋_GBK" w:eastAsia="方正书宋_GBK" w:hint="eastAsia"/>
              </w:rPr>
              <w:t>的编制和实施；负责农村住房建设、住房安全和危房改造；改善小城镇和村庄人居环</w:t>
            </w:r>
            <w:r>
              <w:rPr>
                <w:rFonts w:ascii="方正书宋_GBK" w:eastAsia="方正书宋_GBK" w:hint="eastAsia"/>
              </w:rPr>
              <w:lastRenderedPageBreak/>
              <w:t>境。</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加强管理，提高城市承载能力和</w:t>
            </w:r>
            <w:proofErr w:type="gramStart"/>
            <w:r>
              <w:rPr>
                <w:rFonts w:ascii="方正书宋_GBK" w:eastAsia="方正书宋_GBK" w:hint="eastAsia"/>
              </w:rPr>
              <w:t>宜居</w:t>
            </w:r>
            <w:proofErr w:type="gramEnd"/>
            <w:r>
              <w:rPr>
                <w:rFonts w:ascii="方正书宋_GBK" w:eastAsia="方正书宋_GBK" w:hint="eastAsia"/>
              </w:rPr>
              <w:t>度。加强村镇建设，改善农村人居环境，实现城乡统筹发展。</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规划审查率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&lt;75%</w:t>
            </w: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lastRenderedPageBreak/>
              <w:t xml:space="preserve">　　市政公用设施建设与管理</w:t>
            </w:r>
          </w:p>
        </w:tc>
        <w:tc>
          <w:tcPr>
            <w:tcW w:w="12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5</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供热管网建设；开展供热管网安全监督检查；开展燃气行业安全监督检查；开展城市园林水域安全监管、公园和绿地技术评估和动态监测。对县城规划区内各种地下管线进行普查建档。</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建立完善城市地下管线综合管理信息系统，建设和完善各专业管线信息系统，做好基础资料的普查和数据采集。</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市政公用事业基础设施建设及维护工作目标完成率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城市公园绿地、城市植树、城镇古树名木和风景名胜资源保护完成率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星级公园、园林式单位、小区创建数量（</w:t>
            </w:r>
            <w:proofErr w:type="gramStart"/>
            <w:r>
              <w:rPr>
                <w:rFonts w:ascii="方正书宋_GBK" w:eastAsia="方正书宋_GBK" w:hint="eastAsia"/>
              </w:rPr>
              <w:t>个</w:t>
            </w:r>
            <w:proofErr w:type="gramEnd"/>
            <w:r>
              <w:rPr>
                <w:rFonts w:ascii="方正书宋_GBK" w:eastAsia="方正书宋_GBK" w:hint="eastAsia"/>
              </w:rPr>
              <w:t>）</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2</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0</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管线普查率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以上</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80%-90%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7C70D1">
        <w:trPr>
          <w:trHeight w:val="227"/>
        </w:trPr>
        <w:tc>
          <w:tcPr>
            <w:tcW w:w="2341" w:type="dxa"/>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推进城镇化建设</w:t>
            </w:r>
          </w:p>
        </w:tc>
        <w:tc>
          <w:tcPr>
            <w:tcW w:w="12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1308</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负责农村住房建设、住房安全和危房改造，推进小城镇村庄人居环境改善；推进城镇化工作，开展城乡规划提升、基础设施建设、公共服务设施配套、环境容貌治理、建筑能效提升等工作，全面提升县城建设质量和水平。</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加强村镇建设，改善农村人居环境，实现城乡统筹发展</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危房改造完成率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建筑业、房地产市场监</w:t>
            </w:r>
            <w:r>
              <w:rPr>
                <w:rFonts w:ascii="方正书宋_GBK" w:eastAsia="方正书宋_GBK" w:hint="eastAsia"/>
                <w:b/>
              </w:rPr>
              <w:lastRenderedPageBreak/>
              <w:t>管</w:t>
            </w:r>
          </w:p>
        </w:tc>
        <w:tc>
          <w:tcPr>
            <w:tcW w:w="1276" w:type="dxa"/>
            <w:vAlign w:val="center"/>
          </w:tcPr>
          <w:p w:rsidR="007C70D1" w:rsidRDefault="007C70D1">
            <w:pPr>
              <w:spacing w:line="300" w:lineRule="exact"/>
              <w:jc w:val="left"/>
              <w:rPr>
                <w:rFonts w:ascii="方正书宋_GBK" w:eastAsia="方正书宋_GBK"/>
              </w:rPr>
            </w:pP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规范建筑市场、工程造价管理</w:t>
            </w:r>
            <w:r>
              <w:rPr>
                <w:rFonts w:ascii="方正书宋_GBK" w:eastAsia="方正书宋_GBK" w:hint="eastAsia"/>
              </w:rPr>
              <w:lastRenderedPageBreak/>
              <w:t>及建筑工程招投标管理，落实工程建设、建筑业行业发展政策、规章制度</w:t>
            </w:r>
            <w:r>
              <w:rPr>
                <w:rFonts w:ascii="方正书宋_GBK" w:eastAsia="方正书宋_GBK"/>
              </w:rPr>
              <w:t>;</w:t>
            </w:r>
            <w:r>
              <w:rPr>
                <w:rFonts w:ascii="方正书宋_GBK" w:eastAsia="方正书宋_GBK" w:hint="eastAsia"/>
              </w:rPr>
              <w:t>落实房地产市场监管、房地产开发、房屋租赁、房屋面积管理、房地产估价与经纪管理、物业管理的规章制度。</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规范建筑市场各方主体行为，</w:t>
            </w:r>
            <w:r>
              <w:rPr>
                <w:rFonts w:ascii="方正书宋_GBK" w:eastAsia="方正书宋_GBK" w:hint="eastAsia"/>
              </w:rPr>
              <w:lastRenderedPageBreak/>
              <w:t>促进建筑市场健康发展。提高建筑工程质量，减少建筑安全生产事故，提高行业水平。加强市场监测，促进全县房地产市场持续健康发展。</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改造完成率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r>
              <w:rPr>
                <w:rFonts w:ascii="方正书宋_GBK" w:eastAsia="方正书宋_GBK"/>
              </w:rPr>
              <w:lastRenderedPageBreak/>
              <w:t>%</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lastRenderedPageBreak/>
              <w:t>&lt;90</w:t>
            </w:r>
            <w:r>
              <w:rPr>
                <w:rFonts w:ascii="方正书宋_GBK" w:eastAsia="方正书宋_GBK"/>
              </w:rPr>
              <w:lastRenderedPageBreak/>
              <w:t>%</w:t>
            </w:r>
          </w:p>
        </w:tc>
      </w:tr>
      <w:tr w:rsidR="007C70D1">
        <w:trPr>
          <w:trHeight w:val="227"/>
        </w:trPr>
        <w:tc>
          <w:tcPr>
            <w:tcW w:w="2341" w:type="dxa"/>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lastRenderedPageBreak/>
              <w:t xml:space="preserve">　　全县建筑业管理</w:t>
            </w:r>
          </w:p>
        </w:tc>
        <w:tc>
          <w:tcPr>
            <w:tcW w:w="1276" w:type="dxa"/>
            <w:vAlign w:val="center"/>
          </w:tcPr>
          <w:p w:rsidR="007C70D1" w:rsidRDefault="007C70D1">
            <w:pPr>
              <w:spacing w:line="300" w:lineRule="exact"/>
              <w:jc w:val="left"/>
              <w:rPr>
                <w:rFonts w:ascii="方正书宋_GBK" w:eastAsia="方正书宋_GBK"/>
              </w:rPr>
            </w:pP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落实工程建设、建筑业发展政策、规章制度，规范建筑市场各方主体行为。</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规范建筑市场各方主体行为，促进建筑市场健康发展。</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执行农民工工资保证金落实程度</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&lt;75%</w:t>
            </w:r>
          </w:p>
        </w:tc>
      </w:tr>
      <w:tr w:rsidR="007C70D1">
        <w:trPr>
          <w:trHeight w:val="227"/>
        </w:trPr>
        <w:tc>
          <w:tcPr>
            <w:tcW w:w="2341" w:type="dxa"/>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房地产市场监管</w:t>
            </w:r>
          </w:p>
        </w:tc>
        <w:tc>
          <w:tcPr>
            <w:tcW w:w="1276" w:type="dxa"/>
            <w:vAlign w:val="center"/>
          </w:tcPr>
          <w:p w:rsidR="007C70D1" w:rsidRDefault="007C70D1">
            <w:pPr>
              <w:spacing w:line="300" w:lineRule="exact"/>
              <w:jc w:val="left"/>
              <w:rPr>
                <w:rFonts w:ascii="方正书宋_GBK" w:eastAsia="方正书宋_GBK"/>
              </w:rPr>
            </w:pP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规范房地产市场秩序、监督管理房地产市场。落实房地产市场监管、房地产开发、房屋租赁、房屋面积管理、房地产估价与经纪管理、物业管理、房屋征收的规章制度。</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加强市场监测，促进全县房地产市场持续健康发展</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房地产市场统计分析工作完成及时率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建筑工程质量安全监管</w:t>
            </w:r>
          </w:p>
        </w:tc>
        <w:tc>
          <w:tcPr>
            <w:tcW w:w="12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30</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落实工程建设地方标准、工程质量、建筑安全生产的政策和规章制度，组织编制城乡建设防灾减灾规划，组织或参与工程重大质量、安全事故的调查处理，减少建筑安全生产事故，提高行业水平。</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加强工程勘察设计行业管理，提高建筑工程勘察设计质量水平</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工程质量投诉结案率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&lt;85%</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建筑工程施工现场达标率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&lt;80%</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施工图设计文件审查率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r w:rsidR="007C70D1">
        <w:trPr>
          <w:trHeight w:val="227"/>
        </w:trPr>
        <w:tc>
          <w:tcPr>
            <w:tcW w:w="2341"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推进建筑节能</w:t>
            </w:r>
          </w:p>
        </w:tc>
        <w:tc>
          <w:tcPr>
            <w:tcW w:w="1276" w:type="dxa"/>
            <w:vAlign w:val="center"/>
          </w:tcPr>
          <w:p w:rsidR="007C70D1" w:rsidRDefault="007C70D1">
            <w:pPr>
              <w:spacing w:line="300" w:lineRule="exact"/>
              <w:jc w:val="left"/>
              <w:rPr>
                <w:rFonts w:ascii="方正书宋_GBK" w:eastAsia="方正书宋_GBK"/>
              </w:rPr>
            </w:pP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加强城镇新建建筑节能监管；开展既有建筑节能改造；推动绿色建筑发展；推进可再生能源建筑应用；开展建筑节能和</w:t>
            </w:r>
            <w:r>
              <w:rPr>
                <w:rFonts w:ascii="方正书宋_GBK" w:eastAsia="方正书宋_GBK" w:hint="eastAsia"/>
              </w:rPr>
              <w:lastRenderedPageBreak/>
              <w:t>绿色建筑示范建设；加强新型墙</w:t>
            </w:r>
            <w:proofErr w:type="gramStart"/>
            <w:r>
              <w:rPr>
                <w:rFonts w:ascii="方正书宋_GBK" w:eastAsia="方正书宋_GBK" w:hint="eastAsia"/>
              </w:rPr>
              <w:t>体材</w:t>
            </w:r>
            <w:proofErr w:type="gramEnd"/>
            <w:r>
              <w:rPr>
                <w:rFonts w:ascii="方正书宋_GBK" w:eastAsia="方正书宋_GBK" w:hint="eastAsia"/>
              </w:rPr>
              <w:t>料、新技术和新建筑节能产品的推广应用。</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提高建设科技对住房城乡建设发展的贡献率，充分发挥建筑节能在城镇节能减排中的作用；提高新型墙</w:t>
            </w:r>
            <w:proofErr w:type="gramStart"/>
            <w:r>
              <w:rPr>
                <w:rFonts w:ascii="方正书宋_GBK" w:eastAsia="方正书宋_GBK" w:hint="eastAsia"/>
              </w:rPr>
              <w:t>体材</w:t>
            </w:r>
            <w:proofErr w:type="gramEnd"/>
            <w:r>
              <w:rPr>
                <w:rFonts w:ascii="方正书宋_GBK" w:eastAsia="方正书宋_GBK" w:hint="eastAsia"/>
              </w:rPr>
              <w:t>料、新技</w:t>
            </w:r>
            <w:r>
              <w:rPr>
                <w:rFonts w:ascii="方正书宋_GBK" w:eastAsia="方正书宋_GBK" w:hint="eastAsia"/>
              </w:rPr>
              <w:lastRenderedPageBreak/>
              <w:t>术和新建筑节能产品在新建建筑中应用。</w:t>
            </w:r>
          </w:p>
        </w:tc>
        <w:tc>
          <w:tcPr>
            <w:tcW w:w="1417" w:type="dxa"/>
            <w:vAlign w:val="center"/>
          </w:tcPr>
          <w:p w:rsidR="007C70D1" w:rsidRDefault="007C70D1">
            <w:pPr>
              <w:spacing w:line="300" w:lineRule="exact"/>
              <w:jc w:val="left"/>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lastRenderedPageBreak/>
              <w:t xml:space="preserve">　　推进建筑节能</w:t>
            </w:r>
          </w:p>
        </w:tc>
        <w:tc>
          <w:tcPr>
            <w:tcW w:w="1276" w:type="dxa"/>
            <w:vMerge w:val="restart"/>
            <w:vAlign w:val="center"/>
          </w:tcPr>
          <w:p w:rsidR="007C70D1" w:rsidRDefault="007C70D1">
            <w:pPr>
              <w:spacing w:line="300" w:lineRule="exact"/>
              <w:jc w:val="left"/>
              <w:rPr>
                <w:rFonts w:ascii="方正书宋_GBK" w:eastAsia="方正书宋_GBK"/>
              </w:rPr>
            </w:pP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引导推进建筑节能和绿色建筑，组织实施各项建筑节能、绿色建筑、新技术、新体系应用示范项目。推动绿色建筑及住宅产业化，引导建造方式转变，提升住宅性能和品质。</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提高既有居住建筑的保温性能。经改造的公共建筑达到节能标准。积累新技术新体系应用经验</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建筑应用可再生能源面积比例</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43%</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42%</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41%</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&lt;41%</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既有居住建筑供热计量及节能改造任务完成面积比例</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&lt;85%</w:t>
            </w: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建筑节能材料管理</w:t>
            </w:r>
          </w:p>
        </w:tc>
        <w:tc>
          <w:tcPr>
            <w:tcW w:w="1276" w:type="dxa"/>
            <w:vMerge w:val="restart"/>
            <w:vAlign w:val="center"/>
          </w:tcPr>
          <w:p w:rsidR="007C70D1" w:rsidRDefault="007C70D1">
            <w:pPr>
              <w:spacing w:line="300" w:lineRule="exact"/>
              <w:jc w:val="left"/>
              <w:rPr>
                <w:rFonts w:ascii="方正书宋_GBK" w:eastAsia="方正书宋_GBK"/>
              </w:rPr>
            </w:pP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组织建筑节能材料产品推广应用，定期发布建设机械材料设备淘汰、限制使用和推广应用产品目录，定期开展建材市场秩序专项整治。开展绿色建材星级评价工作。</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建材市场秩序规范，绿色建材得到广泛应用，低效耗能建设机械及时淘汰</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节能环保建筑产品推广应用项目个数</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&lt;10</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抽检在建工程数量（</w:t>
            </w:r>
            <w:proofErr w:type="gramStart"/>
            <w:r>
              <w:rPr>
                <w:rFonts w:ascii="方正书宋_GBK" w:eastAsia="方正书宋_GBK" w:hint="eastAsia"/>
              </w:rPr>
              <w:t>个</w:t>
            </w:r>
            <w:proofErr w:type="gramEnd"/>
            <w:r>
              <w:rPr>
                <w:rFonts w:ascii="方正书宋_GBK" w:eastAsia="方正书宋_GBK" w:hint="eastAsia"/>
              </w:rPr>
              <w:t>）</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&lt;20</w:t>
            </w:r>
          </w:p>
        </w:tc>
      </w:tr>
      <w:tr w:rsidR="007C70D1">
        <w:trPr>
          <w:trHeight w:val="227"/>
        </w:trPr>
        <w:tc>
          <w:tcPr>
            <w:tcW w:w="2341" w:type="dxa"/>
            <w:vAlign w:val="center"/>
          </w:tcPr>
          <w:p w:rsidR="007C70D1" w:rsidRDefault="004766DD">
            <w:pPr>
              <w:spacing w:line="300" w:lineRule="exact"/>
              <w:jc w:val="center"/>
              <w:rPr>
                <w:rFonts w:ascii="方正书宋_GBK" w:eastAsia="方正书宋_GBK"/>
                <w:b/>
              </w:rPr>
            </w:pPr>
            <w:r>
              <w:rPr>
                <w:rFonts w:ascii="方正书宋_GBK" w:eastAsia="方正书宋_GBK" w:hint="eastAsia"/>
                <w:b/>
              </w:rPr>
              <w:t>政务管理</w:t>
            </w:r>
          </w:p>
        </w:tc>
        <w:tc>
          <w:tcPr>
            <w:tcW w:w="12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105</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负责</w:t>
            </w:r>
            <w:proofErr w:type="gramStart"/>
            <w:r>
              <w:rPr>
                <w:rFonts w:ascii="方正书宋_GBK" w:eastAsia="方正书宋_GBK" w:hint="eastAsia"/>
              </w:rPr>
              <w:t>规</w:t>
            </w:r>
            <w:proofErr w:type="gramEnd"/>
            <w:r>
              <w:rPr>
                <w:rFonts w:ascii="方正书宋_GBK" w:eastAsia="方正书宋_GBK" w:hint="eastAsia"/>
              </w:rPr>
              <w:t>建系统综合业务管理和机关综合事务管理。</w:t>
            </w:r>
          </w:p>
        </w:tc>
        <w:tc>
          <w:tcPr>
            <w:tcW w:w="2976"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加强全县城乡规划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tc>
        <w:tc>
          <w:tcPr>
            <w:tcW w:w="1417" w:type="dxa"/>
            <w:vAlign w:val="center"/>
          </w:tcPr>
          <w:p w:rsidR="007C70D1" w:rsidRDefault="007C70D1">
            <w:pPr>
              <w:spacing w:line="300" w:lineRule="exact"/>
              <w:jc w:val="left"/>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c>
          <w:tcPr>
            <w:tcW w:w="737" w:type="dxa"/>
            <w:vAlign w:val="center"/>
          </w:tcPr>
          <w:p w:rsidR="007C70D1" w:rsidRDefault="007C70D1">
            <w:pPr>
              <w:spacing w:line="300" w:lineRule="exact"/>
              <w:jc w:val="center"/>
              <w:rPr>
                <w:rFonts w:ascii="方正书宋_GBK" w:eastAsia="方正书宋_GBK"/>
              </w:rPr>
            </w:pP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30</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组织编制城乡规划建设的行业</w:t>
            </w:r>
            <w:r>
              <w:rPr>
                <w:rFonts w:ascii="方正书宋_GBK" w:eastAsia="方正书宋_GBK" w:hint="eastAsia"/>
              </w:rPr>
              <w:lastRenderedPageBreak/>
              <w:t>发展规划，拟定相关法规规章草案政策和行业技术标准，推进全系统依法行政，加强行政许可管理，开展建设行业对外合作交流；拟订适合县情的住房政策，指导住房建设和住房制度改革；组织编制科技发展规划，推进建设科技发展。</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加强干部队伍建设，激励工作</w:t>
            </w:r>
            <w:r>
              <w:rPr>
                <w:rFonts w:ascii="方正书宋_GBK" w:eastAsia="方正书宋_GBK" w:hint="eastAsia"/>
              </w:rPr>
              <w:lastRenderedPageBreak/>
              <w:t>热情，提高整体业务素质和行业管理服务水平</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lastRenderedPageBreak/>
              <w:t>服务对象满</w:t>
            </w:r>
            <w:r>
              <w:rPr>
                <w:rFonts w:ascii="方正书宋_GBK" w:eastAsia="方正书宋_GBK" w:hint="eastAsia"/>
              </w:rPr>
              <w:lastRenderedPageBreak/>
              <w:t>意度</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lastRenderedPageBreak/>
              <w:t>&lt;85</w:t>
            </w:r>
            <w:r>
              <w:rPr>
                <w:rFonts w:ascii="方正书宋_GBK" w:eastAsia="方正书宋_GBK"/>
              </w:rPr>
              <w:lastRenderedPageBreak/>
              <w:t>%</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行政应诉率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&lt;80%</w:t>
            </w:r>
          </w:p>
        </w:tc>
      </w:tr>
      <w:tr w:rsidR="007C70D1">
        <w:trPr>
          <w:trHeight w:val="227"/>
        </w:trPr>
        <w:tc>
          <w:tcPr>
            <w:tcW w:w="2341" w:type="dxa"/>
            <w:vMerge w:val="restart"/>
            <w:vAlign w:val="center"/>
          </w:tcPr>
          <w:p w:rsidR="007C70D1" w:rsidRDefault="004766DD">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Merge w:val="restart"/>
            <w:vAlign w:val="center"/>
          </w:tcPr>
          <w:p w:rsidR="007C70D1" w:rsidRDefault="007C70D1">
            <w:pPr>
              <w:spacing w:line="300" w:lineRule="exact"/>
              <w:jc w:val="left"/>
              <w:rPr>
                <w:rFonts w:ascii="方正书宋_GBK" w:eastAsia="方正书宋_GBK"/>
              </w:rPr>
            </w:pP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推进城乡规划建设行业信息化建设、建设系统综合管理等综合事务工作，保证行政工作高效有序运行。</w:t>
            </w:r>
          </w:p>
        </w:tc>
        <w:tc>
          <w:tcPr>
            <w:tcW w:w="2976" w:type="dxa"/>
            <w:vMerge w:val="restart"/>
            <w:vAlign w:val="center"/>
          </w:tcPr>
          <w:p w:rsidR="007C70D1" w:rsidRDefault="004766DD">
            <w:pPr>
              <w:spacing w:line="300" w:lineRule="exact"/>
              <w:jc w:val="left"/>
              <w:rPr>
                <w:rFonts w:ascii="方正书宋_GBK" w:eastAsia="方正书宋_GBK"/>
              </w:rPr>
            </w:pPr>
            <w:r>
              <w:rPr>
                <w:rFonts w:ascii="方正书宋_GBK" w:eastAsia="方正书宋_GBK" w:hint="eastAsia"/>
              </w:rPr>
              <w:t>提升机关及行业信息化水平，保障各类业务系统安全稳定运行；</w:t>
            </w: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按时接待完成率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以上</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90%-95%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85%-90%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以下</w:t>
            </w:r>
          </w:p>
        </w:tc>
      </w:tr>
      <w:tr w:rsidR="007C70D1">
        <w:trPr>
          <w:trHeight w:val="227"/>
        </w:trPr>
        <w:tc>
          <w:tcPr>
            <w:tcW w:w="2341" w:type="dxa"/>
            <w:vMerge/>
            <w:vAlign w:val="center"/>
          </w:tcPr>
          <w:p w:rsidR="007C70D1" w:rsidRDefault="007C70D1">
            <w:pPr>
              <w:spacing w:line="300" w:lineRule="exact"/>
              <w:jc w:val="left"/>
              <w:rPr>
                <w:rFonts w:ascii="方正书宋_GBK" w:eastAsia="方正书宋_GBK"/>
                <w:b/>
              </w:rPr>
            </w:pPr>
          </w:p>
        </w:tc>
        <w:tc>
          <w:tcPr>
            <w:tcW w:w="12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2976" w:type="dxa"/>
            <w:vMerge/>
            <w:vAlign w:val="center"/>
          </w:tcPr>
          <w:p w:rsidR="007C70D1" w:rsidRDefault="007C70D1">
            <w:pPr>
              <w:spacing w:line="300" w:lineRule="exact"/>
              <w:jc w:val="left"/>
              <w:rPr>
                <w:rFonts w:ascii="方正书宋_GBK" w:eastAsia="方正书宋_GBK"/>
              </w:rPr>
            </w:pPr>
          </w:p>
        </w:tc>
        <w:tc>
          <w:tcPr>
            <w:tcW w:w="1417" w:type="dxa"/>
            <w:vAlign w:val="center"/>
          </w:tcPr>
          <w:p w:rsidR="007C70D1" w:rsidRDefault="004766DD">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C70D1" w:rsidRDefault="004766DD">
            <w:pPr>
              <w:spacing w:line="300" w:lineRule="exact"/>
              <w:jc w:val="center"/>
              <w:rPr>
                <w:rFonts w:ascii="方正书宋_GBK" w:eastAsia="方正书宋_GBK"/>
              </w:rPr>
            </w:pPr>
            <w:r>
              <w:rPr>
                <w:rFonts w:ascii="方正书宋_GBK" w:eastAsia="方正书宋_GBK"/>
              </w:rPr>
              <w:t>&lt;90%</w:t>
            </w:r>
          </w:p>
        </w:tc>
      </w:tr>
    </w:tbl>
    <w:p w:rsidR="007C70D1" w:rsidRDefault="007C70D1">
      <w:pPr>
        <w:autoSpaceDE w:val="0"/>
        <w:autoSpaceDN w:val="0"/>
        <w:adjustRightInd w:val="0"/>
        <w:ind w:firstLineChars="200" w:firstLine="640"/>
        <w:jc w:val="left"/>
        <w:rPr>
          <w:rFonts w:ascii="黑体" w:eastAsia="黑体" w:hAnsi="黑体" w:cs="Times New Roman"/>
          <w:sz w:val="32"/>
          <w:szCs w:val="32"/>
        </w:rPr>
      </w:pPr>
    </w:p>
    <w:p w:rsidR="007C70D1" w:rsidRDefault="004766DD">
      <w:pPr>
        <w:numPr>
          <w:ilvl w:val="0"/>
          <w:numId w:val="1"/>
        </w:num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政府采购预算情况</w:t>
      </w:r>
    </w:p>
    <w:p w:rsidR="007C70D1" w:rsidRDefault="004766DD">
      <w:pPr>
        <w:outlineLvl w:val="0"/>
        <w:rPr>
          <w:rFonts w:ascii="Times New Roman" w:eastAsia="方正仿宋_GBK" w:hAnsi="Times New Roman" w:cs="Times New Roman"/>
          <w:sz w:val="32"/>
          <w:szCs w:val="24"/>
        </w:rPr>
      </w:pPr>
      <w:r>
        <w:rPr>
          <w:rFonts w:ascii="Times New Roman" w:eastAsia="方正仿宋_GBK" w:hAnsi="Times New Roman" w:cs="Times New Roman"/>
          <w:sz w:val="32"/>
          <w:szCs w:val="24"/>
        </w:rPr>
        <w:t>201</w:t>
      </w:r>
      <w:r>
        <w:rPr>
          <w:rFonts w:ascii="Times New Roman" w:eastAsia="方正仿宋_GBK" w:hAnsi="Times New Roman" w:cs="Times New Roman" w:hint="eastAsia"/>
          <w:sz w:val="32"/>
          <w:szCs w:val="24"/>
        </w:rPr>
        <w:t>9</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局</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4</w:t>
      </w:r>
      <w:r>
        <w:rPr>
          <w:rFonts w:ascii="Times New Roman" w:eastAsia="方正仿宋_GBK" w:hAnsi="Times New Roman" w:cs="Times New Roman"/>
          <w:sz w:val="32"/>
          <w:szCs w:val="24"/>
        </w:rPr>
        <w:t>万元。具体内容见下表。</w:t>
      </w:r>
    </w:p>
    <w:p w:rsidR="007C70D1" w:rsidRDefault="004766DD">
      <w:pPr>
        <w:jc w:val="center"/>
        <w:outlineLvl w:val="0"/>
        <w:rPr>
          <w:rFonts w:ascii="方正小标宋_GBK" w:eastAsia="方正小标宋_GBK" w:hAnsi="Calibri" w:cs="Times New Roman"/>
          <w:sz w:val="32"/>
        </w:rPr>
      </w:pPr>
      <w:bookmarkStart w:id="2" w:name="_Toc504489153"/>
      <w:r>
        <w:rPr>
          <w:rFonts w:ascii="方正小标宋_GBK" w:eastAsia="方正小标宋_GBK" w:hAnsi="Calibri" w:cs="Times New Roman" w:hint="eastAsia"/>
          <w:sz w:val="32"/>
        </w:rPr>
        <w:t>部门政府采购预算</w:t>
      </w:r>
      <w:bookmarkEnd w:id="2"/>
    </w:p>
    <w:tbl>
      <w:tblPr>
        <w:tblpPr w:leftFromText="180" w:rightFromText="180" w:vertAnchor="text" w:horzAnchor="page" w:tblpX="2661" w:tblpY="1048"/>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099"/>
        <w:gridCol w:w="992"/>
        <w:gridCol w:w="850"/>
        <w:gridCol w:w="334"/>
        <w:gridCol w:w="720"/>
        <w:gridCol w:w="789"/>
        <w:gridCol w:w="709"/>
        <w:gridCol w:w="1134"/>
        <w:gridCol w:w="709"/>
        <w:gridCol w:w="850"/>
        <w:gridCol w:w="1276"/>
      </w:tblGrid>
      <w:tr w:rsidR="007C70D1">
        <w:trPr>
          <w:trHeight w:val="340"/>
        </w:trPr>
        <w:tc>
          <w:tcPr>
            <w:tcW w:w="2270"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单位名称（项目名称）</w:t>
            </w:r>
          </w:p>
        </w:tc>
        <w:tc>
          <w:tcPr>
            <w:tcW w:w="1099"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预算资金</w:t>
            </w:r>
          </w:p>
        </w:tc>
        <w:tc>
          <w:tcPr>
            <w:tcW w:w="992"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采购物品名称</w:t>
            </w:r>
          </w:p>
        </w:tc>
        <w:tc>
          <w:tcPr>
            <w:tcW w:w="850"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采购物品目录</w:t>
            </w:r>
            <w:r>
              <w:rPr>
                <w:rFonts w:ascii="仿宋" w:eastAsia="仿宋" w:hAnsi="仿宋" w:cs="Arial Unicode MS" w:hint="eastAsia"/>
                <w:color w:val="000000"/>
                <w:kern w:val="0"/>
              </w:rPr>
              <w:lastRenderedPageBreak/>
              <w:t>序号</w:t>
            </w:r>
          </w:p>
        </w:tc>
        <w:tc>
          <w:tcPr>
            <w:tcW w:w="334"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lastRenderedPageBreak/>
              <w:t>数量</w:t>
            </w:r>
            <w:r>
              <w:rPr>
                <w:rFonts w:ascii="仿宋" w:eastAsia="仿宋" w:hAnsi="仿宋" w:cs="Arial Unicode MS" w:hint="eastAsia"/>
                <w:color w:val="000000"/>
                <w:kern w:val="0"/>
              </w:rPr>
              <w:lastRenderedPageBreak/>
              <w:t>单位</w:t>
            </w:r>
          </w:p>
        </w:tc>
        <w:tc>
          <w:tcPr>
            <w:tcW w:w="720"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lastRenderedPageBreak/>
              <w:t>单价</w:t>
            </w:r>
          </w:p>
        </w:tc>
        <w:tc>
          <w:tcPr>
            <w:tcW w:w="789"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数量</w:t>
            </w:r>
          </w:p>
        </w:tc>
        <w:tc>
          <w:tcPr>
            <w:tcW w:w="4678" w:type="dxa"/>
            <w:gridSpan w:val="5"/>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政府采购计划金额</w:t>
            </w:r>
          </w:p>
        </w:tc>
      </w:tr>
      <w:tr w:rsidR="007C70D1">
        <w:trPr>
          <w:trHeight w:val="340"/>
        </w:trPr>
        <w:tc>
          <w:tcPr>
            <w:tcW w:w="2270" w:type="dxa"/>
            <w:vMerge/>
          </w:tcPr>
          <w:p w:rsidR="007C70D1" w:rsidRDefault="007C70D1">
            <w:pPr>
              <w:spacing w:line="300" w:lineRule="exact"/>
              <w:jc w:val="left"/>
              <w:outlineLvl w:val="0"/>
              <w:rPr>
                <w:rFonts w:ascii="仿宋" w:eastAsia="仿宋" w:hAnsi="仿宋" w:cs="Arial Unicode MS"/>
                <w:color w:val="000000"/>
                <w:kern w:val="0"/>
              </w:rPr>
            </w:pPr>
          </w:p>
        </w:tc>
        <w:tc>
          <w:tcPr>
            <w:tcW w:w="1099" w:type="dxa"/>
            <w:vMerge/>
          </w:tcPr>
          <w:p w:rsidR="007C70D1" w:rsidRDefault="007C70D1">
            <w:pPr>
              <w:spacing w:line="300" w:lineRule="exact"/>
              <w:jc w:val="left"/>
              <w:outlineLvl w:val="0"/>
              <w:rPr>
                <w:rFonts w:ascii="仿宋" w:eastAsia="仿宋" w:hAnsi="仿宋" w:cs="Arial Unicode MS"/>
                <w:color w:val="000000"/>
                <w:kern w:val="0"/>
              </w:rPr>
            </w:pPr>
          </w:p>
        </w:tc>
        <w:tc>
          <w:tcPr>
            <w:tcW w:w="992" w:type="dxa"/>
            <w:vMerge/>
          </w:tcPr>
          <w:p w:rsidR="007C70D1" w:rsidRDefault="007C70D1">
            <w:pPr>
              <w:spacing w:line="300" w:lineRule="exact"/>
              <w:jc w:val="left"/>
              <w:outlineLvl w:val="0"/>
              <w:rPr>
                <w:rFonts w:ascii="仿宋" w:eastAsia="仿宋" w:hAnsi="仿宋" w:cs="Arial Unicode MS"/>
                <w:color w:val="000000"/>
                <w:kern w:val="0"/>
              </w:rPr>
            </w:pPr>
          </w:p>
        </w:tc>
        <w:tc>
          <w:tcPr>
            <w:tcW w:w="850" w:type="dxa"/>
            <w:vMerge/>
          </w:tcPr>
          <w:p w:rsidR="007C70D1" w:rsidRDefault="007C70D1">
            <w:pPr>
              <w:spacing w:line="300" w:lineRule="exact"/>
              <w:jc w:val="left"/>
              <w:outlineLvl w:val="0"/>
              <w:rPr>
                <w:rFonts w:ascii="仿宋" w:eastAsia="仿宋" w:hAnsi="仿宋" w:cs="Arial Unicode MS"/>
                <w:color w:val="000000"/>
                <w:kern w:val="0"/>
              </w:rPr>
            </w:pPr>
          </w:p>
        </w:tc>
        <w:tc>
          <w:tcPr>
            <w:tcW w:w="334" w:type="dxa"/>
            <w:vMerge/>
          </w:tcPr>
          <w:p w:rsidR="007C70D1" w:rsidRDefault="007C70D1">
            <w:pPr>
              <w:spacing w:line="300" w:lineRule="exact"/>
              <w:jc w:val="left"/>
              <w:outlineLvl w:val="0"/>
              <w:rPr>
                <w:rFonts w:ascii="仿宋" w:eastAsia="仿宋" w:hAnsi="仿宋" w:cs="Arial Unicode MS"/>
                <w:color w:val="000000"/>
                <w:kern w:val="0"/>
              </w:rPr>
            </w:pPr>
          </w:p>
        </w:tc>
        <w:tc>
          <w:tcPr>
            <w:tcW w:w="720" w:type="dxa"/>
            <w:vMerge/>
          </w:tcPr>
          <w:p w:rsidR="007C70D1" w:rsidRDefault="007C70D1">
            <w:pPr>
              <w:spacing w:line="300" w:lineRule="exact"/>
              <w:jc w:val="left"/>
              <w:outlineLvl w:val="0"/>
              <w:rPr>
                <w:rFonts w:ascii="仿宋" w:eastAsia="仿宋" w:hAnsi="仿宋" w:cs="Arial Unicode MS"/>
                <w:color w:val="000000"/>
                <w:kern w:val="0"/>
              </w:rPr>
            </w:pPr>
          </w:p>
        </w:tc>
        <w:tc>
          <w:tcPr>
            <w:tcW w:w="789" w:type="dxa"/>
            <w:vMerge/>
          </w:tcPr>
          <w:p w:rsidR="007C70D1" w:rsidRDefault="007C70D1">
            <w:pPr>
              <w:spacing w:line="300" w:lineRule="exact"/>
              <w:jc w:val="left"/>
              <w:outlineLvl w:val="0"/>
              <w:rPr>
                <w:rFonts w:ascii="仿宋" w:eastAsia="仿宋" w:hAnsi="仿宋" w:cs="Arial Unicode MS"/>
                <w:color w:val="000000"/>
                <w:kern w:val="0"/>
              </w:rPr>
            </w:pPr>
          </w:p>
        </w:tc>
        <w:tc>
          <w:tcPr>
            <w:tcW w:w="709"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总计</w:t>
            </w:r>
          </w:p>
        </w:tc>
        <w:tc>
          <w:tcPr>
            <w:tcW w:w="3969" w:type="dxa"/>
            <w:gridSpan w:val="4"/>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 xml:space="preserve">　</w:t>
            </w:r>
          </w:p>
        </w:tc>
      </w:tr>
      <w:tr w:rsidR="007C70D1">
        <w:trPr>
          <w:trHeight w:val="340"/>
        </w:trPr>
        <w:tc>
          <w:tcPr>
            <w:tcW w:w="2270" w:type="dxa"/>
            <w:vMerge/>
          </w:tcPr>
          <w:p w:rsidR="007C70D1" w:rsidRDefault="007C70D1">
            <w:pPr>
              <w:spacing w:line="300" w:lineRule="exact"/>
              <w:jc w:val="left"/>
              <w:outlineLvl w:val="0"/>
              <w:rPr>
                <w:rFonts w:ascii="仿宋" w:eastAsia="仿宋" w:hAnsi="仿宋" w:cs="Arial Unicode MS"/>
                <w:color w:val="000000"/>
                <w:kern w:val="0"/>
              </w:rPr>
            </w:pPr>
          </w:p>
        </w:tc>
        <w:tc>
          <w:tcPr>
            <w:tcW w:w="1099" w:type="dxa"/>
            <w:vMerge/>
          </w:tcPr>
          <w:p w:rsidR="007C70D1" w:rsidRDefault="007C70D1">
            <w:pPr>
              <w:spacing w:line="300" w:lineRule="exact"/>
              <w:jc w:val="left"/>
              <w:outlineLvl w:val="0"/>
              <w:rPr>
                <w:rFonts w:ascii="仿宋" w:eastAsia="仿宋" w:hAnsi="仿宋" w:cs="Arial Unicode MS"/>
                <w:color w:val="000000"/>
                <w:kern w:val="0"/>
              </w:rPr>
            </w:pPr>
          </w:p>
        </w:tc>
        <w:tc>
          <w:tcPr>
            <w:tcW w:w="992" w:type="dxa"/>
            <w:vMerge/>
          </w:tcPr>
          <w:p w:rsidR="007C70D1" w:rsidRDefault="007C70D1">
            <w:pPr>
              <w:spacing w:line="300" w:lineRule="exact"/>
              <w:jc w:val="left"/>
              <w:outlineLvl w:val="0"/>
              <w:rPr>
                <w:rFonts w:ascii="仿宋" w:eastAsia="仿宋" w:hAnsi="仿宋" w:cs="Arial Unicode MS"/>
                <w:color w:val="000000"/>
                <w:kern w:val="0"/>
              </w:rPr>
            </w:pPr>
          </w:p>
        </w:tc>
        <w:tc>
          <w:tcPr>
            <w:tcW w:w="850" w:type="dxa"/>
            <w:vMerge/>
          </w:tcPr>
          <w:p w:rsidR="007C70D1" w:rsidRDefault="007C70D1">
            <w:pPr>
              <w:spacing w:line="300" w:lineRule="exact"/>
              <w:jc w:val="left"/>
              <w:outlineLvl w:val="0"/>
              <w:rPr>
                <w:rFonts w:ascii="仿宋" w:eastAsia="仿宋" w:hAnsi="仿宋" w:cs="Arial Unicode MS"/>
                <w:color w:val="000000"/>
                <w:kern w:val="0"/>
              </w:rPr>
            </w:pPr>
          </w:p>
        </w:tc>
        <w:tc>
          <w:tcPr>
            <w:tcW w:w="334" w:type="dxa"/>
            <w:vMerge/>
          </w:tcPr>
          <w:p w:rsidR="007C70D1" w:rsidRDefault="007C70D1">
            <w:pPr>
              <w:spacing w:line="300" w:lineRule="exact"/>
              <w:jc w:val="left"/>
              <w:outlineLvl w:val="0"/>
              <w:rPr>
                <w:rFonts w:ascii="仿宋" w:eastAsia="仿宋" w:hAnsi="仿宋" w:cs="Arial Unicode MS"/>
                <w:color w:val="000000"/>
                <w:kern w:val="0"/>
              </w:rPr>
            </w:pPr>
          </w:p>
        </w:tc>
        <w:tc>
          <w:tcPr>
            <w:tcW w:w="720" w:type="dxa"/>
            <w:vMerge/>
          </w:tcPr>
          <w:p w:rsidR="007C70D1" w:rsidRDefault="007C70D1">
            <w:pPr>
              <w:spacing w:line="300" w:lineRule="exact"/>
              <w:jc w:val="left"/>
              <w:outlineLvl w:val="0"/>
              <w:rPr>
                <w:rFonts w:ascii="仿宋" w:eastAsia="仿宋" w:hAnsi="仿宋" w:cs="Arial Unicode MS"/>
                <w:color w:val="000000"/>
                <w:kern w:val="0"/>
              </w:rPr>
            </w:pPr>
          </w:p>
        </w:tc>
        <w:tc>
          <w:tcPr>
            <w:tcW w:w="789" w:type="dxa"/>
            <w:vMerge/>
          </w:tcPr>
          <w:p w:rsidR="007C70D1" w:rsidRDefault="007C70D1">
            <w:pPr>
              <w:spacing w:line="300" w:lineRule="exact"/>
              <w:jc w:val="left"/>
              <w:outlineLvl w:val="0"/>
              <w:rPr>
                <w:rFonts w:ascii="仿宋" w:eastAsia="仿宋" w:hAnsi="仿宋" w:cs="Arial Unicode MS"/>
                <w:color w:val="000000"/>
                <w:kern w:val="0"/>
              </w:rPr>
            </w:pPr>
          </w:p>
        </w:tc>
        <w:tc>
          <w:tcPr>
            <w:tcW w:w="709" w:type="dxa"/>
            <w:vMerge/>
          </w:tcPr>
          <w:p w:rsidR="007C70D1" w:rsidRDefault="007C70D1">
            <w:pPr>
              <w:spacing w:line="300" w:lineRule="exact"/>
              <w:jc w:val="left"/>
              <w:outlineLvl w:val="0"/>
              <w:rPr>
                <w:rFonts w:ascii="仿宋" w:eastAsia="仿宋" w:hAnsi="仿宋" w:cs="Arial Unicode MS"/>
                <w:color w:val="000000"/>
                <w:kern w:val="0"/>
              </w:rPr>
            </w:pPr>
          </w:p>
        </w:tc>
        <w:tc>
          <w:tcPr>
            <w:tcW w:w="1134"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公共财政预算拨款</w:t>
            </w:r>
          </w:p>
        </w:tc>
        <w:tc>
          <w:tcPr>
            <w:tcW w:w="709"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基金预算拨款</w:t>
            </w:r>
          </w:p>
        </w:tc>
        <w:tc>
          <w:tcPr>
            <w:tcW w:w="850"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财政专户核拨资金</w:t>
            </w:r>
          </w:p>
        </w:tc>
        <w:tc>
          <w:tcPr>
            <w:tcW w:w="1276" w:type="dxa"/>
            <w:vMerge w:val="restart"/>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其他来源收入安排</w:t>
            </w:r>
          </w:p>
        </w:tc>
      </w:tr>
      <w:tr w:rsidR="007C70D1">
        <w:trPr>
          <w:trHeight w:val="682"/>
        </w:trPr>
        <w:tc>
          <w:tcPr>
            <w:tcW w:w="2270" w:type="dxa"/>
            <w:vMerge/>
          </w:tcPr>
          <w:p w:rsidR="007C70D1" w:rsidRDefault="007C70D1">
            <w:pPr>
              <w:spacing w:line="300" w:lineRule="exact"/>
              <w:jc w:val="left"/>
              <w:outlineLvl w:val="0"/>
              <w:rPr>
                <w:rFonts w:ascii="仿宋" w:eastAsia="仿宋" w:hAnsi="仿宋" w:cs="Arial Unicode MS"/>
                <w:color w:val="000000"/>
                <w:kern w:val="0"/>
              </w:rPr>
            </w:pPr>
          </w:p>
        </w:tc>
        <w:tc>
          <w:tcPr>
            <w:tcW w:w="1099" w:type="dxa"/>
            <w:vMerge/>
          </w:tcPr>
          <w:p w:rsidR="007C70D1" w:rsidRDefault="007C70D1">
            <w:pPr>
              <w:spacing w:line="300" w:lineRule="exact"/>
              <w:jc w:val="left"/>
              <w:outlineLvl w:val="0"/>
              <w:rPr>
                <w:rFonts w:ascii="仿宋" w:eastAsia="仿宋" w:hAnsi="仿宋" w:cs="Arial Unicode MS"/>
                <w:color w:val="000000"/>
                <w:kern w:val="0"/>
              </w:rPr>
            </w:pPr>
          </w:p>
        </w:tc>
        <w:tc>
          <w:tcPr>
            <w:tcW w:w="992" w:type="dxa"/>
            <w:vMerge/>
          </w:tcPr>
          <w:p w:rsidR="007C70D1" w:rsidRDefault="007C70D1">
            <w:pPr>
              <w:spacing w:line="300" w:lineRule="exact"/>
              <w:jc w:val="left"/>
              <w:outlineLvl w:val="0"/>
              <w:rPr>
                <w:rFonts w:ascii="仿宋" w:eastAsia="仿宋" w:hAnsi="仿宋" w:cs="Arial Unicode MS"/>
                <w:color w:val="000000"/>
                <w:kern w:val="0"/>
              </w:rPr>
            </w:pPr>
          </w:p>
        </w:tc>
        <w:tc>
          <w:tcPr>
            <w:tcW w:w="850" w:type="dxa"/>
            <w:vMerge/>
          </w:tcPr>
          <w:p w:rsidR="007C70D1" w:rsidRDefault="007C70D1">
            <w:pPr>
              <w:spacing w:line="300" w:lineRule="exact"/>
              <w:jc w:val="left"/>
              <w:outlineLvl w:val="0"/>
              <w:rPr>
                <w:rFonts w:ascii="仿宋" w:eastAsia="仿宋" w:hAnsi="仿宋" w:cs="Arial Unicode MS"/>
                <w:color w:val="000000"/>
                <w:kern w:val="0"/>
              </w:rPr>
            </w:pPr>
          </w:p>
        </w:tc>
        <w:tc>
          <w:tcPr>
            <w:tcW w:w="334" w:type="dxa"/>
            <w:vMerge/>
          </w:tcPr>
          <w:p w:rsidR="007C70D1" w:rsidRDefault="007C70D1">
            <w:pPr>
              <w:spacing w:line="300" w:lineRule="exact"/>
              <w:jc w:val="left"/>
              <w:outlineLvl w:val="0"/>
              <w:rPr>
                <w:rFonts w:ascii="仿宋" w:eastAsia="仿宋" w:hAnsi="仿宋" w:cs="Arial Unicode MS"/>
                <w:color w:val="000000"/>
                <w:kern w:val="0"/>
              </w:rPr>
            </w:pPr>
          </w:p>
        </w:tc>
        <w:tc>
          <w:tcPr>
            <w:tcW w:w="720" w:type="dxa"/>
            <w:vMerge/>
          </w:tcPr>
          <w:p w:rsidR="007C70D1" w:rsidRDefault="007C70D1">
            <w:pPr>
              <w:spacing w:line="300" w:lineRule="exact"/>
              <w:jc w:val="left"/>
              <w:outlineLvl w:val="0"/>
              <w:rPr>
                <w:rFonts w:ascii="仿宋" w:eastAsia="仿宋" w:hAnsi="仿宋" w:cs="Arial Unicode MS"/>
                <w:color w:val="000000"/>
                <w:kern w:val="0"/>
              </w:rPr>
            </w:pPr>
          </w:p>
        </w:tc>
        <w:tc>
          <w:tcPr>
            <w:tcW w:w="789" w:type="dxa"/>
            <w:vMerge/>
          </w:tcPr>
          <w:p w:rsidR="007C70D1" w:rsidRDefault="007C70D1">
            <w:pPr>
              <w:spacing w:line="300" w:lineRule="exact"/>
              <w:jc w:val="left"/>
              <w:outlineLvl w:val="0"/>
              <w:rPr>
                <w:rFonts w:ascii="仿宋" w:eastAsia="仿宋" w:hAnsi="仿宋" w:cs="Arial Unicode MS"/>
                <w:color w:val="000000"/>
                <w:kern w:val="0"/>
              </w:rPr>
            </w:pPr>
          </w:p>
        </w:tc>
        <w:tc>
          <w:tcPr>
            <w:tcW w:w="709" w:type="dxa"/>
            <w:vMerge/>
          </w:tcPr>
          <w:p w:rsidR="007C70D1" w:rsidRDefault="007C70D1">
            <w:pPr>
              <w:spacing w:line="300" w:lineRule="exact"/>
              <w:jc w:val="left"/>
              <w:outlineLvl w:val="0"/>
              <w:rPr>
                <w:rFonts w:ascii="仿宋" w:eastAsia="仿宋" w:hAnsi="仿宋" w:cs="Arial Unicode MS"/>
                <w:color w:val="000000"/>
                <w:kern w:val="0"/>
              </w:rPr>
            </w:pPr>
          </w:p>
        </w:tc>
        <w:tc>
          <w:tcPr>
            <w:tcW w:w="1134" w:type="dxa"/>
            <w:vMerge/>
          </w:tcPr>
          <w:p w:rsidR="007C70D1" w:rsidRDefault="007C70D1">
            <w:pPr>
              <w:spacing w:line="300" w:lineRule="exact"/>
              <w:jc w:val="left"/>
              <w:outlineLvl w:val="0"/>
              <w:rPr>
                <w:rFonts w:ascii="仿宋" w:eastAsia="仿宋" w:hAnsi="仿宋" w:cs="Arial Unicode MS"/>
                <w:color w:val="000000"/>
                <w:kern w:val="0"/>
              </w:rPr>
            </w:pPr>
          </w:p>
        </w:tc>
        <w:tc>
          <w:tcPr>
            <w:tcW w:w="709" w:type="dxa"/>
            <w:vMerge/>
          </w:tcPr>
          <w:p w:rsidR="007C70D1" w:rsidRDefault="007C70D1">
            <w:pPr>
              <w:spacing w:line="300" w:lineRule="exact"/>
              <w:jc w:val="left"/>
              <w:outlineLvl w:val="0"/>
              <w:rPr>
                <w:rFonts w:ascii="仿宋" w:eastAsia="仿宋" w:hAnsi="仿宋" w:cs="Arial Unicode MS"/>
                <w:color w:val="000000"/>
                <w:kern w:val="0"/>
              </w:rPr>
            </w:pPr>
          </w:p>
        </w:tc>
        <w:tc>
          <w:tcPr>
            <w:tcW w:w="850" w:type="dxa"/>
            <w:vMerge/>
          </w:tcPr>
          <w:p w:rsidR="007C70D1" w:rsidRDefault="007C70D1">
            <w:pPr>
              <w:spacing w:line="300" w:lineRule="exact"/>
              <w:jc w:val="left"/>
              <w:outlineLvl w:val="0"/>
              <w:rPr>
                <w:rFonts w:ascii="仿宋" w:eastAsia="仿宋" w:hAnsi="仿宋" w:cs="Arial Unicode MS"/>
                <w:color w:val="000000"/>
                <w:kern w:val="0"/>
              </w:rPr>
            </w:pPr>
          </w:p>
        </w:tc>
        <w:tc>
          <w:tcPr>
            <w:tcW w:w="1276" w:type="dxa"/>
            <w:vMerge/>
          </w:tcPr>
          <w:p w:rsidR="007C70D1" w:rsidRDefault="007C70D1">
            <w:pPr>
              <w:spacing w:line="300" w:lineRule="exact"/>
              <w:jc w:val="left"/>
              <w:outlineLvl w:val="0"/>
              <w:rPr>
                <w:rFonts w:ascii="仿宋" w:eastAsia="仿宋" w:hAnsi="仿宋" w:cs="Arial Unicode MS"/>
                <w:color w:val="000000"/>
                <w:kern w:val="0"/>
              </w:rPr>
            </w:pPr>
          </w:p>
        </w:tc>
      </w:tr>
      <w:tr w:rsidR="007C70D1">
        <w:trPr>
          <w:trHeight w:val="340"/>
        </w:trPr>
        <w:tc>
          <w:tcPr>
            <w:tcW w:w="2270"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威县城乡规划建设局</w:t>
            </w:r>
          </w:p>
        </w:tc>
        <w:tc>
          <w:tcPr>
            <w:tcW w:w="1099"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2.5</w:t>
            </w:r>
          </w:p>
        </w:tc>
        <w:tc>
          <w:tcPr>
            <w:tcW w:w="992" w:type="dxa"/>
            <w:vAlign w:val="center"/>
          </w:tcPr>
          <w:p w:rsidR="007C70D1" w:rsidRDefault="004766DD">
            <w:pPr>
              <w:widowControl/>
              <w:jc w:val="lef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rPr>
              <w:t>[A020101]计算机设备及软件</w:t>
            </w:r>
          </w:p>
        </w:tc>
        <w:tc>
          <w:tcPr>
            <w:tcW w:w="850"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A0201</w:t>
            </w:r>
          </w:p>
        </w:tc>
        <w:tc>
          <w:tcPr>
            <w:tcW w:w="334"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台</w:t>
            </w:r>
          </w:p>
        </w:tc>
        <w:tc>
          <w:tcPr>
            <w:tcW w:w="720" w:type="dxa"/>
            <w:vAlign w:val="center"/>
          </w:tcPr>
          <w:p w:rsidR="007C70D1" w:rsidRDefault="004766DD">
            <w:pPr>
              <w:widowControl/>
              <w:jc w:val="righ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lang w:bidi="ar"/>
              </w:rPr>
              <w:t>0.4</w:t>
            </w:r>
          </w:p>
        </w:tc>
        <w:tc>
          <w:tcPr>
            <w:tcW w:w="789" w:type="dxa"/>
            <w:vAlign w:val="center"/>
          </w:tcPr>
          <w:p w:rsidR="007C70D1" w:rsidRDefault="004766DD">
            <w:pPr>
              <w:widowControl/>
              <w:jc w:val="righ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lang w:bidi="ar"/>
              </w:rPr>
              <w:t>5.00</w:t>
            </w:r>
          </w:p>
        </w:tc>
        <w:tc>
          <w:tcPr>
            <w:tcW w:w="709" w:type="dxa"/>
            <w:vAlign w:val="center"/>
          </w:tcPr>
          <w:p w:rsidR="007C70D1" w:rsidRDefault="007C70D1">
            <w:pPr>
              <w:spacing w:line="300" w:lineRule="exact"/>
              <w:jc w:val="center"/>
              <w:outlineLvl w:val="0"/>
              <w:rPr>
                <w:rFonts w:ascii="仿宋" w:eastAsia="仿宋" w:hAnsi="仿宋" w:cs="Arial Unicode MS"/>
                <w:color w:val="000000"/>
                <w:kern w:val="0"/>
              </w:rPr>
            </w:pPr>
          </w:p>
        </w:tc>
        <w:tc>
          <w:tcPr>
            <w:tcW w:w="1134"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2</w:t>
            </w:r>
          </w:p>
        </w:tc>
        <w:tc>
          <w:tcPr>
            <w:tcW w:w="709" w:type="dxa"/>
            <w:vAlign w:val="center"/>
          </w:tcPr>
          <w:p w:rsidR="007C70D1" w:rsidRDefault="007C70D1">
            <w:pPr>
              <w:spacing w:line="300" w:lineRule="exact"/>
              <w:jc w:val="center"/>
              <w:outlineLvl w:val="0"/>
              <w:rPr>
                <w:rFonts w:ascii="仿宋" w:eastAsia="仿宋" w:hAnsi="仿宋" w:cs="Arial Unicode MS"/>
                <w:color w:val="000000"/>
                <w:kern w:val="0"/>
              </w:rPr>
            </w:pPr>
          </w:p>
        </w:tc>
        <w:tc>
          <w:tcPr>
            <w:tcW w:w="850" w:type="dxa"/>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 xml:space="preserve">　</w:t>
            </w:r>
          </w:p>
        </w:tc>
        <w:tc>
          <w:tcPr>
            <w:tcW w:w="1276" w:type="dxa"/>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 xml:space="preserve">　</w:t>
            </w:r>
          </w:p>
        </w:tc>
      </w:tr>
      <w:tr w:rsidR="007C70D1">
        <w:trPr>
          <w:trHeight w:val="340"/>
        </w:trPr>
        <w:tc>
          <w:tcPr>
            <w:tcW w:w="2270"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威县城乡规划建设局</w:t>
            </w:r>
          </w:p>
        </w:tc>
        <w:tc>
          <w:tcPr>
            <w:tcW w:w="1099"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2</w:t>
            </w:r>
          </w:p>
        </w:tc>
        <w:tc>
          <w:tcPr>
            <w:tcW w:w="992" w:type="dxa"/>
            <w:vAlign w:val="center"/>
          </w:tcPr>
          <w:p w:rsidR="007C70D1" w:rsidRDefault="004766DD">
            <w:pPr>
              <w:widowControl/>
              <w:jc w:val="lef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rPr>
              <w:t>[A020523]制冷空调设备</w:t>
            </w:r>
          </w:p>
        </w:tc>
        <w:tc>
          <w:tcPr>
            <w:tcW w:w="850"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[A020523]</w:t>
            </w:r>
          </w:p>
        </w:tc>
        <w:tc>
          <w:tcPr>
            <w:tcW w:w="334"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台</w:t>
            </w:r>
          </w:p>
        </w:tc>
        <w:tc>
          <w:tcPr>
            <w:tcW w:w="720" w:type="dxa"/>
            <w:vAlign w:val="center"/>
          </w:tcPr>
          <w:p w:rsidR="007C70D1" w:rsidRDefault="004766DD">
            <w:pPr>
              <w:widowControl/>
              <w:jc w:val="righ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lang w:bidi="ar"/>
              </w:rPr>
              <w:t>0.25</w:t>
            </w:r>
          </w:p>
        </w:tc>
        <w:tc>
          <w:tcPr>
            <w:tcW w:w="789" w:type="dxa"/>
            <w:vAlign w:val="center"/>
          </w:tcPr>
          <w:p w:rsidR="007C70D1" w:rsidRDefault="004766DD">
            <w:pPr>
              <w:widowControl/>
              <w:jc w:val="righ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lang w:bidi="ar"/>
              </w:rPr>
              <w:t>4.00</w:t>
            </w:r>
          </w:p>
        </w:tc>
        <w:tc>
          <w:tcPr>
            <w:tcW w:w="709" w:type="dxa"/>
            <w:vAlign w:val="center"/>
          </w:tcPr>
          <w:p w:rsidR="007C70D1" w:rsidRDefault="007C70D1">
            <w:pPr>
              <w:spacing w:line="300" w:lineRule="exact"/>
              <w:jc w:val="center"/>
              <w:outlineLvl w:val="0"/>
              <w:rPr>
                <w:rFonts w:ascii="仿宋" w:eastAsia="仿宋" w:hAnsi="仿宋" w:cs="Arial Unicode MS"/>
                <w:color w:val="000000"/>
                <w:kern w:val="0"/>
              </w:rPr>
            </w:pPr>
          </w:p>
        </w:tc>
        <w:tc>
          <w:tcPr>
            <w:tcW w:w="1134"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1</w:t>
            </w:r>
          </w:p>
        </w:tc>
        <w:tc>
          <w:tcPr>
            <w:tcW w:w="709" w:type="dxa"/>
            <w:vAlign w:val="center"/>
          </w:tcPr>
          <w:p w:rsidR="007C70D1" w:rsidRDefault="007C70D1">
            <w:pPr>
              <w:spacing w:line="300" w:lineRule="exact"/>
              <w:jc w:val="center"/>
              <w:outlineLvl w:val="0"/>
              <w:rPr>
                <w:rFonts w:ascii="仿宋" w:eastAsia="仿宋" w:hAnsi="仿宋" w:cs="Arial Unicode MS"/>
                <w:color w:val="000000"/>
                <w:kern w:val="0"/>
              </w:rPr>
            </w:pPr>
          </w:p>
        </w:tc>
        <w:tc>
          <w:tcPr>
            <w:tcW w:w="850" w:type="dxa"/>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 xml:space="preserve">　</w:t>
            </w:r>
          </w:p>
        </w:tc>
        <w:tc>
          <w:tcPr>
            <w:tcW w:w="1276" w:type="dxa"/>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 xml:space="preserve">　</w:t>
            </w:r>
          </w:p>
        </w:tc>
      </w:tr>
      <w:tr w:rsidR="007C70D1">
        <w:trPr>
          <w:trHeight w:val="340"/>
        </w:trPr>
        <w:tc>
          <w:tcPr>
            <w:tcW w:w="2270"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威县城乡规划建设局</w:t>
            </w:r>
          </w:p>
        </w:tc>
        <w:tc>
          <w:tcPr>
            <w:tcW w:w="1099"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3</w:t>
            </w:r>
          </w:p>
        </w:tc>
        <w:tc>
          <w:tcPr>
            <w:tcW w:w="992" w:type="dxa"/>
            <w:vAlign w:val="center"/>
          </w:tcPr>
          <w:p w:rsidR="007C70D1" w:rsidRDefault="004766DD">
            <w:pPr>
              <w:widowControl/>
              <w:jc w:val="lef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rPr>
              <w:t>[A06]家具用具</w:t>
            </w:r>
          </w:p>
        </w:tc>
        <w:tc>
          <w:tcPr>
            <w:tcW w:w="850"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A06</w:t>
            </w:r>
          </w:p>
        </w:tc>
        <w:tc>
          <w:tcPr>
            <w:tcW w:w="334"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件</w:t>
            </w:r>
          </w:p>
        </w:tc>
        <w:tc>
          <w:tcPr>
            <w:tcW w:w="720" w:type="dxa"/>
            <w:vAlign w:val="center"/>
          </w:tcPr>
          <w:p w:rsidR="007C70D1" w:rsidRDefault="004766DD">
            <w:pPr>
              <w:widowControl/>
              <w:jc w:val="righ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lang w:bidi="ar"/>
              </w:rPr>
              <w:t>0.02</w:t>
            </w:r>
          </w:p>
        </w:tc>
        <w:tc>
          <w:tcPr>
            <w:tcW w:w="789" w:type="dxa"/>
            <w:vAlign w:val="center"/>
          </w:tcPr>
          <w:p w:rsidR="007C70D1" w:rsidRDefault="004766DD">
            <w:pPr>
              <w:widowControl/>
              <w:jc w:val="right"/>
              <w:textAlignment w:val="center"/>
              <w:rPr>
                <w:rFonts w:ascii="仿宋" w:eastAsia="仿宋" w:hAnsi="仿宋" w:cs="Arial Unicode MS"/>
                <w:color w:val="000000"/>
                <w:kern w:val="0"/>
              </w:rPr>
            </w:pPr>
            <w:r>
              <w:rPr>
                <w:rFonts w:ascii="宋体" w:eastAsia="宋体" w:hAnsi="宋体" w:cs="宋体" w:hint="eastAsia"/>
                <w:color w:val="000000"/>
                <w:kern w:val="0"/>
                <w:sz w:val="18"/>
                <w:szCs w:val="18"/>
                <w:lang w:bidi="ar"/>
              </w:rPr>
              <w:t>50.00</w:t>
            </w:r>
          </w:p>
        </w:tc>
        <w:tc>
          <w:tcPr>
            <w:tcW w:w="709" w:type="dxa"/>
            <w:vAlign w:val="center"/>
          </w:tcPr>
          <w:p w:rsidR="007C70D1" w:rsidRDefault="007C70D1">
            <w:pPr>
              <w:spacing w:line="300" w:lineRule="exact"/>
              <w:jc w:val="center"/>
              <w:outlineLvl w:val="0"/>
              <w:rPr>
                <w:rFonts w:ascii="仿宋" w:eastAsia="仿宋" w:hAnsi="仿宋" w:cs="Arial Unicode MS"/>
                <w:color w:val="000000"/>
                <w:kern w:val="0"/>
              </w:rPr>
            </w:pPr>
          </w:p>
        </w:tc>
        <w:tc>
          <w:tcPr>
            <w:tcW w:w="1134" w:type="dxa"/>
            <w:vAlign w:val="center"/>
          </w:tcPr>
          <w:p w:rsidR="007C70D1" w:rsidRDefault="004766DD">
            <w:pPr>
              <w:spacing w:line="300" w:lineRule="exact"/>
              <w:jc w:val="center"/>
              <w:outlineLvl w:val="0"/>
              <w:rPr>
                <w:rFonts w:ascii="仿宋" w:eastAsia="仿宋" w:hAnsi="仿宋" w:cs="Arial Unicode MS"/>
                <w:color w:val="000000"/>
                <w:kern w:val="0"/>
              </w:rPr>
            </w:pPr>
            <w:r>
              <w:rPr>
                <w:rFonts w:ascii="仿宋" w:eastAsia="仿宋" w:hAnsi="仿宋" w:cs="Arial Unicode MS" w:hint="eastAsia"/>
                <w:color w:val="000000"/>
                <w:kern w:val="0"/>
              </w:rPr>
              <w:t>1</w:t>
            </w:r>
          </w:p>
        </w:tc>
        <w:tc>
          <w:tcPr>
            <w:tcW w:w="709" w:type="dxa"/>
            <w:vAlign w:val="center"/>
          </w:tcPr>
          <w:p w:rsidR="007C70D1" w:rsidRDefault="007C70D1">
            <w:pPr>
              <w:spacing w:line="300" w:lineRule="exact"/>
              <w:jc w:val="center"/>
              <w:outlineLvl w:val="0"/>
              <w:rPr>
                <w:rFonts w:ascii="仿宋" w:eastAsia="仿宋" w:hAnsi="仿宋" w:cs="Arial Unicode MS"/>
                <w:color w:val="000000"/>
                <w:kern w:val="0"/>
              </w:rPr>
            </w:pPr>
          </w:p>
        </w:tc>
        <w:tc>
          <w:tcPr>
            <w:tcW w:w="850" w:type="dxa"/>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 xml:space="preserve">　</w:t>
            </w:r>
          </w:p>
        </w:tc>
        <w:tc>
          <w:tcPr>
            <w:tcW w:w="1276" w:type="dxa"/>
          </w:tcPr>
          <w:p w:rsidR="007C70D1" w:rsidRDefault="004766DD">
            <w:pPr>
              <w:spacing w:line="300" w:lineRule="exact"/>
              <w:jc w:val="left"/>
              <w:outlineLvl w:val="0"/>
              <w:rPr>
                <w:rFonts w:ascii="仿宋" w:eastAsia="仿宋" w:hAnsi="仿宋" w:cs="Arial Unicode MS"/>
                <w:color w:val="000000"/>
                <w:kern w:val="0"/>
              </w:rPr>
            </w:pPr>
            <w:r>
              <w:rPr>
                <w:rFonts w:ascii="仿宋" w:eastAsia="仿宋" w:hAnsi="仿宋" w:cs="Arial Unicode MS" w:hint="eastAsia"/>
                <w:color w:val="000000"/>
                <w:kern w:val="0"/>
              </w:rPr>
              <w:t xml:space="preserve">　</w:t>
            </w:r>
          </w:p>
        </w:tc>
      </w:tr>
    </w:tbl>
    <w:p w:rsidR="007C70D1" w:rsidRDefault="007C70D1">
      <w:pPr>
        <w:autoSpaceDE w:val="0"/>
        <w:autoSpaceDN w:val="0"/>
        <w:adjustRightInd w:val="0"/>
        <w:jc w:val="left"/>
        <w:rPr>
          <w:rFonts w:ascii="黑体" w:eastAsia="黑体" w:hAnsi="黑体" w:cs="Times New Roman"/>
          <w:sz w:val="32"/>
          <w:szCs w:val="32"/>
        </w:rPr>
      </w:pPr>
    </w:p>
    <w:p w:rsidR="007C70D1" w:rsidRDefault="007C70D1">
      <w:pPr>
        <w:autoSpaceDE w:val="0"/>
        <w:autoSpaceDN w:val="0"/>
        <w:adjustRightInd w:val="0"/>
        <w:jc w:val="left"/>
        <w:rPr>
          <w:rFonts w:ascii="黑体" w:eastAsia="黑体" w:hAnsi="黑体" w:cs="Times New Roman"/>
          <w:sz w:val="32"/>
          <w:szCs w:val="32"/>
        </w:rPr>
      </w:pPr>
    </w:p>
    <w:p w:rsidR="007C70D1" w:rsidRDefault="007C70D1">
      <w:pPr>
        <w:autoSpaceDE w:val="0"/>
        <w:autoSpaceDN w:val="0"/>
        <w:adjustRightInd w:val="0"/>
        <w:jc w:val="left"/>
        <w:rPr>
          <w:rFonts w:ascii="黑体" w:eastAsia="黑体" w:hAnsi="黑体" w:cs="Times New Roman"/>
          <w:sz w:val="32"/>
          <w:szCs w:val="32"/>
        </w:rPr>
      </w:pPr>
    </w:p>
    <w:p w:rsidR="007C70D1" w:rsidRDefault="004766DD">
      <w:pPr>
        <w:autoSpaceDE w:val="0"/>
        <w:autoSpaceDN w:val="0"/>
        <w:adjustRightInd w:val="0"/>
        <w:ind w:firstLineChars="200" w:firstLine="640"/>
        <w:jc w:val="left"/>
        <w:rPr>
          <w:rFonts w:ascii="Times New Roman" w:eastAsia="方正仿宋_GBK" w:hAnsi="Times New Roman" w:cs="Times New Roman"/>
          <w:sz w:val="32"/>
          <w:szCs w:val="24"/>
        </w:rPr>
      </w:pPr>
      <w:bookmarkStart w:id="3"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w:t>
      </w:r>
      <w:bookmarkEnd w:id="3"/>
    </w:p>
    <w:p w:rsidR="007C70D1" w:rsidRDefault="007C70D1">
      <w:pPr>
        <w:autoSpaceDE w:val="0"/>
        <w:autoSpaceDN w:val="0"/>
        <w:adjustRightInd w:val="0"/>
        <w:jc w:val="left"/>
        <w:rPr>
          <w:rFonts w:ascii="黑体" w:eastAsia="黑体" w:hAnsi="黑体" w:cs="Times New Roman"/>
          <w:sz w:val="32"/>
          <w:szCs w:val="32"/>
        </w:rPr>
      </w:pPr>
    </w:p>
    <w:p w:rsidR="007C70D1" w:rsidRDefault="007C70D1">
      <w:pPr>
        <w:autoSpaceDE w:val="0"/>
        <w:autoSpaceDN w:val="0"/>
        <w:adjustRightInd w:val="0"/>
        <w:jc w:val="left"/>
        <w:rPr>
          <w:rFonts w:ascii="黑体" w:eastAsia="黑体" w:hAnsi="黑体" w:cs="Times New Roman"/>
          <w:sz w:val="32"/>
          <w:szCs w:val="32"/>
        </w:rPr>
      </w:pPr>
    </w:p>
    <w:p w:rsidR="007C70D1" w:rsidRDefault="007C70D1">
      <w:pPr>
        <w:autoSpaceDE w:val="0"/>
        <w:autoSpaceDN w:val="0"/>
        <w:adjustRightInd w:val="0"/>
        <w:jc w:val="left"/>
        <w:rPr>
          <w:rFonts w:ascii="黑体" w:eastAsia="黑体" w:hAnsi="黑体" w:cs="Times New Roman"/>
          <w:sz w:val="32"/>
          <w:szCs w:val="32"/>
        </w:rPr>
      </w:pPr>
    </w:p>
    <w:p w:rsidR="007C70D1" w:rsidRDefault="007C70D1">
      <w:pPr>
        <w:autoSpaceDE w:val="0"/>
        <w:autoSpaceDN w:val="0"/>
        <w:adjustRightInd w:val="0"/>
        <w:jc w:val="left"/>
        <w:rPr>
          <w:rFonts w:ascii="黑体" w:eastAsia="黑体" w:hAnsi="黑体" w:cs="Times New Roman"/>
          <w:sz w:val="32"/>
          <w:szCs w:val="32"/>
        </w:rPr>
      </w:pPr>
    </w:p>
    <w:p w:rsidR="007C70D1" w:rsidRDefault="007C70D1">
      <w:pPr>
        <w:autoSpaceDE w:val="0"/>
        <w:autoSpaceDN w:val="0"/>
        <w:adjustRightInd w:val="0"/>
        <w:jc w:val="left"/>
        <w:rPr>
          <w:rFonts w:ascii="黑体" w:eastAsia="黑体" w:hAnsi="黑体" w:cs="Times New Roman"/>
          <w:sz w:val="32"/>
          <w:szCs w:val="32"/>
        </w:rPr>
      </w:pPr>
    </w:p>
    <w:p w:rsidR="007C70D1" w:rsidRDefault="007C70D1">
      <w:pPr>
        <w:autoSpaceDE w:val="0"/>
        <w:autoSpaceDN w:val="0"/>
        <w:adjustRightInd w:val="0"/>
        <w:jc w:val="left"/>
        <w:rPr>
          <w:rFonts w:ascii="黑体" w:eastAsia="黑体" w:hAnsi="黑体" w:cs="Times New Roman"/>
          <w:sz w:val="32"/>
          <w:szCs w:val="32"/>
        </w:rPr>
      </w:pPr>
    </w:p>
    <w:p w:rsidR="007C70D1" w:rsidRDefault="004766DD">
      <w:pPr>
        <w:autoSpaceDE w:val="0"/>
        <w:autoSpaceDN w:val="0"/>
        <w:adjustRightInd w:val="0"/>
        <w:ind w:firstLineChars="400" w:firstLine="128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7C70D1" w:rsidRDefault="004766DD">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威县城乡规划建设上年末固定资产金额为604.35万元（</w:t>
      </w:r>
      <w:r>
        <w:rPr>
          <w:rFonts w:ascii="Times New Roman" w:eastAsia="方正仿宋_GBK" w:hAnsi="Times New Roman" w:cs="Times New Roman" w:hint="eastAsia"/>
          <w:sz w:val="32"/>
          <w:szCs w:val="32"/>
        </w:rPr>
        <w:t>详见下表），</w:t>
      </w:r>
      <w:r>
        <w:rPr>
          <w:rFonts w:ascii="仿宋_GB2312" w:eastAsia="仿宋_GB2312" w:hAnsi="黑体" w:cs="Times New Roman" w:hint="eastAsia"/>
          <w:sz w:val="32"/>
          <w:szCs w:val="32"/>
        </w:rPr>
        <w:t>本年度拟购置固定资产总额为4万元，主要为计算机设备、空调、办公家具等，已列入政府采购预算，详见政府采购预算表。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7C70D1">
        <w:trPr>
          <w:trHeight w:val="705"/>
        </w:trPr>
        <w:tc>
          <w:tcPr>
            <w:tcW w:w="13482" w:type="dxa"/>
            <w:gridSpan w:val="3"/>
            <w:tcBorders>
              <w:top w:val="nil"/>
              <w:left w:val="nil"/>
              <w:bottom w:val="nil"/>
              <w:right w:val="nil"/>
            </w:tcBorders>
            <w:shd w:val="clear" w:color="auto" w:fill="auto"/>
            <w:vAlign w:val="center"/>
          </w:tcPr>
          <w:p w:rsidR="007C70D1" w:rsidRDefault="004766DD">
            <w:pPr>
              <w:widowControl/>
              <w:jc w:val="center"/>
              <w:rPr>
                <w:rFonts w:ascii="宋体" w:eastAsia="宋体" w:hAnsi="宋体" w:cs="宋体"/>
                <w:b/>
                <w:bCs/>
                <w:kern w:val="0"/>
                <w:sz w:val="32"/>
                <w:szCs w:val="32"/>
                <w:highlight w:val="yellow"/>
              </w:rPr>
            </w:pPr>
            <w:r>
              <w:rPr>
                <w:rFonts w:ascii="宋体" w:eastAsia="宋体" w:hAnsi="宋体" w:cs="宋体" w:hint="eastAsia"/>
                <w:b/>
                <w:bCs/>
                <w:kern w:val="0"/>
                <w:sz w:val="32"/>
                <w:szCs w:val="32"/>
              </w:rPr>
              <w:lastRenderedPageBreak/>
              <w:t>固定资产占用情况表</w:t>
            </w:r>
          </w:p>
        </w:tc>
      </w:tr>
      <w:tr w:rsidR="007C70D1">
        <w:trPr>
          <w:trHeight w:val="510"/>
        </w:trPr>
        <w:tc>
          <w:tcPr>
            <w:tcW w:w="8379" w:type="dxa"/>
            <w:gridSpan w:val="2"/>
            <w:tcBorders>
              <w:top w:val="nil"/>
              <w:left w:val="nil"/>
              <w:bottom w:val="nil"/>
              <w:right w:val="nil"/>
            </w:tcBorders>
            <w:shd w:val="clear" w:color="auto" w:fill="auto"/>
            <w:vAlign w:val="center"/>
          </w:tcPr>
          <w:p w:rsidR="007C70D1" w:rsidRDefault="004766DD">
            <w:pPr>
              <w:widowControl/>
              <w:jc w:val="left"/>
              <w:rPr>
                <w:rFonts w:ascii="宋体" w:eastAsia="宋体" w:hAnsi="宋体" w:cs="宋体"/>
                <w:kern w:val="0"/>
                <w:sz w:val="22"/>
                <w:highlight w:val="yellow"/>
              </w:rPr>
            </w:pPr>
            <w:r>
              <w:rPr>
                <w:rFonts w:ascii="宋体" w:eastAsia="宋体" w:hAnsi="宋体" w:cs="宋体" w:hint="eastAsia"/>
                <w:kern w:val="0"/>
                <w:sz w:val="22"/>
              </w:rPr>
              <w:t>编制部门：威县城乡规划建设局</w:t>
            </w:r>
          </w:p>
        </w:tc>
        <w:tc>
          <w:tcPr>
            <w:tcW w:w="5103" w:type="dxa"/>
            <w:tcBorders>
              <w:top w:val="nil"/>
              <w:left w:val="nil"/>
              <w:bottom w:val="nil"/>
              <w:right w:val="nil"/>
            </w:tcBorders>
            <w:shd w:val="clear" w:color="auto" w:fill="auto"/>
            <w:vAlign w:val="center"/>
          </w:tcPr>
          <w:p w:rsidR="007C70D1" w:rsidRDefault="004766DD">
            <w:pPr>
              <w:widowControl/>
              <w:ind w:firstLineChars="800" w:firstLine="1760"/>
              <w:jc w:val="left"/>
              <w:rPr>
                <w:rFonts w:ascii="宋体" w:eastAsia="宋体" w:hAnsi="宋体" w:cs="宋体"/>
                <w:kern w:val="0"/>
                <w:sz w:val="22"/>
                <w:highlight w:val="yellow"/>
              </w:rPr>
            </w:pPr>
            <w:r>
              <w:rPr>
                <w:rFonts w:ascii="宋体" w:eastAsia="宋体" w:hAnsi="宋体" w:cs="宋体" w:hint="eastAsia"/>
                <w:kern w:val="0"/>
                <w:sz w:val="22"/>
              </w:rPr>
              <w:t xml:space="preserve">截止时间：2018年12月31日  </w:t>
            </w:r>
          </w:p>
        </w:tc>
      </w:tr>
      <w:tr w:rsidR="007C70D1">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7C70D1" w:rsidRDefault="004766DD">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7C70D1" w:rsidRDefault="004766DD">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7C70D1" w:rsidRDefault="004766DD">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7C70D1">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7C70D1" w:rsidRDefault="004766DD">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7C70D1" w:rsidRDefault="004766DD">
            <w:pPr>
              <w:widowControl/>
              <w:jc w:val="center"/>
              <w:rPr>
                <w:rFonts w:ascii="Times New Roman" w:eastAsia="宋体" w:hAnsi="Times New Roman" w:cs="Times New Roman"/>
                <w:kern w:val="0"/>
                <w:sz w:val="22"/>
                <w:highlight w:val="yellow"/>
              </w:rPr>
            </w:pPr>
            <w:r>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vAlign w:val="center"/>
          </w:tcPr>
          <w:p w:rsidR="007C70D1" w:rsidRDefault="004766DD">
            <w:pPr>
              <w:widowControl/>
              <w:jc w:val="center"/>
              <w:rPr>
                <w:rFonts w:ascii="Times New Roman" w:eastAsia="宋体" w:hAnsi="Times New Roman" w:cs="Times New Roman"/>
                <w:kern w:val="0"/>
                <w:sz w:val="22"/>
                <w:highlight w:val="yellow"/>
              </w:rPr>
            </w:pPr>
            <w:r>
              <w:rPr>
                <w:rFonts w:ascii="Times New Roman" w:eastAsia="宋体" w:hAnsi="Times New Roman" w:cs="Times New Roman" w:hint="eastAsia"/>
                <w:kern w:val="0"/>
                <w:sz w:val="22"/>
              </w:rPr>
              <w:t>604.35</w:t>
            </w:r>
          </w:p>
        </w:tc>
      </w:tr>
      <w:tr w:rsidR="007C70D1">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7C70D1" w:rsidRDefault="004766DD">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vAlign w:val="center"/>
          </w:tcPr>
          <w:p w:rsidR="007C70D1" w:rsidRDefault="004766DD">
            <w:pPr>
              <w:widowControl/>
              <w:jc w:val="center"/>
              <w:rPr>
                <w:rFonts w:ascii="Times New Roman" w:hAnsi="Times New Roman" w:cs="Times New Roman"/>
                <w:sz w:val="22"/>
                <w:highlight w:val="yellow"/>
              </w:rPr>
            </w:pPr>
            <w:r>
              <w:rPr>
                <w:rFonts w:ascii="宋体" w:cs="Times New Roman" w:hint="eastAsia"/>
                <w:kern w:val="0"/>
                <w:sz w:val="22"/>
              </w:rPr>
              <w:t>2671.24</w:t>
            </w:r>
          </w:p>
        </w:tc>
        <w:tc>
          <w:tcPr>
            <w:tcW w:w="5103" w:type="dxa"/>
            <w:tcBorders>
              <w:top w:val="nil"/>
              <w:left w:val="nil"/>
              <w:bottom w:val="single" w:sz="4" w:space="0" w:color="auto"/>
              <w:right w:val="single" w:sz="4" w:space="0" w:color="auto"/>
            </w:tcBorders>
            <w:shd w:val="clear" w:color="auto" w:fill="auto"/>
            <w:vAlign w:val="center"/>
          </w:tcPr>
          <w:p w:rsidR="007C70D1" w:rsidRDefault="004766DD">
            <w:pPr>
              <w:widowControl/>
              <w:jc w:val="center"/>
              <w:rPr>
                <w:rFonts w:ascii="Times New Roman" w:hAnsi="Times New Roman" w:cs="Times New Roman"/>
                <w:sz w:val="22"/>
                <w:highlight w:val="yellow"/>
              </w:rPr>
            </w:pPr>
            <w:r>
              <w:rPr>
                <w:rFonts w:ascii="宋体" w:cs="Times New Roman"/>
                <w:kern w:val="0"/>
                <w:sz w:val="22"/>
              </w:rPr>
              <w:t>319</w:t>
            </w:r>
            <w:r>
              <w:rPr>
                <w:rFonts w:ascii="宋体" w:cs="Times New Roman" w:hint="eastAsia"/>
                <w:kern w:val="0"/>
                <w:sz w:val="22"/>
              </w:rPr>
              <w:t>.</w:t>
            </w:r>
            <w:r>
              <w:rPr>
                <w:rFonts w:ascii="宋体" w:cs="Times New Roman"/>
                <w:kern w:val="0"/>
                <w:sz w:val="22"/>
              </w:rPr>
              <w:t>7</w:t>
            </w:r>
            <w:r>
              <w:rPr>
                <w:rFonts w:ascii="宋体" w:cs="Times New Roman" w:hint="eastAsia"/>
                <w:kern w:val="0"/>
                <w:sz w:val="22"/>
              </w:rPr>
              <w:t>8</w:t>
            </w:r>
          </w:p>
        </w:tc>
      </w:tr>
      <w:tr w:rsidR="007C70D1">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7C70D1" w:rsidRDefault="004766DD">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7C70D1" w:rsidRDefault="004766DD">
            <w:pPr>
              <w:widowControl/>
              <w:jc w:val="center"/>
              <w:rPr>
                <w:rFonts w:ascii="Times New Roman" w:hAnsi="Times New Roman" w:cs="Times New Roman"/>
                <w:sz w:val="22"/>
                <w:highlight w:val="yellow"/>
              </w:rPr>
            </w:pPr>
            <w:r>
              <w:rPr>
                <w:rFonts w:ascii="宋体" w:cs="Times New Roman" w:hint="eastAsia"/>
                <w:kern w:val="0"/>
                <w:sz w:val="22"/>
              </w:rPr>
              <w:t>2671.24</w:t>
            </w:r>
          </w:p>
        </w:tc>
        <w:tc>
          <w:tcPr>
            <w:tcW w:w="5103" w:type="dxa"/>
            <w:tcBorders>
              <w:top w:val="nil"/>
              <w:left w:val="nil"/>
              <w:bottom w:val="single" w:sz="4" w:space="0" w:color="auto"/>
              <w:right w:val="single" w:sz="4" w:space="0" w:color="auto"/>
            </w:tcBorders>
            <w:shd w:val="clear" w:color="auto" w:fill="auto"/>
            <w:vAlign w:val="center"/>
          </w:tcPr>
          <w:p w:rsidR="007C70D1" w:rsidRDefault="004766DD">
            <w:pPr>
              <w:widowControl/>
              <w:jc w:val="center"/>
              <w:rPr>
                <w:rFonts w:ascii="Times New Roman" w:hAnsi="Times New Roman" w:cs="Times New Roman"/>
                <w:sz w:val="22"/>
                <w:highlight w:val="yellow"/>
              </w:rPr>
            </w:pPr>
            <w:r>
              <w:rPr>
                <w:rFonts w:ascii="宋体" w:cs="Times New Roman" w:hint="eastAsia"/>
                <w:kern w:val="0"/>
                <w:sz w:val="22"/>
              </w:rPr>
              <w:t>319.78</w:t>
            </w:r>
          </w:p>
        </w:tc>
      </w:tr>
      <w:tr w:rsidR="007C70D1">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7C70D1" w:rsidRDefault="004766DD">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vAlign w:val="center"/>
          </w:tcPr>
          <w:p w:rsidR="007C70D1" w:rsidRDefault="004766DD">
            <w:pPr>
              <w:jc w:val="center"/>
              <w:rPr>
                <w:rFonts w:ascii="Times New Roman" w:hAnsi="Times New Roman" w:cs="Times New Roman"/>
                <w:sz w:val="22"/>
                <w:highlight w:val="yellow"/>
              </w:rPr>
            </w:pPr>
            <w:r>
              <w:rPr>
                <w:rFonts w:ascii="宋体" w:cs="Times New Roman" w:hint="eastAsia"/>
                <w:kern w:val="0"/>
                <w:sz w:val="22"/>
              </w:rPr>
              <w:t>3</w:t>
            </w:r>
          </w:p>
        </w:tc>
        <w:tc>
          <w:tcPr>
            <w:tcW w:w="5103" w:type="dxa"/>
            <w:tcBorders>
              <w:top w:val="nil"/>
              <w:left w:val="nil"/>
              <w:bottom w:val="single" w:sz="4" w:space="0" w:color="auto"/>
              <w:right w:val="single" w:sz="4" w:space="0" w:color="auto"/>
            </w:tcBorders>
            <w:shd w:val="clear" w:color="auto" w:fill="auto"/>
            <w:vAlign w:val="center"/>
          </w:tcPr>
          <w:p w:rsidR="007C70D1" w:rsidRDefault="004766DD">
            <w:pPr>
              <w:jc w:val="center"/>
              <w:rPr>
                <w:rFonts w:ascii="Times New Roman" w:hAnsi="Times New Roman" w:cs="Times New Roman"/>
                <w:sz w:val="22"/>
                <w:highlight w:val="yellow"/>
              </w:rPr>
            </w:pPr>
            <w:r>
              <w:rPr>
                <w:rFonts w:ascii="宋体" w:eastAsia="宋体" w:hAnsi="宋体" w:cs="宋体" w:hint="eastAsia"/>
                <w:sz w:val="22"/>
              </w:rPr>
              <w:t>28.40</w:t>
            </w:r>
          </w:p>
        </w:tc>
      </w:tr>
      <w:tr w:rsidR="007C70D1">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7C70D1" w:rsidRDefault="004766DD">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7C70D1" w:rsidRDefault="007C70D1">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vAlign w:val="center"/>
          </w:tcPr>
          <w:p w:rsidR="007C70D1" w:rsidRDefault="007C70D1">
            <w:pPr>
              <w:jc w:val="center"/>
              <w:rPr>
                <w:rFonts w:ascii="Times New Roman" w:hAnsi="Times New Roman" w:cs="Times New Roman"/>
                <w:sz w:val="22"/>
                <w:highlight w:val="yellow"/>
              </w:rPr>
            </w:pPr>
          </w:p>
        </w:tc>
      </w:tr>
      <w:tr w:rsidR="007C70D1">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7C70D1" w:rsidRDefault="004766DD">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vAlign w:val="center"/>
          </w:tcPr>
          <w:p w:rsidR="007C70D1" w:rsidRDefault="004766DD">
            <w:pPr>
              <w:jc w:val="center"/>
              <w:rPr>
                <w:rFonts w:ascii="Times New Roman" w:hAnsi="Times New Roman" w:cs="Times New Roman"/>
                <w:sz w:val="22"/>
                <w:highlight w:val="yellow"/>
              </w:rPr>
            </w:pPr>
            <w:r>
              <w:rPr>
                <w:rFonts w:ascii="Times New Roman" w:hAnsi="Times New Roman" w:cs="Times New Roman" w:hint="eastAsia"/>
                <w:sz w:val="22"/>
              </w:rPr>
              <w:t>256.17</w:t>
            </w:r>
          </w:p>
        </w:tc>
        <w:tc>
          <w:tcPr>
            <w:tcW w:w="5103" w:type="dxa"/>
            <w:tcBorders>
              <w:top w:val="nil"/>
              <w:left w:val="nil"/>
              <w:bottom w:val="single" w:sz="4" w:space="0" w:color="auto"/>
              <w:right w:val="single" w:sz="4" w:space="0" w:color="auto"/>
            </w:tcBorders>
            <w:shd w:val="clear" w:color="auto" w:fill="auto"/>
            <w:vAlign w:val="center"/>
          </w:tcPr>
          <w:p w:rsidR="007C70D1" w:rsidRDefault="004766DD">
            <w:pPr>
              <w:jc w:val="center"/>
              <w:rPr>
                <w:rFonts w:ascii="Times New Roman" w:hAnsi="Times New Roman" w:cs="Times New Roman"/>
                <w:sz w:val="22"/>
              </w:rPr>
            </w:pPr>
            <w:r>
              <w:rPr>
                <w:rFonts w:ascii="Times New Roman" w:hAnsi="Times New Roman" w:cs="Times New Roman" w:hint="eastAsia"/>
                <w:sz w:val="22"/>
              </w:rPr>
              <w:t>256.17</w:t>
            </w:r>
          </w:p>
        </w:tc>
      </w:tr>
    </w:tbl>
    <w:p w:rsidR="007C70D1" w:rsidRDefault="004766DD">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7C70D1" w:rsidRDefault="004766DD">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7C70D1" w:rsidRDefault="004766DD">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7C70D1" w:rsidRDefault="004766DD">
      <w:pPr>
        <w:tabs>
          <w:tab w:val="left" w:pos="11490"/>
        </w:tabs>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w:t>
      </w:r>
      <w:r>
        <w:rPr>
          <w:rFonts w:ascii="Times New Roman" w:eastAsia="方正仿宋_GBK" w:hAnsi="Times New Roman" w:cs="Times New Roman"/>
          <w:sz w:val="32"/>
          <w:szCs w:val="32"/>
        </w:rPr>
        <w:lastRenderedPageBreak/>
        <w:t>租房收入、存款利息收入等。</w:t>
      </w:r>
    </w:p>
    <w:p w:rsidR="007C70D1" w:rsidRDefault="004766DD">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7C70D1" w:rsidRDefault="004766DD">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7C70D1" w:rsidRDefault="004766DD">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7C70D1" w:rsidRDefault="004766DD">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7C70D1" w:rsidRDefault="004766DD">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7C70D1" w:rsidRDefault="004766DD">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7C70D1" w:rsidRDefault="004766DD">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lastRenderedPageBreak/>
        <w:t>我部门</w:t>
      </w:r>
      <w:proofErr w:type="gramEnd"/>
      <w:r>
        <w:rPr>
          <w:rFonts w:ascii="仿宋_GB2312" w:eastAsia="仿宋_GB2312" w:hAnsi="Times New Roman" w:cs="Times New Roman" w:hint="eastAsia"/>
          <w:sz w:val="32"/>
          <w:szCs w:val="32"/>
        </w:rPr>
        <w:t>无其他需要说明的事项。</w:t>
      </w:r>
    </w:p>
    <w:sectPr w:rsidR="007C70D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宋体"/>
    <w:charset w:val="86"/>
    <w:family w:val="script"/>
    <w:pitch w:val="default"/>
    <w:sig w:usb0="00000000" w:usb1="00000000" w:usb2="00000010" w:usb3="00000000" w:csb0="00040000" w:csb1="00000000"/>
  </w:font>
  <w:font w:name="方正仿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2F8F"/>
    <w:multiLevelType w:val="singleLevel"/>
    <w:tmpl w:val="23DA2F8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766DD"/>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C70D1"/>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A5EA6"/>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E8F3F41"/>
    <w:rsid w:val="1CD948CC"/>
    <w:rsid w:val="5B9626C7"/>
    <w:rsid w:val="6EF82462"/>
    <w:rsid w:val="75DC40F2"/>
    <w:rsid w:val="7B2D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style>
  <w:style w:type="character" w:styleId="a8">
    <w:name w:val="Hyperlink"/>
    <w:uiPriority w:val="99"/>
    <w:unhideWhenUsed/>
    <w:qFormat/>
    <w:rPr>
      <w:color w:val="0000FF"/>
      <w:u w:val="single"/>
    </w:rPr>
  </w:style>
  <w:style w:type="character" w:styleId="a9">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style>
  <w:style w:type="character" w:styleId="a8">
    <w:name w:val="Hyperlink"/>
    <w:uiPriority w:val="99"/>
    <w:unhideWhenUsed/>
    <w:qFormat/>
    <w:rPr>
      <w:color w:val="0000FF"/>
      <w:u w:val="single"/>
    </w:rPr>
  </w:style>
  <w:style w:type="character" w:styleId="a9">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11839-A96E-4B63-8E8E-6C9E6C5F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1201</Words>
  <Characters>6847</Characters>
  <Application>Microsoft Office Word</Application>
  <DocSecurity>0</DocSecurity>
  <Lines>57</Lines>
  <Paragraphs>16</Paragraphs>
  <ScaleCrop>false</ScaleCrop>
  <Company>Microsoft</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52</cp:revision>
  <cp:lastPrinted>2017-11-09T01:12:00Z</cp:lastPrinted>
  <dcterms:created xsi:type="dcterms:W3CDTF">2019-01-15T00:52:00Z</dcterms:created>
  <dcterms:modified xsi:type="dcterms:W3CDTF">2019-03-06T08:21:00Z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