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威县文化广电体育和旅游局</w:t>
      </w:r>
    </w:p>
    <w:p>
      <w:pPr>
        <w:jc w:val="center"/>
        <w:rPr>
          <w:b/>
          <w:bCs/>
          <w:sz w:val="44"/>
          <w:szCs w:val="44"/>
        </w:rPr>
      </w:pPr>
      <w:bookmarkStart w:id="0" w:name="_GoBack"/>
      <w:r>
        <w:rPr>
          <w:rFonts w:hint="eastAsia"/>
          <w:b/>
          <w:bCs/>
          <w:sz w:val="44"/>
          <w:szCs w:val="44"/>
        </w:rPr>
        <w:t>行政执法音像记录管理制度</w:t>
      </w:r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left"/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第一条</w: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为进一步加强住建行政执法工作，规范我局执法全过程音像记录工作，结合工作实际，制定本制度。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color w:val="333333"/>
          <w:sz w:val="32"/>
          <w:szCs w:val="32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第二条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行政执法音像记录应遵循同步摄录、集中管理、规范归档、严格保密的原则，确保视听资料的全面、客观、合法、有效。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both"/>
        <w:rPr>
          <w:rFonts w:hint="eastAsia" w:ascii="微软雅黑" w:hAnsi="微软雅黑" w:eastAsia="微软雅黑" w:cs="微软雅黑"/>
          <w:i w:val="0"/>
          <w:color w:val="333333"/>
          <w:sz w:val="32"/>
          <w:szCs w:val="32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第三条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在实施执法管理活动时严格按照《威县文化广电体育和旅游局行政执法全过程音像记录清单》进行音像记录。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第四条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执法全过程音像记录应反映执法活动现场的地点、时间、场景、参与人员、违法违规行为等。录制内容应当重点摄录以下内容：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能反映当事人名称、概貌的标志性建筑；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执法人员向当事人出具执法证件及告知当事人权利和义务；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涉嫌违法现场状况；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对当事人进行询问过程；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当事人在现场检查记录或相关执法文书上签署姓名和意见时；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实施行政处罚简易程序容易引起争议时；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以留置送达方式将执法文书留置在当事人的收发部门或者住所时；</w:t>
      </w:r>
    </w:p>
    <w:p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leftChars="0"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其他应当采取音像记录的情况。</w:t>
      </w:r>
    </w:p>
    <w:p>
      <w:pPr>
        <w:pStyle w:val="3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right="0" w:rightChars="0" w:firstLine="640" w:firstLineChars="20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第五条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执法全过程音像记录非因技术原因不得中止录制或断续录制，不得任意选择取舍或者事后补录。因设备故障、损坏，天气情况恶劣或者电量、存储空间不足，检查场所变化等客观原因而中止记录的，重新开始记录时应当对中断原因进行语音说明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第六条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行政执法音像记录资料，由承办机构统一存储和保管并明确专人负责。并按照案件名称、当事人姓名或单位名称、记录日期及存储日期等项目分类进行存储。任何人员不得对原始音像记录进行删节、修改。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第七条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音像记录制作完成后，行政执法人员不得私自保存，应当在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24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shd w:val="clear" w:fill="FFFFFF"/>
        </w:rPr>
        <w:t>小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时内移交至本单位管理人员，统一存储和保管。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第八条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按照《中华人民共和国档案法》规定进行归档保存，行政执法音像资料的存储期限与文字材料保管时间一致。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第九条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行政执法全过程记录涉及国家秘密、商业秘密和个人信息的，应当予以保密，任何人不得擅自传播，不得用于执法活动以外的目的。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480"/>
        <w:jc w:val="both"/>
        <w:rPr>
          <w:rFonts w:hint="eastAsia" w:ascii="微软雅黑" w:hAnsi="微软雅黑" w:eastAsia="微软雅黑" w:cs="微软雅黑"/>
          <w:i w:val="0"/>
          <w:color w:val="333333"/>
          <w:sz w:val="32"/>
          <w:szCs w:val="32"/>
          <w:u w:val="none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第十条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  <w:lang w:val="en-US"/>
        </w:rPr>
        <w:t> 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  <w:shd w:val="clear" w:fill="FFFFFF"/>
        </w:rPr>
        <w:t>本制度自印发之日起施行。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" w:lineRule="atLeast"/>
        <w:ind w:right="0"/>
        <w:jc w:val="left"/>
        <w:rPr>
          <w:rFonts w:hint="eastAsia" w:ascii="微软雅黑" w:hAnsi="微软雅黑" w:eastAsia="微软雅黑" w:cs="微软雅黑"/>
          <w:i w:val="0"/>
          <w:color w:val="333333"/>
          <w:sz w:val="32"/>
          <w:szCs w:val="32"/>
          <w:u w:val="none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24" w:lineRule="atLeast"/>
        <w:ind w:left="0" w:right="0" w:firstLine="480"/>
        <w:jc w:val="righ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2019年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2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月</w:t>
      </w: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10</w:t>
      </w:r>
      <w:r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7710"/>
    <w:multiLevelType w:val="singleLevel"/>
    <w:tmpl w:val="1CB3771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E675CA"/>
    <w:rsid w:val="01E675CA"/>
    <w:rsid w:val="02113C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2019-11-28T02:23:00Z</dcterms:created>
  <dc:creator>disappear</dc:creator>
  <cp:lastModifiedBy>disappear</cp:lastModifiedBy>
  <dcterms:modified xsi:type="dcterms:W3CDTF">2019-11-28T02:28:34Z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