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威县</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本年报根据《中华人民共和国政府信息公开条例》《河北省实施〈中华人民共和国政府信息公开条例〉办法》等规定，发布本年度报告。报告中所列数据统计期限为2024年1月1日至12月31日。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威县认真落实中央、国务院、省委、省政府、市委和市政府决策部署，紧紧围绕县委、县政府中心工作，</w:t>
      </w:r>
      <w:r>
        <w:rPr>
          <w:rFonts w:hint="eastAsia" w:ascii="仿宋_GB2312" w:hAnsi="仿宋_GB2312" w:eastAsia="仿宋_GB2312" w:cs="仿宋_GB2312"/>
          <w:sz w:val="32"/>
          <w:szCs w:val="32"/>
          <w:lang w:val="en-US" w:eastAsia="zh-CN"/>
        </w:rPr>
        <w:t>坚持以人民为中心，持续深化政务公开，</w:t>
      </w:r>
      <w:r>
        <w:rPr>
          <w:rFonts w:hint="eastAsia" w:ascii="仿宋_GB2312" w:hAnsi="仿宋_GB2312" w:eastAsia="仿宋_GB2312" w:cs="仿宋_GB2312"/>
          <w:sz w:val="32"/>
          <w:szCs w:val="32"/>
          <w:lang w:eastAsia="zh-CN"/>
        </w:rPr>
        <w:t>着力提升全县政务公开工作水平，助力威县高质量发展。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方面</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政府信息公开条例》要求，</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“公开为常态、不公开为例外”原则，</w:t>
      </w:r>
      <w:r>
        <w:rPr>
          <w:rFonts w:hint="eastAsia" w:ascii="仿宋_GB2312" w:hAnsi="仿宋_GB2312" w:eastAsia="仿宋_GB2312" w:cs="仿宋_GB2312"/>
          <w:sz w:val="32"/>
          <w:szCs w:val="32"/>
          <w:lang w:val="en-US" w:eastAsia="zh-CN"/>
        </w:rPr>
        <w:t>围绕全县重点领域、重点工作，努力实现应公开尽公开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bookmarkStart w:id="0" w:name="_GoBack"/>
      <w:bookmarkEnd w:id="0"/>
      <w:r>
        <w:rPr>
          <w:rFonts w:hint="eastAsia" w:ascii="仿宋_GB2312" w:hAnsi="仿宋_GB2312" w:eastAsia="仿宋_GB2312" w:cs="仿宋_GB2312"/>
          <w:sz w:val="32"/>
          <w:szCs w:val="32"/>
          <w:lang w:val="en-US" w:eastAsia="zh-CN"/>
        </w:rPr>
        <w:t>年，我县在政府网站和信息公开平台公开发布机构信息、政策文件、政策解读、重点领域等政务信息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6802</w:t>
      </w:r>
      <w:r>
        <w:rPr>
          <w:rFonts w:hint="eastAsia" w:ascii="仿宋_GB2312" w:hAnsi="仿宋_GB2312" w:eastAsia="仿宋_GB2312" w:cs="仿宋_GB2312"/>
          <w:sz w:val="32"/>
          <w:szCs w:val="32"/>
          <w:lang w:val="en-US" w:eastAsia="zh-CN"/>
        </w:rPr>
        <w:t>条，其中发布县政府常务会议信息16条、县政府和县政府办公室文件23条、人大代表建议和政协人大代表建议复文98条、解读政策14条，政府网站总访问量842.6万人次。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楷体_GB2312" w:hAnsi="楷体_GB2312" w:eastAsia="楷体_GB2312" w:cs="楷体_GB2312"/>
          <w:sz w:val="32"/>
          <w:szCs w:val="32"/>
        </w:rPr>
        <w:t>依申请公开</w:t>
      </w:r>
      <w:r>
        <w:rPr>
          <w:rFonts w:hint="eastAsia" w:ascii="楷体_GB2312" w:hAnsi="楷体_GB2312" w:eastAsia="楷体_GB2312" w:cs="楷体_GB2312"/>
          <w:sz w:val="32"/>
          <w:szCs w:val="32"/>
          <w:lang w:eastAsia="zh-CN"/>
        </w:rPr>
        <w:t>方面</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在威县人民政府网站开设依申请公开栏目，</w:t>
      </w:r>
      <w:r>
        <w:rPr>
          <w:rFonts w:hint="eastAsia" w:ascii="仿宋_GB2312" w:hAnsi="仿宋_GB2312" w:eastAsia="仿宋_GB2312" w:cs="仿宋_GB2312"/>
          <w:sz w:val="32"/>
          <w:szCs w:val="32"/>
        </w:rPr>
        <w:t>持续规范依申请公开办理流程，建立健全协查、会商、提示工作机制，进一步提升</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依申请公开工作质量。</w:t>
      </w:r>
      <w:r>
        <w:rPr>
          <w:rFonts w:hint="eastAsia" w:ascii="仿宋_GB2312" w:hAnsi="仿宋_GB2312" w:eastAsia="仿宋_GB2312" w:cs="仿宋_GB2312"/>
          <w:sz w:val="32"/>
          <w:szCs w:val="32"/>
          <w:lang w:eastAsia="zh-CN"/>
        </w:rPr>
        <w:t>我县今年以来</w:t>
      </w:r>
      <w:r>
        <w:rPr>
          <w:rFonts w:hint="eastAsia" w:ascii="仿宋_GB2312" w:hAnsi="仿宋_GB2312" w:eastAsia="仿宋_GB2312" w:cs="仿宋_GB2312"/>
          <w:sz w:val="32"/>
          <w:szCs w:val="32"/>
          <w:lang w:val="en-US" w:eastAsia="zh-CN"/>
        </w:rPr>
        <w:t>受理政府信息公开申请14件，按时答复政府信息公开申请14件。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政府信息管理方面</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持续做好行政规范性文件与政府网站对接工作，对有新增、废止失效文件及时推送核实，对政府信息进行全生命周期管理，认真开展规范性文件清理工作，截至12月底，在县政府网站“政策文件”栏目公开现行有效县政府、县政府办公室行政规范性文件11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方面</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依托省、市政府网站和信息公开平台，进一步优化集约化平台功能，提升政府网站、信息公开平台技术支撑能力，持续优化完善依申请公开、网站搜索服务等功能。强化政务新媒体监管制度，保障政务新媒体健康有序发展，</w:t>
      </w:r>
      <w:r>
        <w:rPr>
          <w:rFonts w:hint="eastAsia" w:ascii="仿宋_GB2312" w:hAnsi="仿宋_GB2312" w:eastAsia="仿宋_GB2312" w:cs="仿宋_GB2312"/>
          <w:sz w:val="32"/>
          <w:szCs w:val="32"/>
          <w:lang w:eastAsia="zh-CN"/>
        </w:rPr>
        <w:t>按照政务新媒体建设要求，已规范清理政务新媒体共计</w:t>
      </w:r>
      <w:r>
        <w:rPr>
          <w:rFonts w:hint="eastAsia" w:ascii="仿宋_GB2312" w:hAnsi="仿宋_GB2312" w:eastAsia="仿宋_GB2312" w:cs="仿宋_GB2312"/>
          <w:sz w:val="32"/>
          <w:szCs w:val="32"/>
          <w:lang w:val="en-US" w:eastAsia="zh-CN"/>
        </w:rPr>
        <w:t>32个，保留9个，已全部在国家政务新媒体管理平台和河北省政务新媒体管理平台进行了备案管理。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保障体系建设方面。</w:t>
      </w:r>
      <w:r>
        <w:rPr>
          <w:rFonts w:hint="eastAsia" w:ascii="仿宋_GB2312" w:hAnsi="仿宋_GB2312" w:eastAsia="仿宋_GB2312" w:cs="仿宋_GB2312"/>
          <w:sz w:val="32"/>
          <w:szCs w:val="32"/>
          <w:lang w:eastAsia="zh-CN"/>
        </w:rPr>
        <w:t>按照政府网站和政务新媒体监管要求，继续加强对政府网站、信息公开平台、政务新媒体的日常监测抽查、季度检查和专项督查，并按季度通报检查情况，加强落实整改，不断提升政府网站和政务新媒体运营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6541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754</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1668</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9</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年，威县政府信息公开工作取得了一定成绩，但仍存在一些问题和不足：一是专职工作人员不固定；二是重点领域信息公开仍需进一步深化；三是个别单位信息公开工作有待提升。</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一步，我县将采取以下措施加强政府信息公开工作：一是深化业务培训与工作督导，不断提升政务公开工作人员的业务能力；二是持续加大主动公开力度，通过政府信息公开平台、政务新媒体、政务公开专区等多种公开渠道，围绕重点领域不断加大主动公开力度；三是加强政府信息依申请工作指导，持续推进政府信息公开申请办理工作规范化、标准化，持续继续深化重点领域信息公开，促进政务公开工作高质量发展。</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rPr>
        <w:t>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pStyle w:val="2"/>
        <w:ind w:firstLine="6720" w:firstLineChars="2100"/>
        <w:rPr>
          <w:rFonts w:hint="eastAsia" w:ascii="仿宋_GB2312" w:hAnsi="仿宋_GB2312" w:eastAsia="仿宋_GB2312" w:cs="仿宋_GB2312"/>
          <w:sz w:val="32"/>
          <w:szCs w:val="32"/>
          <w:lang w:eastAsia="zh-CN"/>
        </w:rPr>
      </w:pPr>
    </w:p>
    <w:p>
      <w:pPr>
        <w:pStyle w:val="2"/>
        <w:ind w:firstLine="6720" w:firstLineChars="2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威县人民政府</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60288;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LdnC9oAAAAKAQAA&#10;DwAAAAAAAAABACAAAAAiAAAAZHJzL2Rvd25yZXYueG1sUEsBAhQAFAAAAAgAh07iQE81hFsXAgAA&#10;EgQAAA4AAAAAAAAAAQAgAAAAKQEAAGRycy9lMm9Eb2MueG1sUEsFBgAAAAAGAAYAWQEAALIFAAAA&#10;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1E2318A"/>
    <w:rsid w:val="03D53AB8"/>
    <w:rsid w:val="06C31DA0"/>
    <w:rsid w:val="0AEF04FA"/>
    <w:rsid w:val="101C7A8D"/>
    <w:rsid w:val="182D35C9"/>
    <w:rsid w:val="18F135DB"/>
    <w:rsid w:val="198B7C78"/>
    <w:rsid w:val="1BD10C85"/>
    <w:rsid w:val="1CAF5E68"/>
    <w:rsid w:val="20EC2648"/>
    <w:rsid w:val="2ACB6DF0"/>
    <w:rsid w:val="2BC446DC"/>
    <w:rsid w:val="2DB271AD"/>
    <w:rsid w:val="303834AB"/>
    <w:rsid w:val="329D5EB5"/>
    <w:rsid w:val="37ED04CC"/>
    <w:rsid w:val="3AC27A19"/>
    <w:rsid w:val="3B4715A0"/>
    <w:rsid w:val="3E4F4B59"/>
    <w:rsid w:val="41840E02"/>
    <w:rsid w:val="42434C90"/>
    <w:rsid w:val="42D35DB1"/>
    <w:rsid w:val="49EC4D2A"/>
    <w:rsid w:val="53A51C8F"/>
    <w:rsid w:val="564A1575"/>
    <w:rsid w:val="564C7C4C"/>
    <w:rsid w:val="56DC7C88"/>
    <w:rsid w:val="5979504A"/>
    <w:rsid w:val="5F127D32"/>
    <w:rsid w:val="6E920EDB"/>
    <w:rsid w:val="6F4D7E96"/>
    <w:rsid w:val="71310599"/>
    <w:rsid w:val="730F46CA"/>
    <w:rsid w:val="73A9585E"/>
    <w:rsid w:val="74BD265C"/>
    <w:rsid w:val="78F273FF"/>
    <w:rsid w:val="7E716C65"/>
    <w:rsid w:val="7FA7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2221</Words>
  <Characters>2304</Characters>
  <Lines>0</Lines>
  <Paragraphs>0</Paragraphs>
  <TotalTime>26</TotalTime>
  <ScaleCrop>false</ScaleCrop>
  <LinksUpToDate>false</LinksUpToDate>
  <CharactersWithSpaces>2341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刘振伟</cp:lastModifiedBy>
  <cp:lastPrinted>2024-02-19T08:53:00Z</cp:lastPrinted>
  <dcterms:modified xsi:type="dcterms:W3CDTF">2025-02-19T06:45:39Z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