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2200" w:firstLineChars="500"/>
        <w:jc w:val="both"/>
        <w:rPr>
          <w:rFonts w:hint="eastAsia"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jc w:val="center"/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仿宋"/>
          <w:sz w:val="32"/>
          <w:szCs w:val="32"/>
          <w:lang w:eastAsia="zh-CN"/>
        </w:rPr>
        <w:t>威</w:t>
      </w:r>
      <w:r>
        <w:rPr>
          <w:rFonts w:hint="eastAsia" w:ascii="Times New Roman" w:hAnsi="Times New Roman" w:eastAsia="仿宋_GB2312" w:cs="仿宋"/>
          <w:sz w:val="32"/>
          <w:szCs w:val="32"/>
        </w:rPr>
        <w:t>市监</w:t>
      </w:r>
      <w:r>
        <w:rPr>
          <w:rFonts w:hint="eastAsia" w:ascii="Times New Roman" w:hAnsi="Times New Roman" w:eastAsia="仿宋_GB2312" w:cs="仿宋"/>
          <w:sz w:val="32"/>
          <w:szCs w:val="32"/>
          <w:u w:val="none"/>
          <w:lang w:val="en-US" w:eastAsia="zh-CN"/>
        </w:rPr>
        <w:t>处罚</w:t>
      </w:r>
      <w:r>
        <w:rPr>
          <w:rFonts w:hint="eastAsia" w:ascii="Times New Roman" w:hAnsi="Times New Roman" w:eastAsia="仿宋_GB2312" w:cs="仿宋"/>
          <w:sz w:val="32"/>
          <w:szCs w:val="32"/>
        </w:rPr>
        <w:t>〔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2023</w:t>
      </w:r>
      <w:r>
        <w:rPr>
          <w:rFonts w:hint="eastAsia" w:ascii="Times New Roman" w:hAnsi="Times New Roman" w:eastAsia="仿宋_GB2312" w:cs="仿宋"/>
          <w:sz w:val="32"/>
          <w:szCs w:val="32"/>
        </w:rPr>
        <w:t>〕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  <w:t>1032号</w:t>
      </w:r>
    </w:p>
    <w:p>
      <w:pPr>
        <w:spacing w:line="520" w:lineRule="exact"/>
        <w:jc w:val="center"/>
        <w:rPr>
          <w:rFonts w:hint="eastAsia" w:ascii="Times New Roman" w:hAnsi="Times New Roman" w:eastAsia="仿宋_GB2312" w:cs="仿宋"/>
          <w:sz w:val="32"/>
          <w:szCs w:val="32"/>
          <w:u w:val="single"/>
          <w:lang w:val="en-US" w:eastAsia="zh-CN"/>
        </w:rPr>
      </w:pP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威县亚北农资经销处（孙平太）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营业执照     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</w:t>
      </w: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92130533MA0B******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eastAsia="zh-CN"/>
        </w:rPr>
        <w:t>威县高公庄乡后张庄村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</w:t>
      </w:r>
    </w:p>
    <w:p>
      <w:pPr>
        <w:spacing w:line="500" w:lineRule="exact"/>
        <w:ind w:left="140" w:hanging="140"/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法定代表人（负责人、</w:t>
      </w:r>
      <w:r>
        <w:rPr>
          <w:rFonts w:ascii="仿宋_GB2312" w:hAnsi="Mongolian Baiti" w:eastAsia="仿宋_GB2312" w:cs="Mongolian Baiti"/>
          <w:kern w:val="1"/>
          <w:sz w:val="32"/>
          <w:szCs w:val="32"/>
        </w:rPr>
        <w:t>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孙平太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</w:t>
      </w:r>
    </w:p>
    <w:p>
      <w:pPr>
        <w:spacing w:line="500" w:lineRule="exact"/>
        <w:ind w:left="140" w:hanging="140"/>
        <w:rPr>
          <w:rFonts w:hint="default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lang w:val="en-US" w:eastAsia="zh-CN"/>
        </w:rPr>
        <w:t>件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13053319******</w:t>
      </w:r>
      <w:bookmarkStart w:id="0" w:name="_GoBack"/>
      <w:bookmarkEnd w:id="0"/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443X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2022年12月19日，我局执法人员对全县农资门市质量抽查时，依法对威县亚北农资经销处销售的艾力源微生物菌剂抽取了样品。于2023年1月18日收到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  <w:t>山东腾翔产品质量检测有限公司检测报告，经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山东腾翔产品质量检测有限公司检测，该农资门市经销的艾力源微生物菌剂的有效活菌数不符合技术要求，被判定为不合格产品。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  <w:t>并于2023年1月19日送达至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威县亚北农资经销处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30"/>
          <w:szCs w:val="30"/>
          <w:u w:val="none"/>
          <w:lang w:val="en-US" w:eastAsia="zh-CN"/>
        </w:rPr>
        <w:t>本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局于</w:t>
      </w:r>
      <w:r>
        <w:rPr>
          <w:rFonts w:hint="eastAsia" w:ascii="宋体" w:hAnsi="宋体" w:eastAsia="宋体" w:cs="宋体"/>
          <w:bCs/>
          <w:sz w:val="30"/>
          <w:szCs w:val="30"/>
          <w:u w:val="none"/>
          <w:lang w:val="en-US" w:eastAsia="zh-CN"/>
        </w:rPr>
        <w:t>2023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 xml:space="preserve">年 </w:t>
      </w:r>
      <w:r>
        <w:rPr>
          <w:rFonts w:hint="eastAsia" w:ascii="宋体" w:hAnsi="宋体" w:eastAsia="宋体" w:cs="宋体"/>
          <w:bCs/>
          <w:sz w:val="30"/>
          <w:szCs w:val="30"/>
          <w:u w:val="none"/>
          <w:lang w:val="en-US" w:eastAsia="zh-CN"/>
        </w:rPr>
        <w:t>1月19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日予以立案，指定</w:t>
      </w:r>
      <w:r>
        <w:rPr>
          <w:rFonts w:hint="eastAsia" w:ascii="宋体" w:hAnsi="宋体" w:eastAsia="宋体" w:cs="宋体"/>
          <w:bCs/>
          <w:sz w:val="30"/>
          <w:szCs w:val="30"/>
          <w:u w:val="none"/>
          <w:lang w:val="en-US" w:eastAsia="zh-CN"/>
        </w:rPr>
        <w:t>赵萌、赵立旺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为办案人员</w:t>
      </w:r>
      <w:r>
        <w:rPr>
          <w:rFonts w:hint="eastAsia" w:ascii="宋体" w:hAnsi="宋体" w:eastAsia="宋体" w:cs="宋体"/>
          <w:bCs/>
          <w:sz w:val="30"/>
          <w:szCs w:val="30"/>
          <w:u w:val="none"/>
          <w:lang w:val="en-US" w:eastAsia="zh-CN"/>
        </w:rPr>
        <w:t>对该案进行调查</w:t>
      </w:r>
      <w:r>
        <w:rPr>
          <w:rFonts w:hint="eastAsia" w:ascii="宋体" w:hAnsi="宋体" w:eastAsia="宋体" w:cs="宋体"/>
          <w:bCs/>
          <w:sz w:val="30"/>
          <w:szCs w:val="30"/>
          <w:u w:val="none"/>
        </w:rPr>
        <w:t>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  <w:t>经调查，威县亚北农资经销处于2022年10月份以每袋50元的价格从青岛同利生物科技有限公司购进艾力源微生物菌剂125袋，销售价60元/袋，货值金额7500元。到2023年1月19日我局依法立案调查时，威县亚北农资经销处购进的艾力源微生物菌剂已全部售完，违法所得1250元。</w:t>
      </w:r>
    </w:p>
    <w:p>
      <w:pPr>
        <w:spacing w:line="680" w:lineRule="atLeast"/>
        <w:ind w:firstLine="600" w:firstLineChars="2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none"/>
        </w:rPr>
        <w:t>上述事实，主要有以下证据证明：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1、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eastAsia="zh-CN"/>
        </w:rPr>
        <w:t>威县亚北农资经销处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  <w:t>提交的营业执照证明了当事人的主体资格。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 xml:space="preserve">2、孙平太的身份证复印件，证明了当事人的主体身份。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color w:val="000000"/>
          <w:sz w:val="30"/>
          <w:szCs w:val="30"/>
          <w:u w:val="none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现场检查笔录证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明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了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eastAsia="zh-CN"/>
        </w:rPr>
        <w:t>威县亚北农资经销处</w:t>
      </w:r>
      <w:r>
        <w:rPr>
          <w:rFonts w:hint="eastAsia" w:ascii="宋体" w:hAnsi="宋体" w:eastAsia="宋体" w:cs="宋体"/>
          <w:kern w:val="1"/>
          <w:sz w:val="30"/>
          <w:szCs w:val="30"/>
          <w:u w:val="none"/>
          <w:lang w:val="en-US" w:eastAsia="zh-CN"/>
        </w:rPr>
        <w:t>经销的是</w:t>
      </w:r>
      <w:r>
        <w:rPr>
          <w:rFonts w:hint="eastAsia" w:asciiTheme="minorEastAsia" w:hAnsiTheme="minorEastAsia" w:cstheme="minorEastAsia"/>
          <w:b w:val="0"/>
          <w:bCs w:val="0"/>
          <w:kern w:val="1"/>
          <w:sz w:val="30"/>
          <w:szCs w:val="30"/>
          <w:u w:val="none"/>
          <w:lang w:val="en-US" w:eastAsia="zh-CN"/>
        </w:rPr>
        <w:t>艾力源微生物菌剂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Theme="minorEastAsia" w:hAnsiTheme="minorEastAsia" w:cstheme="minorEastAsia"/>
          <w:bCs/>
          <w:color w:val="000000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询问调查笔录证明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了该批艾力源微生物菌剂的购进、销售和利润情况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。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color w:val="000000"/>
          <w:sz w:val="30"/>
          <w:szCs w:val="30"/>
          <w:u w:val="none"/>
          <w:lang w:val="en-US" w:eastAsia="zh-CN"/>
        </w:rPr>
        <w:t>5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检验报告证明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了该批次艾力源微生物菌剂为不合格产品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。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cstheme="minorEastAsia"/>
          <w:kern w:val="1"/>
          <w:sz w:val="30"/>
          <w:szCs w:val="30"/>
          <w:u w:val="none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 xml:space="preserve">以上证据均经当事人确认并签字。    </w:t>
      </w:r>
    </w:p>
    <w:p>
      <w:pPr>
        <w:spacing w:line="680" w:lineRule="atLeas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本案调查终结后，我局于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2023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日向当事人直接送达了威县市场监督管理局行政处罚告知书（威市监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告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[2023]</w:t>
      </w:r>
      <w:r>
        <w:rPr>
          <w:rFonts w:hint="eastAsia" w:asciiTheme="minorEastAsia" w:hAnsiTheme="minorEastAsia" w:cstheme="minorEastAsia"/>
          <w:color w:val="000000"/>
          <w:sz w:val="30"/>
          <w:szCs w:val="30"/>
          <w:u w:val="none"/>
          <w:lang w:val="en-US" w:eastAsia="zh-CN"/>
        </w:rPr>
        <w:t>1032</w:t>
      </w:r>
      <w:r>
        <w:rPr>
          <w:rFonts w:hint="eastAsia" w:asciiTheme="minorEastAsia" w:hAnsiTheme="minorEastAsia" w:cstheme="minorEastAsia"/>
          <w:color w:val="000000"/>
          <w:sz w:val="30"/>
          <w:szCs w:val="30"/>
          <w:u w:val="none"/>
          <w:lang w:eastAsia="zh-CN"/>
        </w:rPr>
        <w:t>号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），当事人未在法定时间内提出陈述、申辩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意见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未要求举行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听证。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kern w:val="1"/>
          <w:sz w:val="30"/>
          <w:szCs w:val="30"/>
          <w:u w:val="none"/>
          <w:lang w:val="en-US" w:eastAsia="zh-CN"/>
        </w:rPr>
        <w:t>本局认为，</w:t>
      </w:r>
      <w:r>
        <w:rPr>
          <w:rFonts w:hint="eastAsia" w:asciiTheme="minorEastAsia" w:hAnsiTheme="minorEastAsia" w:cstheme="minorEastAsia"/>
          <w:kern w:val="1"/>
          <w:sz w:val="30"/>
          <w:szCs w:val="30"/>
          <w:u w:val="none"/>
          <w:lang w:eastAsia="zh-CN"/>
        </w:rPr>
        <w:t>威县亚北农资经销处</w:t>
      </w:r>
      <w:r>
        <w:rPr>
          <w:rFonts w:hint="eastAsia" w:asciiTheme="minorEastAsia" w:hAnsiTheme="minorEastAsia" w:cstheme="minorEastAsia"/>
          <w:b w:val="0"/>
          <w:bCs w:val="0"/>
          <w:kern w:val="1"/>
          <w:sz w:val="30"/>
          <w:szCs w:val="30"/>
          <w:u w:val="none"/>
          <w:lang w:val="en-US" w:eastAsia="zh-CN"/>
        </w:rPr>
        <w:t>经销不合格艾力源微生物菌剂，其行为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违反了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《中华人民共和国产品质量法》第三十九条：《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中华人民共和国产品质量法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》第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三十九条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“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销售者销售产品，不得掺杂、掺假，不得以假充真、以次充好，不得以不合格产品冒充合格产品。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”之规定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，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已构成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</w:rPr>
        <w:t>违法行为</w:t>
      </w:r>
      <w:r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eastAsia="zh-CN"/>
        </w:rPr>
        <w:t>。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依照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《中华人民共和国产品质量法》第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五十条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条：“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在产品中掺杂、掺假，以假充真，以次充好，或者以不合格产品冒充合格产品的，责令停止生产、销售，没收违法生产、销售的产品，并处违法生产、销售产品货值金额百分之五十以上三倍以下的罚款；有违法所得的，并处没收违法所得；情节严重的，吊销营业执照；构成犯罪的，依法追究刑事责任。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”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之规定，予以处罚。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sz w:val="30"/>
          <w:szCs w:val="30"/>
          <w:u w:val="none"/>
        </w:rPr>
      </w:pP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鉴于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威县亚北农资经销处（孙平太）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在我局立案调查期间积极配合，主动提供证据材料，根据</w:t>
      </w:r>
      <w:r>
        <w:rPr>
          <w:rFonts w:hint="eastAsia" w:ascii="宋体" w:hAnsi="宋体" w:eastAsia="宋体" w:cs="宋体"/>
          <w:sz w:val="30"/>
          <w:szCs w:val="30"/>
          <w:u w:val="none"/>
        </w:rPr>
        <w:t>《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河北省市场监督管理行政处罚裁量基准</w:t>
      </w:r>
      <w:r>
        <w:rPr>
          <w:rFonts w:hint="eastAsia" w:ascii="宋体" w:hAnsi="宋体" w:eastAsia="宋体" w:cs="宋体"/>
          <w:sz w:val="30"/>
          <w:szCs w:val="30"/>
          <w:u w:val="none"/>
        </w:rPr>
        <w:t>》的规定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u w:val="none"/>
          <w:lang w:val="en-US" w:eastAsia="zh-CN"/>
        </w:rPr>
        <w:t>对当事人予以从轻处罚</w:t>
      </w:r>
    </w:p>
    <w:p>
      <w:pPr>
        <w:spacing w:line="520" w:lineRule="exact"/>
        <w:ind w:firstLine="600" w:firstLineChars="200"/>
        <w:rPr>
          <w:rFonts w:hint="eastAsia" w:ascii="宋体" w:hAnsi="宋体" w:eastAsia="宋体" w:cs="宋体"/>
          <w:spacing w:val="-1"/>
          <w:sz w:val="30"/>
          <w:szCs w:val="30"/>
          <w:u w:val="none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综上，当事人上述行为违法了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《中华人民共和国产品质量法》第三十九条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规定；依照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eastAsia="zh-CN"/>
        </w:rPr>
        <w:t>《中华人民共和国产品质量法》</w:t>
      </w: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第五十条规定，</w:t>
      </w:r>
      <w:r>
        <w:rPr>
          <w:rFonts w:hint="eastAsia" w:ascii="宋体" w:hAnsi="宋体" w:eastAsia="宋体" w:cs="宋体"/>
          <w:spacing w:val="-5"/>
          <w:sz w:val="30"/>
          <w:szCs w:val="30"/>
          <w:u w:val="none"/>
        </w:rPr>
        <w:t>责令当事人</w:t>
      </w:r>
      <w:r>
        <w:rPr>
          <w:rFonts w:hint="eastAsia" w:ascii="宋体" w:hAnsi="宋体" w:eastAsia="宋体" w:cs="宋体"/>
          <w:spacing w:val="-1"/>
          <w:sz w:val="30"/>
          <w:szCs w:val="30"/>
          <w:u w:val="none"/>
        </w:rPr>
        <w:t>改正上述违法行为</w:t>
      </w:r>
      <w:r>
        <w:rPr>
          <w:rFonts w:hint="eastAsia" w:ascii="宋体" w:hAnsi="宋体" w:eastAsia="宋体" w:cs="宋体"/>
          <w:spacing w:val="-1"/>
          <w:sz w:val="30"/>
          <w:szCs w:val="30"/>
          <w:u w:val="none"/>
          <w:lang w:eastAsia="zh-CN"/>
        </w:rPr>
        <w:t>，</w:t>
      </w:r>
      <w:r>
        <w:rPr>
          <w:rFonts w:hint="eastAsia" w:ascii="宋体" w:hAnsi="宋体" w:eastAsia="宋体" w:cs="宋体"/>
          <w:spacing w:val="-1"/>
          <w:sz w:val="30"/>
          <w:szCs w:val="30"/>
          <w:u w:val="none"/>
        </w:rPr>
        <w:t>并决定处罚如下：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Theme="minorEastAsia" w:hAnsiTheme="minorEastAsia" w:cstheme="minorEastAsia"/>
          <w:bCs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u w:val="none"/>
          <w:lang w:val="en-US" w:eastAsia="zh-CN"/>
        </w:rPr>
        <w:t>没收违法所得1250元；</w:t>
      </w:r>
    </w:p>
    <w:p>
      <w:pPr>
        <w:numPr>
          <w:ilvl w:val="0"/>
          <w:numId w:val="1"/>
        </w:num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Cs/>
          <w:sz w:val="30"/>
          <w:szCs w:val="30"/>
          <w:u w:val="none"/>
          <w:lang w:val="en-US" w:eastAsia="zh-CN"/>
        </w:rPr>
        <w:t>罚款3750元。</w:t>
      </w:r>
    </w:p>
    <w:p>
      <w:pPr>
        <w:spacing w:line="500" w:lineRule="exact"/>
        <w:ind w:firstLine="600" w:firstLineChars="200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u w:val="none"/>
          <w:lang w:val="en-US" w:eastAsia="zh-CN"/>
        </w:rPr>
        <w:t>当事人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自接到本处罚决定书之日起十五日内到威县</w:t>
      </w:r>
      <w:r>
        <w:rPr>
          <w:rFonts w:hint="eastAsia" w:ascii="宋体" w:hAnsi="宋体" w:eastAsia="宋体" w:cs="宋体"/>
          <w:color w:val="000000"/>
          <w:sz w:val="30"/>
          <w:szCs w:val="30"/>
          <w:lang w:val="en-US" w:eastAsia="zh-CN"/>
        </w:rPr>
        <w:t>收费管理局银行账户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缴纳罚款，逾期不缴纳，每日按罚款数额的百分之三加处罚款。</w:t>
      </w:r>
    </w:p>
    <w:p>
      <w:pPr>
        <w:spacing w:line="500" w:lineRule="exact"/>
        <w:ind w:firstLine="600" w:firstLineChars="200"/>
        <w:rPr>
          <w:rFonts w:hint="eastAsia" w:ascii="仿宋" w:hAnsi="仿宋" w:eastAsia="仿宋" w:cs="仿宋"/>
          <w:sz w:val="30"/>
          <w:szCs w:val="30"/>
          <w:u w:val="none"/>
        </w:rPr>
      </w:pPr>
      <w:r>
        <w:rPr>
          <w:rFonts w:hint="eastAsia" w:ascii="宋体" w:hAnsi="宋体" w:eastAsia="宋体" w:cs="宋体"/>
          <w:color w:val="000000"/>
          <w:sz w:val="30"/>
          <w:szCs w:val="30"/>
        </w:rPr>
        <w:t>如不服本处罚决定，可在接到本处罚决定之日起</w:t>
      </w:r>
      <w:r>
        <w:rPr>
          <w:rFonts w:hint="eastAsia" w:ascii="宋体" w:hAnsi="宋体" w:eastAsia="宋体" w:cs="宋体"/>
          <w:color w:val="000000"/>
          <w:sz w:val="30"/>
          <w:szCs w:val="30"/>
          <w:u w:val="single"/>
        </w:rPr>
        <w:t>六十日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>内，向</w:t>
      </w:r>
      <w:r>
        <w:rPr>
          <w:rFonts w:hint="eastAsia" w:ascii="宋体" w:hAnsi="宋体" w:eastAsia="宋体" w:cs="宋体"/>
          <w:color w:val="000000"/>
          <w:sz w:val="30"/>
          <w:szCs w:val="30"/>
          <w:u w:val="none"/>
        </w:rPr>
        <w:t>威县人民政府申请复议,</w:t>
      </w:r>
      <w:r>
        <w:rPr>
          <w:rFonts w:hint="eastAsia" w:ascii="宋体" w:hAnsi="宋体" w:eastAsia="宋体" w:cs="宋体"/>
          <w:color w:val="000000"/>
          <w:sz w:val="30"/>
          <w:szCs w:val="30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也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eastAsia="zh-CN"/>
        </w:rPr>
        <w:t>可以在接到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处罚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eastAsia="zh-CN"/>
        </w:rPr>
        <w:t>决定之日起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六个月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eastAsia="zh-CN"/>
        </w:rPr>
        <w:t>内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</w:rPr>
        <w:t>向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  <w:lang w:val="en-US" w:eastAsia="zh-CN"/>
        </w:rPr>
        <w:t>广宗县</w:t>
      </w:r>
      <w:r>
        <w:rPr>
          <w:rFonts w:hint="eastAsia" w:ascii="宋体" w:hAnsi="宋体" w:eastAsia="宋体" w:cs="宋体"/>
          <w:b w:val="0"/>
          <w:bCs w:val="0"/>
          <w:strike w:val="0"/>
          <w:dstrike w:val="0"/>
          <w:color w:val="000000"/>
          <w:sz w:val="30"/>
          <w:szCs w:val="30"/>
        </w:rPr>
        <w:t>人民法院提起诉讼。</w:t>
      </w:r>
      <w:r>
        <w:rPr>
          <w:rFonts w:hint="eastAsia" w:ascii="宋体" w:hAnsi="宋体" w:eastAsia="宋体" w:cs="宋体"/>
          <w:sz w:val="30"/>
          <w:szCs w:val="30"/>
          <w:u w:val="none"/>
        </w:rPr>
        <w:t>当事人申请行政复议或者提起行政诉讼期间，本行政处罚决定不停止执行。</w:t>
      </w:r>
    </w:p>
    <w:p>
      <w:pPr>
        <w:spacing w:line="520" w:lineRule="exact"/>
        <w:ind w:firstLine="600" w:firstLineChars="200"/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  <w:u w:val="single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</w:pPr>
    </w:p>
    <w:p>
      <w:pPr>
        <w:spacing w:line="500" w:lineRule="exact"/>
        <w:ind w:right="-58"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威县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市场监督管理局</w:t>
      </w:r>
    </w:p>
    <w:p>
      <w:pPr>
        <w:tabs>
          <w:tab w:val="left" w:pos="8200"/>
        </w:tabs>
        <w:spacing w:line="500" w:lineRule="exact"/>
        <w:ind w:right="746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（印 章）           </w:t>
      </w:r>
    </w:p>
    <w:p>
      <w:pPr>
        <w:wordWrap w:val="0"/>
        <w:snapToGrid w:val="0"/>
        <w:spacing w:line="520" w:lineRule="exact"/>
        <w:ind w:firstLine="640"/>
        <w:jc w:val="righ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二0二三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年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十七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日  </w:t>
      </w:r>
    </w:p>
    <w:p>
      <w:pPr>
        <w:wordWrap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</w:t>
      </w:r>
    </w:p>
    <w:p>
      <w:pPr>
        <w:wordWrap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</w:pPr>
    </w:p>
    <w:p>
      <w:pPr>
        <w:wordWrap w:val="0"/>
        <w:snapToGrid w:val="0"/>
        <w:spacing w:line="520" w:lineRule="exact"/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h0Z9dUAAAAHAQAADwAAAAAAAAABACAAAAAiAAAAZHJzL2Rvd25yZXYueG1sUEsBAhQA&#10;FAAAAAgAh07iQCtj0Av1AQAA5wMAAA4AAAAAAAAAAQAgAAAAJAEAAGRycy9lMm9Eb2MueG1sUEsF&#10;BgAAAAAGAAYAWQEAAIsFAAAAAA=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20" w:lineRule="exact"/>
        <w:ind w:firstLine="600" w:firstLineChars="200"/>
      </w:pPr>
      <w:r>
        <w:rPr>
          <w:rFonts w:hint="eastAsia" w:asciiTheme="minorEastAsia" w:hAnsiTheme="minorEastAsia" w:eastAsiaTheme="minorEastAsia" w:cstheme="minorEastAsia"/>
          <w:bCs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i+/zkdcAAAAKAQAADwAAAAAAAAABACAAAAAiAAAAZHJzL2Rvd25yZXYueG1s&#10;UEsBAhQAFAAAAAgAh07iQBSD0Df5AQAA5QMAAA4AAAAAAAAAAQAgAAAAJgEAAGRycy9lMm9Eb2Mu&#10;eG1sUEsFBgAAAAAGAAYAWQEAAJE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本文书一式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份，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份送达，一份归档，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  <w:lang w:val="en-US" w:eastAsia="zh-CN"/>
        </w:rPr>
        <w:t>一份留存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4561DC"/>
    <w:multiLevelType w:val="singleLevel"/>
    <w:tmpl w:val="7F4561D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1548160A"/>
    <w:rsid w:val="6B2D75A6"/>
    <w:rsid w:val="7060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1353</Words>
  <Characters>1447</Characters>
  <Lines>0</Lines>
  <Paragraphs>0</Paragraphs>
  <TotalTime>0</TotalTime>
  <ScaleCrop>false</ScaleCrop>
  <LinksUpToDate>false</LinksUpToDate>
  <CharactersWithSpaces>1649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2023-06-30T09:14:00Z</dcterms:created>
  <dc:creator>wxdell</dc:creator>
  <cp:lastModifiedBy>dell</cp:lastModifiedBy>
  <dcterms:modified xsi:type="dcterms:W3CDTF">2023-07-14T02:10:36Z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358337D56B7240BE92A8C5B47D3446E7_12</vt:lpwstr>
  </property>
</Properties>
</file>