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8"/>
          <w:szCs w:val="48"/>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8"/>
          <w:szCs w:val="48"/>
          <w:shd w:val="clear" w:color="auto" w:fill="FFFFFF"/>
          <w:lang w:val="en-US" w:eastAsia="zh-CN"/>
        </w:rPr>
        <w:t>威县农业农村局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8"/>
          <w:szCs w:val="48"/>
          <w:shd w:val="clear" w:color="auto" w:fill="FFFFFF"/>
        </w:rPr>
      </w:pPr>
      <w:bookmarkStart w:id="1" w:name="_GoBack"/>
      <w:r>
        <w:rPr>
          <w:rFonts w:hint="eastAsia" w:ascii="方正小标宋简体" w:hAnsi="方正小标宋简体" w:eastAsia="方正小标宋简体" w:cs="方正小标宋简体"/>
          <w:b w:val="0"/>
          <w:bCs/>
          <w:i w:val="0"/>
          <w:caps w:val="0"/>
          <w:color w:val="333333"/>
          <w:spacing w:val="0"/>
          <w:sz w:val="48"/>
          <w:szCs w:val="48"/>
          <w:shd w:val="clear" w:color="auto" w:fill="FFFFFF"/>
        </w:rPr>
        <w:t>202</w:t>
      </w:r>
      <w:r>
        <w:rPr>
          <w:rFonts w:hint="eastAsia" w:ascii="方正小标宋简体" w:hAnsi="方正小标宋简体" w:eastAsia="方正小标宋简体" w:cs="方正小标宋简体"/>
          <w:b w:val="0"/>
          <w:bCs/>
          <w:i w:val="0"/>
          <w:caps w:val="0"/>
          <w:color w:val="333333"/>
          <w:spacing w:val="0"/>
          <w:sz w:val="48"/>
          <w:szCs w:val="48"/>
          <w:shd w:val="clear" w:color="auto" w:fill="FFFFFF"/>
          <w:lang w:val="en-US" w:eastAsia="zh-CN"/>
        </w:rPr>
        <w:t>2</w:t>
      </w:r>
      <w:r>
        <w:rPr>
          <w:rFonts w:hint="eastAsia" w:ascii="方正小标宋简体" w:hAnsi="方正小标宋简体" w:eastAsia="方正小标宋简体" w:cs="方正小标宋简体"/>
          <w:b w:val="0"/>
          <w:bCs/>
          <w:i w:val="0"/>
          <w:caps w:val="0"/>
          <w:color w:val="333333"/>
          <w:spacing w:val="0"/>
          <w:sz w:val="48"/>
          <w:szCs w:val="48"/>
          <w:shd w:val="clear" w:color="auto" w:fill="FFFFFF"/>
        </w:rPr>
        <w:t>年政府信息公开工作年度报告</w:t>
      </w:r>
      <w:bookmarkEnd w:id="1"/>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widowControl/>
        <w:suppressLineNumbers w:val="0"/>
        <w:shd w:val="clear"/>
        <w:wordWrap/>
        <w:bidi w:val="0"/>
        <w:spacing w:line="560" w:lineRule="atLeast"/>
        <w:ind w:left="0" w:firstLine="640"/>
        <w:jc w:val="left"/>
        <w:rPr>
          <w:rFonts w:ascii="Calibri" w:hAnsi="Calibri" w:cs="Calibri"/>
          <w:i w:val="0"/>
          <w:iCs w:val="0"/>
          <w:caps w:val="0"/>
          <w:color w:val="000000"/>
          <w:spacing w:val="0"/>
          <w:sz w:val="27"/>
          <w:szCs w:val="27"/>
        </w:rPr>
      </w:pPr>
      <w:r>
        <w:rPr>
          <w:rFonts w:ascii="仿宋_GB2312" w:hAnsi="Calibri" w:eastAsia="仿宋_GB2312" w:cs="仿宋_GB2312"/>
          <w:i w:val="0"/>
          <w:iCs w:val="0"/>
          <w:caps w:val="0"/>
          <w:color w:val="000000"/>
          <w:spacing w:val="0"/>
          <w:sz w:val="32"/>
          <w:szCs w:val="32"/>
          <w:shd w:val="clear" w:fill="FFFFFF"/>
        </w:rPr>
        <w:t>202</w:t>
      </w:r>
      <w:r>
        <w:rPr>
          <w:rFonts w:hint="default" w:ascii="仿宋_GB2312" w:hAnsi="Calibri" w:eastAsia="仿宋_GB2312" w:cs="仿宋_GB2312"/>
          <w:i w:val="0"/>
          <w:iCs w:val="0"/>
          <w:caps w:val="0"/>
          <w:color w:val="000000"/>
          <w:spacing w:val="0"/>
          <w:sz w:val="32"/>
          <w:szCs w:val="32"/>
          <w:shd w:val="clear" w:fill="FFFFFF"/>
        </w:rPr>
        <w:t>2年，</w:t>
      </w:r>
      <w:r>
        <w:rPr>
          <w:rFonts w:hint="eastAsia" w:ascii="仿宋_GB2312" w:hAnsi="Calibri" w:eastAsia="仿宋_GB2312" w:cs="仿宋_GB2312"/>
          <w:i w:val="0"/>
          <w:iCs w:val="0"/>
          <w:caps w:val="0"/>
          <w:color w:val="000000"/>
          <w:spacing w:val="0"/>
          <w:sz w:val="32"/>
          <w:szCs w:val="32"/>
          <w:shd w:val="clear" w:fill="FFFFFF"/>
          <w:lang w:val="en-US" w:eastAsia="zh-CN"/>
        </w:rPr>
        <w:t>我局</w:t>
      </w:r>
      <w:r>
        <w:rPr>
          <w:rFonts w:hint="default" w:ascii="仿宋_GB2312" w:hAnsi="Calibri" w:eastAsia="仿宋_GB2312" w:cs="仿宋_GB2312"/>
          <w:i w:val="0"/>
          <w:iCs w:val="0"/>
          <w:caps w:val="0"/>
          <w:color w:val="000000"/>
          <w:spacing w:val="0"/>
          <w:sz w:val="32"/>
          <w:szCs w:val="32"/>
          <w:shd w:val="clear" w:fill="FFFFFF"/>
        </w:rPr>
        <w:t>坚持以习近平新时代中国特色社会主义思想为指导，全面贯彻落实党中央、国务院关于政务公开工作决策部署和省、市以及县委、县政府工作安排，围绕中心、服务大局，加大主动公开工作力度，全面提升政务公开工作水平。</w:t>
      </w:r>
    </w:p>
    <w:p>
      <w:pPr>
        <w:keepNext w:val="0"/>
        <w:keepLines w:val="0"/>
        <w:widowControl/>
        <w:suppressLineNumbers w:val="0"/>
        <w:shd w:val="clear"/>
        <w:wordWrap/>
        <w:bidi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ascii="楷体_GB2312" w:hAnsi="Calibri" w:eastAsia="楷体_GB2312" w:cs="楷体_GB2312"/>
          <w:b w:val="0"/>
          <w:bCs w:val="0"/>
          <w:i w:val="0"/>
          <w:iCs w:val="0"/>
          <w:caps w:val="0"/>
          <w:color w:val="333333"/>
          <w:spacing w:val="0"/>
          <w:kern w:val="0"/>
          <w:sz w:val="32"/>
          <w:szCs w:val="32"/>
          <w:shd w:val="clear" w:fill="FFFFFF"/>
          <w:lang w:val="en-US" w:eastAsia="zh-CN" w:bidi="ar"/>
        </w:rPr>
        <w:t>（一）</w:t>
      </w:r>
      <w:r>
        <w:rPr>
          <w:rFonts w:hint="default" w:ascii="楷体_GB2312" w:hAnsi="Calibri" w:eastAsia="楷体_GB2312" w:cs="楷体_GB2312"/>
          <w:b w:val="0"/>
          <w:bCs w:val="0"/>
          <w:i w:val="0"/>
          <w:iCs w:val="0"/>
          <w:caps w:val="0"/>
          <w:color w:val="000000"/>
          <w:spacing w:val="0"/>
          <w:kern w:val="0"/>
          <w:sz w:val="32"/>
          <w:szCs w:val="32"/>
          <w:shd w:val="clear" w:fill="FFFFFF"/>
          <w:lang w:val="en-US" w:eastAsia="zh-CN" w:bidi="ar"/>
        </w:rPr>
        <w:t>主动公开</w:t>
      </w:r>
      <w:r>
        <w:rPr>
          <w:rFonts w:hint="eastAsia" w:ascii="楷体_GB2312" w:hAnsi="Calibri" w:eastAsia="楷体_GB2312" w:cs="楷体_GB2312"/>
          <w:b w:val="0"/>
          <w:bCs w:val="0"/>
          <w:i w:val="0"/>
          <w:iCs w:val="0"/>
          <w:caps w:val="0"/>
          <w:color w:val="000000"/>
          <w:spacing w:val="0"/>
          <w:kern w:val="0"/>
          <w:sz w:val="32"/>
          <w:szCs w:val="32"/>
          <w:shd w:val="clear" w:fill="FFFFFF"/>
          <w:lang w:val="en-US" w:eastAsia="zh-CN" w:bidi="ar"/>
        </w:rPr>
        <w:t>事项</w:t>
      </w:r>
      <w:r>
        <w:rPr>
          <w:rFonts w:hint="default" w:ascii="楷体_GB2312" w:hAnsi="Calibri" w:eastAsia="楷体_GB2312" w:cs="楷体_GB2312"/>
          <w:b w:val="0"/>
          <w:bCs w:val="0"/>
          <w:i w:val="0"/>
          <w:iCs w:val="0"/>
          <w:caps w:val="0"/>
          <w:color w:val="333333"/>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坚持“公开为常态、不公开为例外”原则，建立健全制度，召开培训会，加大政府信息主动公开力度，不断提升政务公开生命力。2022年，我</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局</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在政府网站和信息公开平台公开发布</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工作部署、行政执法、建议提案办理、农业生产信息与技术服务</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等方面政务信息</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110</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条。另外，2022年威县农业农村局公众号共发布39条</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，包括</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公示公告13条，技术指导18条，工作部署7条，警示教育1条</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办结</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阳光理正</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网络问政</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6</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件，县</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市</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长</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热线60</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余件。全年未发生信息公开失泄密情况。</w:t>
      </w:r>
    </w:p>
    <w:p>
      <w:pPr>
        <w:pStyle w:val="5"/>
        <w:keepNext w:val="0"/>
        <w:keepLines w:val="0"/>
        <w:widowControl/>
        <w:suppressLineNumbers w:val="0"/>
        <w:wordWrap/>
        <w:bidi w:val="0"/>
        <w:spacing w:before="0" w:beforeAutospacing="0" w:after="0" w:afterAutospacing="0" w:line="560" w:lineRule="atLeast"/>
        <w:ind w:left="0" w:right="0" w:firstLine="640"/>
        <w:jc w:val="both"/>
        <w:rPr>
          <w:rFonts w:hint="eastAsia" w:ascii="Calibri" w:hAnsi="Calibri" w:eastAsia="仿宋_GB2312" w:cs="Calibri"/>
          <w:i w:val="0"/>
          <w:iCs w:val="0"/>
          <w:caps w:val="0"/>
          <w:color w:val="000000"/>
          <w:spacing w:val="0"/>
          <w:sz w:val="27"/>
          <w:szCs w:val="27"/>
          <w:lang w:eastAsia="zh-CN"/>
        </w:rPr>
      </w:pPr>
      <w:r>
        <w:rPr>
          <w:rFonts w:hint="default" w:ascii="楷体_GB2312" w:hAnsi="Calibri" w:eastAsia="楷体_GB2312" w:cs="楷体_GB2312"/>
          <w:b w:val="0"/>
          <w:bCs w:val="0"/>
          <w:i w:val="0"/>
          <w:iCs w:val="0"/>
          <w:caps w:val="0"/>
          <w:color w:val="333333"/>
          <w:spacing w:val="0"/>
          <w:sz w:val="32"/>
          <w:szCs w:val="32"/>
          <w:shd w:val="clear" w:fill="FFFFFF"/>
        </w:rPr>
        <w:t>（二）依申请公开</w:t>
      </w:r>
      <w:r>
        <w:rPr>
          <w:rFonts w:hint="eastAsia" w:ascii="楷体_GB2312" w:hAnsi="Calibri" w:eastAsia="楷体_GB2312" w:cs="楷体_GB2312"/>
          <w:b w:val="0"/>
          <w:bCs w:val="0"/>
          <w:i w:val="0"/>
          <w:iCs w:val="0"/>
          <w:caps w:val="0"/>
          <w:color w:val="333333"/>
          <w:spacing w:val="0"/>
          <w:sz w:val="32"/>
          <w:szCs w:val="32"/>
          <w:shd w:val="clear" w:fill="FFFFFF"/>
          <w:lang w:val="en-US" w:eastAsia="zh-CN"/>
        </w:rPr>
        <w:t>事项</w:t>
      </w:r>
      <w:r>
        <w:rPr>
          <w:rFonts w:hint="default" w:ascii="楷体_GB2312" w:hAnsi="Calibri" w:eastAsia="楷体_GB2312" w:cs="楷体_GB2312"/>
          <w:b w:val="0"/>
          <w:bCs w:val="0"/>
          <w:i w:val="0"/>
          <w:iCs w:val="0"/>
          <w:caps w:val="0"/>
          <w:color w:val="333333"/>
          <w:spacing w:val="0"/>
          <w:sz w:val="32"/>
          <w:szCs w:val="32"/>
          <w:shd w:val="clear" w:fill="FFFFFF"/>
        </w:rPr>
        <w:t>。</w:t>
      </w:r>
      <w:r>
        <w:rPr>
          <w:rFonts w:hint="eastAsia" w:ascii="楷体_GB2312" w:hAnsi="Calibri" w:eastAsia="楷体_GB2312" w:cs="楷体_GB2312"/>
          <w:b w:val="0"/>
          <w:bCs w:val="0"/>
          <w:i w:val="0"/>
          <w:iCs w:val="0"/>
          <w:caps w:val="0"/>
          <w:color w:val="333333"/>
          <w:spacing w:val="0"/>
          <w:sz w:val="32"/>
          <w:szCs w:val="32"/>
          <w:shd w:val="clear" w:fill="FFFFFF"/>
          <w:lang w:val="en-US" w:eastAsia="zh-CN"/>
        </w:rPr>
        <w:t>2022年无</w:t>
      </w:r>
      <w:r>
        <w:rPr>
          <w:rFonts w:hint="default" w:ascii="仿宋_GB2312" w:hAnsi="Calibri" w:eastAsia="仿宋_GB2312" w:cs="仿宋_GB2312"/>
          <w:b w:val="0"/>
          <w:bCs w:val="0"/>
          <w:i w:val="0"/>
          <w:iCs w:val="0"/>
          <w:caps w:val="0"/>
          <w:color w:val="333333"/>
          <w:spacing w:val="0"/>
          <w:sz w:val="32"/>
          <w:szCs w:val="32"/>
          <w:shd w:val="clear" w:fill="FFFFFF"/>
        </w:rPr>
        <w:t>依申请公开</w:t>
      </w:r>
      <w:r>
        <w:rPr>
          <w:rFonts w:hint="eastAsia" w:ascii="仿宋_GB2312" w:hAnsi="Calibri" w:eastAsia="仿宋_GB2312" w:cs="仿宋_GB2312"/>
          <w:b w:val="0"/>
          <w:bCs w:val="0"/>
          <w:i w:val="0"/>
          <w:iCs w:val="0"/>
          <w:caps w:val="0"/>
          <w:color w:val="333333"/>
          <w:spacing w:val="0"/>
          <w:sz w:val="32"/>
          <w:szCs w:val="32"/>
          <w:shd w:val="clear" w:fill="FFFFFF"/>
          <w:lang w:val="en-US" w:eastAsia="zh-CN"/>
        </w:rPr>
        <w:t>事项。</w:t>
      </w:r>
    </w:p>
    <w:p>
      <w:pPr>
        <w:pStyle w:val="5"/>
        <w:keepNext w:val="0"/>
        <w:keepLines w:val="0"/>
        <w:widowControl/>
        <w:suppressLineNumbers w:val="0"/>
        <w:wordWrap/>
        <w:bidi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7"/>
          <w:szCs w:val="27"/>
        </w:rPr>
      </w:pPr>
      <w:r>
        <w:rPr>
          <w:rFonts w:hint="default" w:ascii="楷体_GB2312" w:hAnsi="Calibri" w:eastAsia="楷体_GB2312" w:cs="楷体_GB2312"/>
          <w:b w:val="0"/>
          <w:bCs w:val="0"/>
          <w:i w:val="0"/>
          <w:iCs w:val="0"/>
          <w:caps w:val="0"/>
          <w:color w:val="333333"/>
          <w:spacing w:val="0"/>
          <w:sz w:val="32"/>
          <w:szCs w:val="32"/>
          <w:shd w:val="clear" w:fill="FFFFFF"/>
        </w:rPr>
        <w:t>（三）政府信息管理。</w:t>
      </w:r>
      <w:r>
        <w:rPr>
          <w:rFonts w:hint="eastAsia" w:ascii="仿宋" w:hAnsi="仿宋" w:eastAsia="仿宋" w:cs="仿宋"/>
          <w:b w:val="0"/>
          <w:bCs w:val="0"/>
          <w:i w:val="0"/>
          <w:iCs w:val="0"/>
          <w:caps w:val="0"/>
          <w:color w:val="333333"/>
          <w:spacing w:val="0"/>
          <w:sz w:val="32"/>
          <w:szCs w:val="32"/>
          <w:shd w:val="clear" w:fill="FFFFFF"/>
        </w:rPr>
        <w:t>根据《河北省人民政府办公厅关于做好规章和行政规范性文件清理工作的通知》（冀政办字［2022］57号）要求，</w:t>
      </w:r>
      <w:r>
        <w:rPr>
          <w:rFonts w:hint="default" w:ascii="仿宋_GB2312" w:hAnsi="Calibri" w:eastAsia="仿宋_GB2312" w:cs="仿宋_GB2312"/>
          <w:i w:val="0"/>
          <w:iCs w:val="0"/>
          <w:caps w:val="0"/>
          <w:color w:val="000000"/>
          <w:spacing w:val="0"/>
          <w:sz w:val="32"/>
          <w:szCs w:val="32"/>
        </w:rPr>
        <w:t>认真开展规范性文件清理工作</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b w:val="0"/>
          <w:bCs w:val="0"/>
          <w:i w:val="0"/>
          <w:iCs w:val="0"/>
          <w:caps w:val="0"/>
          <w:color w:val="333333"/>
          <w:spacing w:val="0"/>
          <w:sz w:val="32"/>
          <w:szCs w:val="32"/>
          <w:shd w:val="clear" w:fill="FFFFFF"/>
        </w:rPr>
        <w:t>对行政规范性文件进行了清理</w:t>
      </w:r>
      <w:r>
        <w:rPr>
          <w:rFonts w:hint="eastAsia" w:ascii="仿宋" w:hAnsi="仿宋" w:eastAsia="仿宋" w:cs="仿宋"/>
          <w:i w:val="0"/>
          <w:iCs w:val="0"/>
          <w:caps w:val="0"/>
          <w:color w:val="000000"/>
          <w:spacing w:val="0"/>
          <w:sz w:val="32"/>
          <w:szCs w:val="32"/>
        </w:rPr>
        <w:t>，保留1件，</w:t>
      </w:r>
      <w:r>
        <w:rPr>
          <w:rFonts w:hint="default" w:ascii="仿宋_GB2312" w:hAnsi="Calibri" w:eastAsia="仿宋_GB2312" w:cs="仿宋_GB2312"/>
          <w:i w:val="0"/>
          <w:iCs w:val="0"/>
          <w:caps w:val="0"/>
          <w:color w:val="000000"/>
          <w:spacing w:val="0"/>
          <w:sz w:val="32"/>
          <w:szCs w:val="32"/>
        </w:rPr>
        <w:t>清理结果均在政府网站进行了公示。</w:t>
      </w:r>
      <w:bookmarkStart w:id="0" w:name="_GoBack"/>
      <w:bookmarkEnd w:id="0"/>
    </w:p>
    <w:p>
      <w:pPr>
        <w:pStyle w:val="5"/>
        <w:keepNext w:val="0"/>
        <w:keepLines w:val="0"/>
        <w:widowControl/>
        <w:suppressLineNumbers w:val="0"/>
        <w:wordWrap/>
        <w:bidi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7"/>
          <w:szCs w:val="27"/>
        </w:rPr>
      </w:pPr>
      <w:r>
        <w:rPr>
          <w:rFonts w:hint="default" w:ascii="楷体_GB2312" w:hAnsi="Calibri" w:eastAsia="楷体_GB2312" w:cs="楷体_GB2312"/>
          <w:b w:val="0"/>
          <w:bCs w:val="0"/>
          <w:i w:val="0"/>
          <w:iCs w:val="0"/>
          <w:caps w:val="0"/>
          <w:color w:val="333333"/>
          <w:spacing w:val="0"/>
          <w:sz w:val="32"/>
          <w:szCs w:val="32"/>
          <w:shd w:val="clear" w:fill="FFFFFF"/>
        </w:rPr>
        <w:t>（四）公开平台建设。</w:t>
      </w:r>
      <w:r>
        <w:rPr>
          <w:rFonts w:hint="eastAsia" w:ascii="楷体_GB2312" w:hAnsi="Calibri" w:eastAsia="楷体_GB2312" w:cs="楷体_GB2312"/>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目前，我局</w:t>
      </w:r>
      <w:r>
        <w:rPr>
          <w:rFonts w:hint="default" w:ascii="仿宋_GB2312" w:hAnsi="Calibri" w:eastAsia="仿宋_GB2312" w:cs="仿宋_GB2312"/>
          <w:i w:val="0"/>
          <w:iCs w:val="0"/>
          <w:caps w:val="0"/>
          <w:color w:val="000000"/>
          <w:spacing w:val="0"/>
          <w:sz w:val="32"/>
          <w:szCs w:val="32"/>
        </w:rPr>
        <w:t>建设政务新媒体微信公众号</w:t>
      </w:r>
      <w:r>
        <w:rPr>
          <w:rFonts w:hint="eastAsia" w:ascii="仿宋_GB2312" w:hAnsi="Calibri" w:eastAsia="仿宋_GB2312" w:cs="仿宋_GB2312"/>
          <w:i w:val="0"/>
          <w:iCs w:val="0"/>
          <w:caps w:val="0"/>
          <w:color w:val="000000"/>
          <w:spacing w:val="0"/>
          <w:sz w:val="32"/>
          <w:szCs w:val="32"/>
          <w:lang w:val="en-US" w:eastAsia="zh-CN"/>
        </w:rPr>
        <w:t>1</w:t>
      </w:r>
      <w:r>
        <w:rPr>
          <w:rFonts w:hint="default" w:ascii="仿宋_GB2312" w:hAnsi="Calibri" w:eastAsia="仿宋_GB2312" w:cs="仿宋_GB2312"/>
          <w:i w:val="0"/>
          <w:iCs w:val="0"/>
          <w:caps w:val="0"/>
          <w:color w:val="000000"/>
          <w:spacing w:val="0"/>
          <w:sz w:val="32"/>
          <w:szCs w:val="32"/>
        </w:rPr>
        <w:t>个</w:t>
      </w:r>
      <w:r>
        <w:rPr>
          <w:rFonts w:hint="eastAsia" w:ascii="仿宋_GB2312" w:hAnsi="Calibri" w:eastAsia="仿宋_GB2312" w:cs="仿宋_GB2312"/>
          <w:i w:val="0"/>
          <w:iCs w:val="0"/>
          <w:caps w:val="0"/>
          <w:color w:val="000000"/>
          <w:spacing w:val="0"/>
          <w:sz w:val="32"/>
          <w:szCs w:val="32"/>
          <w:lang w:eastAsia="zh-CN"/>
        </w:rPr>
        <w:t>，</w:t>
      </w:r>
      <w:r>
        <w:rPr>
          <w:rFonts w:hint="eastAsia" w:ascii="仿宋_GB2312" w:hAnsi="Calibri" w:eastAsia="仿宋_GB2312" w:cs="仿宋_GB2312"/>
          <w:i w:val="0"/>
          <w:iCs w:val="0"/>
          <w:caps w:val="0"/>
          <w:color w:val="000000"/>
          <w:spacing w:val="0"/>
          <w:sz w:val="32"/>
          <w:szCs w:val="32"/>
          <w:lang w:val="en-US" w:eastAsia="zh-CN"/>
        </w:rPr>
        <w:t>并</w:t>
      </w:r>
      <w:r>
        <w:rPr>
          <w:rFonts w:hint="default" w:ascii="仿宋_GB2312" w:hAnsi="Calibri" w:eastAsia="仿宋_GB2312" w:cs="仿宋_GB2312"/>
          <w:i w:val="0"/>
          <w:iCs w:val="0"/>
          <w:caps w:val="0"/>
          <w:color w:val="000000"/>
          <w:spacing w:val="0"/>
          <w:sz w:val="32"/>
          <w:szCs w:val="32"/>
        </w:rPr>
        <w:t>在国家政务新媒体管理平台和河北省政务新媒体管理平台进行了备案管理</w:t>
      </w:r>
      <w:r>
        <w:rPr>
          <w:rFonts w:hint="eastAsia" w:ascii="仿宋_GB2312" w:hAnsi="Calibri" w:eastAsia="仿宋_GB2312" w:cs="仿宋_GB2312"/>
          <w:i w:val="0"/>
          <w:iCs w:val="0"/>
          <w:caps w:val="0"/>
          <w:color w:val="000000"/>
          <w:spacing w:val="0"/>
          <w:sz w:val="32"/>
          <w:szCs w:val="32"/>
          <w:lang w:eastAsia="zh-CN"/>
        </w:rPr>
        <w:t>。</w:t>
      </w:r>
      <w:r>
        <w:rPr>
          <w:rFonts w:hint="eastAsia" w:ascii="仿宋_GB2312" w:hAnsi="Calibri" w:eastAsia="仿宋_GB2312" w:cs="仿宋_GB2312"/>
          <w:i w:val="0"/>
          <w:iCs w:val="0"/>
          <w:caps w:val="0"/>
          <w:color w:val="000000"/>
          <w:spacing w:val="0"/>
          <w:sz w:val="32"/>
          <w:szCs w:val="32"/>
          <w:lang w:val="en-US" w:eastAsia="zh-CN"/>
        </w:rPr>
        <w:t>同时，</w:t>
      </w:r>
      <w:r>
        <w:rPr>
          <w:rFonts w:hint="eastAsia" w:ascii="仿宋_GB2312" w:hAnsi="Calibri" w:eastAsia="仿宋_GB2312" w:cs="仿宋_GB2312"/>
          <w:i w:val="0"/>
          <w:iCs w:val="0"/>
          <w:caps w:val="0"/>
          <w:color w:val="000000"/>
          <w:spacing w:val="0"/>
          <w:sz w:val="32"/>
          <w:szCs w:val="32"/>
          <w:lang w:val="en-US" w:eastAsia="zh-CN"/>
        </w:rPr>
        <w:t>清理撤销闲置微信公众号1个</w:t>
      </w:r>
      <w:r>
        <w:rPr>
          <w:rFonts w:hint="default" w:ascii="仿宋_GB2312" w:hAnsi="Calibri" w:eastAsia="仿宋_GB2312" w:cs="仿宋_GB2312"/>
          <w:i w:val="0"/>
          <w:iCs w:val="0"/>
          <w:caps w:val="0"/>
          <w:color w:val="000000"/>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Calibri" w:eastAsia="楷体_GB2312" w:cs="楷体_GB2312"/>
          <w:b w:val="0"/>
          <w:bCs w:val="0"/>
          <w:i w:val="0"/>
          <w:iCs w:val="0"/>
          <w:caps w:val="0"/>
          <w:color w:val="333333"/>
          <w:spacing w:val="0"/>
          <w:sz w:val="32"/>
          <w:szCs w:val="32"/>
          <w:shd w:val="clear" w:fill="FFFFFF"/>
        </w:rPr>
        <w:t>（五）保障体系建设。</w:t>
      </w:r>
      <w:r>
        <w:rPr>
          <w:rFonts w:hint="eastAsia" w:ascii="仿宋" w:hAnsi="仿宋" w:eastAsia="仿宋" w:cs="仿宋"/>
          <w:b w:val="0"/>
          <w:bCs w:val="0"/>
          <w:i w:val="0"/>
          <w:iCs w:val="0"/>
          <w:caps w:val="0"/>
          <w:color w:val="333333"/>
          <w:spacing w:val="0"/>
          <w:sz w:val="32"/>
          <w:szCs w:val="32"/>
          <w:shd w:val="clear" w:fill="FFFFFF"/>
          <w:lang w:val="en-US" w:eastAsia="zh-CN"/>
        </w:rPr>
        <w:t>在</w:t>
      </w:r>
      <w:r>
        <w:rPr>
          <w:rFonts w:hint="default" w:ascii="仿宋_GB2312" w:hAnsi="Calibri" w:eastAsia="仿宋_GB2312" w:cs="仿宋_GB2312"/>
          <w:b w:val="0"/>
          <w:bCs w:val="0"/>
          <w:i w:val="0"/>
          <w:iCs w:val="0"/>
          <w:caps w:val="0"/>
          <w:color w:val="333333"/>
          <w:spacing w:val="0"/>
          <w:sz w:val="32"/>
          <w:szCs w:val="32"/>
          <w:shd w:val="clear" w:fill="FFFFFF"/>
        </w:rPr>
        <w:t>县政府政务公开办</w:t>
      </w:r>
      <w:r>
        <w:rPr>
          <w:rFonts w:hint="eastAsia" w:ascii="仿宋_GB2312" w:hAnsi="Calibri" w:eastAsia="仿宋_GB2312" w:cs="仿宋_GB2312"/>
          <w:b w:val="0"/>
          <w:bCs w:val="0"/>
          <w:i w:val="0"/>
          <w:iCs w:val="0"/>
          <w:caps w:val="0"/>
          <w:color w:val="333333"/>
          <w:spacing w:val="0"/>
          <w:sz w:val="32"/>
          <w:szCs w:val="32"/>
          <w:shd w:val="clear" w:fill="FFFFFF"/>
          <w:lang w:val="en-US" w:eastAsia="zh-CN"/>
        </w:rPr>
        <w:t>统一</w:t>
      </w:r>
      <w:r>
        <w:rPr>
          <w:rFonts w:hint="default" w:ascii="仿宋_GB2312" w:hAnsi="Calibri" w:eastAsia="仿宋_GB2312" w:cs="仿宋_GB2312"/>
          <w:b w:val="0"/>
          <w:bCs w:val="0"/>
          <w:i w:val="0"/>
          <w:iCs w:val="0"/>
          <w:caps w:val="0"/>
          <w:color w:val="333333"/>
          <w:spacing w:val="0"/>
          <w:sz w:val="32"/>
          <w:szCs w:val="32"/>
          <w:shd w:val="clear" w:fill="FFFFFF"/>
        </w:rPr>
        <w:t>指导、协调、监督</w:t>
      </w:r>
      <w:r>
        <w:rPr>
          <w:rFonts w:hint="eastAsia" w:ascii="仿宋_GB2312" w:hAnsi="Calibri" w:eastAsia="仿宋_GB2312" w:cs="仿宋_GB2312"/>
          <w:b w:val="0"/>
          <w:bCs w:val="0"/>
          <w:i w:val="0"/>
          <w:iCs w:val="0"/>
          <w:caps w:val="0"/>
          <w:color w:val="333333"/>
          <w:spacing w:val="0"/>
          <w:sz w:val="32"/>
          <w:szCs w:val="32"/>
          <w:shd w:val="clear" w:fill="FFFFFF"/>
          <w:lang w:val="en-US" w:eastAsia="zh-CN"/>
        </w:rPr>
        <w:t>下，开展</w:t>
      </w:r>
      <w:r>
        <w:rPr>
          <w:rFonts w:hint="default" w:ascii="仿宋_GB2312" w:hAnsi="Calibri" w:eastAsia="仿宋_GB2312" w:cs="仿宋_GB2312"/>
          <w:b w:val="0"/>
          <w:bCs w:val="0"/>
          <w:i w:val="0"/>
          <w:iCs w:val="0"/>
          <w:caps w:val="0"/>
          <w:color w:val="333333"/>
          <w:spacing w:val="0"/>
          <w:sz w:val="32"/>
          <w:szCs w:val="32"/>
          <w:shd w:val="clear" w:fill="FFFFFF"/>
        </w:rPr>
        <w:t>政务公开和政府信息公开工作，在工作中坚持督促与指导并重原则，认真贯彻落实政务公开各项工作任务</w:t>
      </w:r>
      <w:r>
        <w:rPr>
          <w:rFonts w:hint="default" w:ascii="仿宋_GB2312" w:hAnsi="Calibri"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存在问题：</w:t>
      </w:r>
      <w:r>
        <w:rPr>
          <w:rFonts w:hint="eastAsia" w:ascii="仿宋_GB2312" w:hAnsi="仿宋_GB2312" w:eastAsia="仿宋_GB2312" w:cs="仿宋_GB2312"/>
          <w:sz w:val="32"/>
          <w:szCs w:val="32"/>
        </w:rPr>
        <w:t>公开内容不够全面、公开内容质量有待提高。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改进情况：</w:t>
      </w:r>
      <w:r>
        <w:rPr>
          <w:rFonts w:hint="eastAsia" w:ascii="仿宋_GB2312" w:hAnsi="仿宋_GB2312" w:eastAsia="仿宋_GB2312" w:cs="仿宋_GB2312"/>
          <w:sz w:val="32"/>
          <w:szCs w:val="32"/>
        </w:rPr>
        <w:t>2021年，我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将结合工作职能，继续加大政务公开力度，不断提升政务公开质量和水平。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继续学习贯彻新修订的《中华人民共和国政府信息公开条例》，增强各股室工作人员的法律和责任意识，进一步提高业务能力和工作水平。二是认真贯彻落实上级有关政府信息公开的各项规章制度，进一步规范政府信息公开工作，持续强化信息公开工作队伍建设，形成常抓不懈的工作机制。三是切实加强对政府信息公开工作的监督检查，严格执行责任追究制度，对不能履行政务信息公开义务、不及时上报公开政府信息内容的科股室进行提醒问责。</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威县农业农村局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M2Q5YmQ5MTU3YjZhNTU4MWI2ZDBkYWVlMjYzZWIifQ=="/>
  </w:docVars>
  <w:rsids>
    <w:rsidRoot w:val="008A46C4"/>
    <w:rsid w:val="008A46C4"/>
    <w:rsid w:val="03D53AB8"/>
    <w:rsid w:val="0AEF04FA"/>
    <w:rsid w:val="101C7A8D"/>
    <w:rsid w:val="182D35C9"/>
    <w:rsid w:val="198B7C78"/>
    <w:rsid w:val="1CAF5E68"/>
    <w:rsid w:val="2BC446DC"/>
    <w:rsid w:val="2DB271AD"/>
    <w:rsid w:val="303834AB"/>
    <w:rsid w:val="329D5EB5"/>
    <w:rsid w:val="37ED04CC"/>
    <w:rsid w:val="3AC27A19"/>
    <w:rsid w:val="41840E02"/>
    <w:rsid w:val="491B727C"/>
    <w:rsid w:val="53A51C8F"/>
    <w:rsid w:val="564A1575"/>
    <w:rsid w:val="564C7C4C"/>
    <w:rsid w:val="56DC7C88"/>
    <w:rsid w:val="5979504A"/>
    <w:rsid w:val="6E920EDB"/>
    <w:rsid w:val="6F4D7E96"/>
    <w:rsid w:val="7398117C"/>
    <w:rsid w:val="73A9585E"/>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1030</Words>
  <Characters>1196</Characters>
  <Lines>0</Lines>
  <Paragraphs>0</Paragraphs>
  <TotalTime>3</TotalTime>
  <ScaleCrop>false</ScaleCrop>
  <LinksUpToDate>false</LinksUpToDate>
  <CharactersWithSpaces>1247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王培行</cp:lastModifiedBy>
  <cp:lastPrinted>2022-01-13T10:56:00Z</cp:lastPrinted>
  <dcterms:modified xsi:type="dcterms:W3CDTF">2023-01-28T03:36:45Z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293367D0A4E64017A466E9D9E98D4CB2</vt:lpwstr>
  </property>
</Properties>
</file>