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威县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spacing w:line="520" w:lineRule="exact"/>
        <w:jc w:val="center"/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威</w:t>
      </w:r>
      <w:r>
        <w:rPr>
          <w:rFonts w:hint="eastAsia" w:ascii="Times New Roman" w:hAnsi="Times New Roman" w:eastAsia="仿宋_GB2312" w:cs="仿宋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处罚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〔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2023</w:t>
      </w:r>
      <w:r>
        <w:rPr>
          <w:rFonts w:hint="eastAsia" w:ascii="Times New Roman" w:hAnsi="Times New Roman" w:eastAsia="仿宋_GB2312" w:cs="仿宋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1051号</w:t>
      </w:r>
    </w:p>
    <w:p>
      <w:pPr>
        <w:spacing w:line="520" w:lineRule="exact"/>
        <w:jc w:val="center"/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</w:pPr>
    </w:p>
    <w:p>
      <w:pPr>
        <w:spacing w:line="360" w:lineRule="auto"/>
        <w:ind w:left="140" w:hanging="140"/>
        <w:rPr>
          <w:rFonts w:hint="eastAsia" w:ascii="仿宋_GB2312" w:hAnsi="Mongolian Baiti" w:eastAsia="仿宋_GB2312" w:cs="Mongolian Baiti"/>
          <w:bCs/>
          <w:sz w:val="32"/>
          <w:szCs w:val="32"/>
        </w:rPr>
      </w:pP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威县洪恩农资门市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</w:p>
    <w:p>
      <w:pPr>
        <w:spacing w:line="360" w:lineRule="auto"/>
        <w:ind w:left="140" w:hanging="140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kern w:val="1"/>
          <w:sz w:val="32"/>
          <w:szCs w:val="32"/>
        </w:rPr>
        <w:t>主体资格证照名称：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营业执照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</w:t>
      </w:r>
    </w:p>
    <w:p>
      <w:pPr>
        <w:spacing w:line="360" w:lineRule="auto"/>
        <w:ind w:left="140" w:hanging="140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统一社会信用代码：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92130533MA0B******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ind w:left="140" w:hanging="140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住所（住址）：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威县友谊大街中段路东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</w:t>
      </w:r>
    </w:p>
    <w:p>
      <w:pPr>
        <w:spacing w:line="360" w:lineRule="auto"/>
        <w:ind w:left="140" w:hanging="140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法定代表人（负责人、</w:t>
      </w:r>
      <w:r>
        <w:rPr>
          <w:rFonts w:ascii="仿宋_GB2312" w:hAnsi="Mongolian Baiti" w:eastAsia="仿宋_GB2312" w:cs="Mongolian Baiti"/>
          <w:kern w:val="1"/>
          <w:sz w:val="32"/>
          <w:szCs w:val="32"/>
        </w:rPr>
        <w:t>经营者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王洪恩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ind w:left="140" w:hanging="140"/>
        <w:rPr>
          <w:rFonts w:hint="default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身份证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lang w:val="en-US" w:eastAsia="zh-CN"/>
        </w:rPr>
        <w:t>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号码：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13223519******</w:t>
      </w:r>
      <w:bookmarkStart w:id="0" w:name="_GoBack"/>
      <w:bookmarkEnd w:id="0"/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0517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2023年3月7日，我局执法人员对全县农资门市质量抽查时，依法对威县洪恩农资门市销售的惠尔丰硝酸磷钾、中阿美盛驱虫先锋抽取了样品。于2023年3月16日收到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val="en-US" w:eastAsia="zh-CN"/>
        </w:rPr>
        <w:t>河北奇诺检测技术服务有限公司检测报告，经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河北奇诺检测技术服务有限公司检测，该农资门市经销的惠尔丰硝酸磷钾、中阿美盛驱虫先锋的氮含量不符合技术要求，被判定为不合格产品。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val="en-US" w:eastAsia="zh-CN"/>
        </w:rPr>
        <w:t>并于2023年3月17日送达至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威县洪恩农资门市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bCs/>
          <w:sz w:val="30"/>
          <w:szCs w:val="30"/>
          <w:u w:val="single"/>
          <w:lang w:val="en-US" w:eastAsia="zh-CN"/>
        </w:rPr>
        <w:t>本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>局于</w:t>
      </w:r>
      <w:r>
        <w:rPr>
          <w:rFonts w:hint="eastAsia" w:ascii="宋体" w:hAnsi="宋体" w:eastAsia="宋体" w:cs="宋体"/>
          <w:bCs/>
          <w:sz w:val="30"/>
          <w:szCs w:val="30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 xml:space="preserve">年 </w:t>
      </w:r>
      <w:r>
        <w:rPr>
          <w:rFonts w:hint="eastAsia" w:ascii="宋体" w:hAnsi="宋体" w:eastAsia="宋体" w:cs="宋体"/>
          <w:bCs/>
          <w:sz w:val="30"/>
          <w:szCs w:val="30"/>
          <w:u w:val="single"/>
          <w:lang w:val="en-US" w:eastAsia="zh-CN"/>
        </w:rPr>
        <w:t>3月18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>日予以立案，指定</w:t>
      </w:r>
      <w:r>
        <w:rPr>
          <w:rFonts w:hint="eastAsia" w:ascii="宋体" w:hAnsi="宋体" w:eastAsia="宋体" w:cs="宋体"/>
          <w:bCs/>
          <w:sz w:val="30"/>
          <w:szCs w:val="30"/>
          <w:u w:val="single"/>
          <w:lang w:val="en-US" w:eastAsia="zh-CN"/>
        </w:rPr>
        <w:t>赵萌、王明强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>为办案人员</w:t>
      </w:r>
      <w:r>
        <w:rPr>
          <w:rFonts w:hint="eastAsia" w:ascii="宋体" w:hAnsi="宋体" w:eastAsia="宋体" w:cs="宋体"/>
          <w:bCs/>
          <w:sz w:val="30"/>
          <w:szCs w:val="30"/>
          <w:u w:val="single"/>
          <w:lang w:val="en-US" w:eastAsia="zh-CN"/>
        </w:rPr>
        <w:t>对该案进行调查</w:t>
      </w:r>
      <w:r>
        <w:rPr>
          <w:rFonts w:hint="eastAsia" w:ascii="宋体" w:hAnsi="宋体" w:eastAsia="宋体" w:cs="宋体"/>
          <w:bCs/>
          <w:sz w:val="30"/>
          <w:szCs w:val="30"/>
          <w:u w:val="single"/>
        </w:rPr>
        <w:t>。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val="en-US" w:eastAsia="zh-CN"/>
        </w:rPr>
        <w:t>经调查，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eastAsia="zh-CN"/>
        </w:rPr>
        <w:t>威县洪恩农资门市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于2022年10月份以每袋30元的价格从石家庄河北澳可森有限公司购进惠尔丰硝酸磷钾50袋，销售价36元/袋，货值金额1800元，共获利300元。于2022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kern w:val="1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年10月份以每袋28元的价格从石家庄河北澳可森有限公司中阿美盛驱虫先锋50袋，销售价32元/袋，货值金额1600元，共获利200元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eastAsia="zh-CN"/>
        </w:rPr>
        <w:t>威县洪恩农资门市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val="en-US" w:eastAsia="zh-CN"/>
        </w:rPr>
        <w:t>进货时，没有向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石家庄河北澳可森有限公司索要惠尔丰硝酸磷钾、中阿美盛驱虫先锋的进货发票及相关质检报告。经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河北奇诺检测技术服务有限公司检测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惠尔丰硝酸磷钾的氮含量标准要求为</w:t>
      </w:r>
      <w:r>
        <w:rPr>
          <w:rFonts w:hint="default" w:ascii="Arial" w:hAnsi="Arial" w:eastAsia="宋体" w:cs="Arial"/>
          <w:sz w:val="30"/>
          <w:szCs w:val="30"/>
          <w:u w:val="single"/>
          <w:lang w:val="en-US" w:eastAsia="zh-CN"/>
        </w:rPr>
        <w:t>≥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20，检验结果为15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经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河北奇诺检测技术服务有限公司检测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中阿美盛驱虫先锋氮含量标准要求为</w:t>
      </w:r>
      <w:r>
        <w:rPr>
          <w:rFonts w:hint="default" w:ascii="Arial" w:hAnsi="Arial" w:eastAsia="宋体" w:cs="Arial"/>
          <w:sz w:val="30"/>
          <w:szCs w:val="30"/>
          <w:u w:val="single"/>
          <w:lang w:val="en-US" w:eastAsia="zh-CN"/>
        </w:rPr>
        <w:t>≥</w:t>
      </w:r>
      <w:r>
        <w:rPr>
          <w:rFonts w:hint="eastAsia" w:ascii="Arial" w:hAnsi="Arial" w:eastAsia="宋体" w:cs="Arial"/>
          <w:sz w:val="30"/>
          <w:szCs w:val="30"/>
          <w:u w:val="single"/>
          <w:lang w:val="en-US" w:eastAsia="zh-CN"/>
        </w:rPr>
        <w:t>21，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检验结果为17.9。到2023年3月17日我局依法送达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>河北奇诺检测技术服务有限公司出具的检测报告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时，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eastAsia="zh-CN"/>
        </w:rPr>
        <w:t>威县洪恩农资门市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val="en-US" w:eastAsia="zh-CN"/>
        </w:rPr>
        <w:t>购进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eastAsia="zh-CN"/>
        </w:rPr>
        <w:t>的惠尔丰硝酸磷钾、中阿美盛驱虫先锋已全部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val="en-US" w:eastAsia="zh-CN"/>
        </w:rPr>
        <w:t>售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eastAsia="zh-CN"/>
        </w:rPr>
        <w:t>完。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val="en-US" w:eastAsia="zh-CN"/>
        </w:rPr>
        <w:t xml:space="preserve">                                                   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1、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eastAsia="zh-CN"/>
        </w:rPr>
        <w:t>威县洪恩农资门市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val="en-US" w:eastAsia="zh-CN"/>
        </w:rPr>
        <w:t>提交的营业执照证明了当事人的主体资格。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2、王洪恩的身份证复印件，证明了当事人的主体身份。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30"/>
          <w:szCs w:val="30"/>
          <w:u w:val="singl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现场检查笔录证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明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了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eastAsia="zh-CN"/>
        </w:rPr>
        <w:t>威县洪恩农资门市</w:t>
      </w:r>
      <w:r>
        <w:rPr>
          <w:rFonts w:hint="eastAsia" w:ascii="宋体" w:hAnsi="宋体" w:eastAsia="宋体" w:cs="宋体"/>
          <w:kern w:val="1"/>
          <w:sz w:val="30"/>
          <w:szCs w:val="30"/>
          <w:u w:val="single"/>
          <w:lang w:val="en-US" w:eastAsia="zh-CN"/>
        </w:rPr>
        <w:t>经销的</w:t>
      </w:r>
      <w:r>
        <w:rPr>
          <w:rFonts w:hint="eastAsia" w:asciiTheme="minorEastAsia" w:hAnsiTheme="minorEastAsia" w:cstheme="minorEastAsia"/>
          <w:b w:val="0"/>
          <w:bCs w:val="0"/>
          <w:kern w:val="1"/>
          <w:sz w:val="30"/>
          <w:szCs w:val="30"/>
          <w:u w:val="single"/>
          <w:lang w:val="en-US" w:eastAsia="zh-CN"/>
        </w:rPr>
        <w:t>惠尔丰硝酸磷钾、中阿美盛驱虫先锋剩余情况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cstheme="minorEastAsia"/>
          <w:bCs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询问调查笔录证明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了该批惠尔丰硝酸磷钾、中阿美盛驱虫先锋的购进、销售和利润情况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。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000000"/>
          <w:sz w:val="30"/>
          <w:szCs w:val="30"/>
          <w:u w:val="singl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检验报告证明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了该批次惠尔丰硝酸磷钾、中阿美盛驱虫先锋为不合格产品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。</w:t>
      </w:r>
    </w:p>
    <w:p>
      <w:pPr>
        <w:spacing w:line="360" w:lineRule="auto"/>
        <w:ind w:firstLine="600" w:firstLineChars="200"/>
        <w:rPr>
          <w:rFonts w:hint="eastAsia" w:asciiTheme="minorEastAsia" w:hAnsiTheme="minorEastAsia" w:cstheme="minorEastAsia"/>
          <w:kern w:val="1"/>
          <w:sz w:val="30"/>
          <w:szCs w:val="30"/>
          <w:u w:val="singl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以上证据均经当事人确认并签字。    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本案调查终结后，我局于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日向当事人直接送达了威县市场监督管理局行政处罚告知书（威市监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告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[2023]</w:t>
      </w:r>
      <w:r>
        <w:rPr>
          <w:rFonts w:hint="eastAsia" w:asciiTheme="minorEastAsia" w:hAnsiTheme="minorEastAsia" w:cstheme="minorEastAsia"/>
          <w:color w:val="000000"/>
          <w:sz w:val="30"/>
          <w:szCs w:val="30"/>
          <w:u w:val="single"/>
          <w:lang w:val="en-US" w:eastAsia="zh-CN"/>
        </w:rPr>
        <w:t>1051</w:t>
      </w:r>
      <w:r>
        <w:rPr>
          <w:rFonts w:hint="eastAsia" w:asciiTheme="minorEastAsia" w:hAnsiTheme="minorEastAsia" w:cstheme="minorEastAsia"/>
          <w:color w:val="000000"/>
          <w:sz w:val="30"/>
          <w:szCs w:val="30"/>
          <w:u w:val="single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），当事人未在法定时间内提出陈述、申辩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意见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未要求举行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听证。</w:t>
      </w:r>
    </w:p>
    <w:p>
      <w:pPr>
        <w:spacing w:line="360" w:lineRule="auto"/>
        <w:ind w:firstLine="600" w:firstLineChars="200"/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kern w:val="1"/>
          <w:sz w:val="30"/>
          <w:szCs w:val="30"/>
          <w:u w:val="single"/>
          <w:lang w:val="en-US" w:eastAsia="zh-CN"/>
        </w:rPr>
        <w:t>本局认为，</w:t>
      </w:r>
      <w:r>
        <w:rPr>
          <w:rFonts w:hint="eastAsia" w:asciiTheme="minorEastAsia" w:hAnsiTheme="minorEastAsia" w:cstheme="minorEastAsia"/>
          <w:kern w:val="1"/>
          <w:sz w:val="30"/>
          <w:szCs w:val="30"/>
          <w:u w:val="single"/>
          <w:lang w:eastAsia="zh-CN"/>
        </w:rPr>
        <w:t>威县洪恩农资门市</w:t>
      </w:r>
      <w:r>
        <w:rPr>
          <w:rFonts w:hint="eastAsia" w:asciiTheme="minorEastAsia" w:hAnsiTheme="minorEastAsia" w:cstheme="minorEastAsia"/>
          <w:b w:val="0"/>
          <w:bCs w:val="0"/>
          <w:kern w:val="1"/>
          <w:sz w:val="30"/>
          <w:szCs w:val="30"/>
          <w:u w:val="single"/>
          <w:lang w:val="en-US" w:eastAsia="zh-CN"/>
        </w:rPr>
        <w:t>经销不合格惠尔丰硝酸磷钾、中阿美盛驱虫先锋，其行为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违反了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《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中华人民共和国产品质量法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》第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三十九条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“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销售者销售产品，不得掺杂、掺假，不得以假充真、以次充好，不得以不合格产品冒充合格产品。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”之规定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，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已构成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</w:rPr>
        <w:t>违法行为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lang w:eastAsia="zh-CN"/>
        </w:rPr>
        <w:t>。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依照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《中华人民共和国产品质量法》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第四十九条：“生产、销售不符合保障人体健康和人身、财产安全的国家标准、行业标准的产品的，责令停止生产、销售，没收违法生产、销售的产品，并处违法生产、销售产品（包括已售出和未售出的产品，下同）货值金额等值以上三倍以下的罚款；有违法所得的，并处没收违法所得；情节严重的，吊销营业执照；构成犯罪的，依法追究刑事责任。”之规定 ，予以处罚。</w:t>
      </w:r>
    </w:p>
    <w:p>
      <w:pPr>
        <w:spacing w:line="360" w:lineRule="auto"/>
        <w:ind w:firstLine="600" w:firstLineChars="200"/>
        <w:rPr>
          <w:rFonts w:hint="default" w:ascii="宋体" w:hAnsi="宋体" w:eastAsia="宋体" w:cs="宋体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鉴于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威县洪恩农资门市（王洪恩）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在我局立案调查期间积极配合，主动提供证据材料，根据</w:t>
      </w:r>
      <w:r>
        <w:rPr>
          <w:rFonts w:hint="eastAsia" w:ascii="宋体" w:hAnsi="宋体" w:eastAsia="宋体" w:cs="宋体"/>
          <w:sz w:val="30"/>
          <w:szCs w:val="30"/>
          <w:u w:val="single"/>
        </w:rPr>
        <w:t>《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河北省市场监督管理行政处罚裁量基准</w:t>
      </w:r>
      <w:r>
        <w:rPr>
          <w:rFonts w:hint="eastAsia" w:ascii="宋体" w:hAnsi="宋体" w:eastAsia="宋体" w:cs="宋体"/>
          <w:sz w:val="30"/>
          <w:szCs w:val="30"/>
          <w:u w:val="single"/>
        </w:rPr>
        <w:t>》的规定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对当事人予以一般处罚。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pacing w:val="-1"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综上，当事人上述行为违法了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《中华人民共和国产品质量法》第三十九条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规定；依照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《中华人民共和国产品质量法》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>第四十九条规定，</w:t>
      </w:r>
      <w:r>
        <w:rPr>
          <w:rFonts w:hint="eastAsia" w:ascii="宋体" w:hAnsi="宋体" w:eastAsia="宋体" w:cs="宋体"/>
          <w:spacing w:val="-5"/>
          <w:sz w:val="30"/>
          <w:szCs w:val="30"/>
          <w:u w:val="single"/>
        </w:rPr>
        <w:t>责令当事人</w:t>
      </w:r>
      <w:r>
        <w:rPr>
          <w:rFonts w:hint="eastAsia" w:ascii="宋体" w:hAnsi="宋体" w:eastAsia="宋体" w:cs="宋体"/>
          <w:spacing w:val="-1"/>
          <w:sz w:val="30"/>
          <w:szCs w:val="30"/>
          <w:u w:val="single"/>
          <w:lang w:val="en-US" w:eastAsia="zh-CN"/>
        </w:rPr>
        <w:t>立即停止</w:t>
      </w:r>
      <w:r>
        <w:rPr>
          <w:rFonts w:hint="eastAsia" w:ascii="宋体" w:hAnsi="宋体" w:eastAsia="宋体" w:cs="宋体"/>
          <w:spacing w:val="-1"/>
          <w:sz w:val="30"/>
          <w:szCs w:val="30"/>
          <w:u w:val="single"/>
        </w:rPr>
        <w:t>上述违法行为</w:t>
      </w:r>
      <w:r>
        <w:rPr>
          <w:rFonts w:hint="eastAsia" w:ascii="宋体" w:hAnsi="宋体" w:eastAsia="宋体" w:cs="宋体"/>
          <w:spacing w:val="-1"/>
          <w:sz w:val="30"/>
          <w:szCs w:val="30"/>
          <w:u w:val="single"/>
          <w:lang w:eastAsia="zh-CN"/>
        </w:rPr>
        <w:t>，</w:t>
      </w:r>
      <w:r>
        <w:rPr>
          <w:rFonts w:hint="eastAsia" w:ascii="宋体" w:hAnsi="宋体" w:eastAsia="宋体" w:cs="宋体"/>
          <w:spacing w:val="-1"/>
          <w:sz w:val="30"/>
          <w:szCs w:val="30"/>
          <w:u w:val="single"/>
        </w:rPr>
        <w:t>并决定处罚如下：</w:t>
      </w:r>
    </w:p>
    <w:p>
      <w:pPr>
        <w:spacing w:line="360" w:lineRule="auto"/>
        <w:ind w:firstLine="596" w:firstLineChars="200"/>
        <w:jc w:val="left"/>
        <w:rPr>
          <w:rFonts w:hint="eastAsia" w:ascii="宋体" w:hAnsi="宋体" w:eastAsia="宋体" w:cs="宋体"/>
          <w:spacing w:val="-1"/>
          <w:sz w:val="30"/>
          <w:szCs w:val="30"/>
          <w:u w:val="single"/>
        </w:rPr>
      </w:pPr>
    </w:p>
    <w:p>
      <w:pPr>
        <w:spacing w:line="360" w:lineRule="auto"/>
        <w:jc w:val="left"/>
        <w:rPr>
          <w:rFonts w:hint="eastAsia" w:asciiTheme="minorEastAsia" w:hAnsiTheme="minorEastAsia" w:cstheme="minorEastAsia"/>
          <w:bCs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30"/>
          <w:szCs w:val="30"/>
          <w:u w:val="single"/>
          <w:lang w:val="en-US" w:eastAsia="zh-CN"/>
        </w:rPr>
        <w:t>1、</w:t>
      </w:r>
      <w:r>
        <w:rPr>
          <w:rFonts w:hint="eastAsia" w:asciiTheme="minorEastAsia" w:hAnsiTheme="minorEastAsia" w:cstheme="minorEastAsia"/>
          <w:bCs/>
          <w:sz w:val="30"/>
          <w:szCs w:val="30"/>
          <w:u w:val="single"/>
          <w:lang w:val="en-US" w:eastAsia="zh-CN"/>
        </w:rPr>
        <w:t xml:space="preserve">没收违法所得500元；2、罚款4500元。                             </w:t>
      </w:r>
    </w:p>
    <w:p>
      <w:pPr>
        <w:spacing w:line="360" w:lineRule="auto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当事人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自接到本处罚决定书之日起十五日内到威县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收费管理局银行账户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缴纳罚款，逾期不缴纳，每日按罚款数额的百分之三加处罚款。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u w:val="non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如不服本处罚决定，可在接到本处罚决定之日起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>六十日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内，向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</w:rPr>
        <w:t>威县人民政府申请复议,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val="en-US" w:eastAsia="zh-CN"/>
        </w:rPr>
        <w:t>也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eastAsia="zh-CN"/>
        </w:rPr>
        <w:t>可以在接到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val="en-US" w:eastAsia="zh-CN"/>
        </w:rPr>
        <w:t>处罚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eastAsia="zh-CN"/>
        </w:rPr>
        <w:t>决定之日起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val="en-US" w:eastAsia="zh-CN"/>
        </w:rPr>
        <w:t>六个月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eastAsia="zh-CN"/>
        </w:rPr>
        <w:t>内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</w:rPr>
        <w:t>向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val="en-US" w:eastAsia="zh-CN"/>
        </w:rPr>
        <w:t>广宗县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</w:rPr>
        <w:t>人民法院提起诉讼。</w:t>
      </w:r>
      <w:r>
        <w:rPr>
          <w:rFonts w:hint="eastAsia" w:ascii="宋体" w:hAnsi="宋体" w:eastAsia="宋体" w:cs="宋体"/>
          <w:sz w:val="30"/>
          <w:szCs w:val="30"/>
          <w:u w:val="none"/>
        </w:rPr>
        <w:t>当事人申请行政复议或者提起行政诉讼期间，本行政处罚决定不停止执行。</w:t>
      </w:r>
    </w:p>
    <w:p>
      <w:pPr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color w:val="000000"/>
          <w:sz w:val="30"/>
          <w:szCs w:val="30"/>
          <w:u w:val="single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威县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市场监督管理局</w:t>
      </w:r>
    </w:p>
    <w:p>
      <w:pPr>
        <w:tabs>
          <w:tab w:val="left" w:pos="8200"/>
        </w:tabs>
        <w:spacing w:line="500" w:lineRule="exact"/>
        <w:ind w:right="746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（印 章）           </w:t>
      </w:r>
    </w:p>
    <w:p>
      <w:pPr>
        <w:wordWrap w:val="0"/>
        <w:snapToGrid w:val="0"/>
        <w:spacing w:line="520" w:lineRule="exact"/>
        <w:ind w:firstLine="640"/>
        <w:jc w:val="center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</w:t>
      </w:r>
    </w:p>
    <w:p>
      <w:pPr>
        <w:wordWrap w:val="0"/>
        <w:snapToGrid w:val="0"/>
        <w:spacing w:line="520" w:lineRule="exact"/>
        <w:ind w:firstLine="640"/>
        <w:jc w:val="center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二0二三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日  </w:t>
      </w:r>
    </w:p>
    <w:p>
      <w:pPr>
        <w:wordWrap w:val="0"/>
        <w:snapToGrid w:val="0"/>
        <w:spacing w:line="520" w:lineRule="exac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 </w:t>
      </w:r>
    </w:p>
    <w:p>
      <w:pPr>
        <w:wordWrap w:val="0"/>
        <w:snapToGrid w:val="0"/>
        <w:spacing w:line="520" w:lineRule="exac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</w:p>
    <w:p>
      <w:pPr>
        <w:wordWrap w:val="0"/>
        <w:snapToGrid w:val="0"/>
        <w:spacing w:line="520" w:lineRule="exact"/>
        <w:rPr>
          <w:rFonts w:hint="eastAsia" w:asciiTheme="minorEastAsia" w:hAnsiTheme="minorEastAsia" w:eastAsiaTheme="minorEastAsia" w:cstheme="minorEastAsia"/>
          <w:bCs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13.55pt;height:0.05pt;width:437.05pt;z-index:251660288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h0Z9dUAAAAHAQAADwAAAAAAAAABACAAAAAiAAAAZHJzL2Rvd25yZXYueG1sUEsBAhQA&#10;FAAAAAgAh07iQCtj0Av1AQAA5w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BSD0Df5AQAA5Q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本文书一式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份，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份送达，一份归档，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  <w:lang w:val="en-US" w:eastAsia="zh-CN"/>
        </w:rPr>
        <w:t>一份留存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3B617592"/>
    <w:rsid w:val="71C92890"/>
    <w:rsid w:val="78E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1616</Words>
  <Characters>1725</Characters>
  <Lines>0</Lines>
  <Paragraphs>0</Paragraphs>
  <TotalTime>0</TotalTime>
  <ScaleCrop>false</ScaleCrop>
  <LinksUpToDate>false</LinksUpToDate>
  <CharactersWithSpaces>2045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2023-06-30T09:20:00Z</dcterms:created>
  <dc:creator>wxdell</dc:creator>
  <cp:lastModifiedBy>dell</cp:lastModifiedBy>
  <dcterms:modified xsi:type="dcterms:W3CDTF">2023-07-14T02:09:12Z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CB3347B265FA4D7F922A200C13AD9EE5_12</vt:lpwstr>
  </property>
</Properties>
</file>