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04" w:lineRule="auto"/>
        <w:jc w:val="center"/>
        <w:rPr>
          <w:rFonts w:ascii="Microsoft JhengHei" w:hAnsi="Microsoft JhengHei" w:eastAsia="Microsoft JhengHei" w:cs="Microsoft JhengHei"/>
          <w:spacing w:val="-2"/>
          <w:sz w:val="44"/>
          <w:szCs w:val="44"/>
        </w:rPr>
      </w:pPr>
      <w:r>
        <w:rPr>
          <w:rFonts w:hint="eastAsia" w:ascii="Microsoft JhengHei" w:hAnsi="Microsoft JhengHei" w:eastAsia="Microsoft JhengHei" w:cs="Microsoft JhengHei"/>
          <w:spacing w:val="-2"/>
          <w:sz w:val="44"/>
          <w:szCs w:val="44"/>
          <w:lang w:eastAsia="zh-CN"/>
        </w:rPr>
        <w:t>威县</w:t>
      </w:r>
      <w:r>
        <w:rPr>
          <w:rFonts w:ascii="Microsoft JhengHei" w:hAnsi="Microsoft JhengHei" w:eastAsia="Microsoft JhengHei" w:cs="Microsoft JhengHei"/>
          <w:spacing w:val="-2"/>
          <w:sz w:val="44"/>
          <w:szCs w:val="44"/>
        </w:rPr>
        <w:t>市场监督管理局</w:t>
      </w:r>
    </w:p>
    <w:p>
      <w:pPr>
        <w:spacing w:before="1" w:line="204" w:lineRule="auto"/>
        <w:jc w:val="center"/>
        <w:rPr>
          <w:rFonts w:ascii="Microsoft JhengHei" w:hAnsi="Microsoft JhengHei" w:eastAsia="Microsoft JhengHei" w:cs="Microsoft JhengHei"/>
          <w:sz w:val="44"/>
          <w:szCs w:val="44"/>
        </w:rPr>
      </w:pPr>
      <w:r>
        <w:rPr>
          <w:rFonts w:ascii="Microsoft JhengHei" w:hAnsi="Microsoft JhengHei" w:eastAsia="Microsoft JhengHei" w:cs="Microsoft JhengHei"/>
          <w:spacing w:val="-1"/>
          <w:sz w:val="44"/>
          <w:szCs w:val="44"/>
        </w:rPr>
        <w:t>行政处罚决定书</w:t>
      </w:r>
    </w:p>
    <w:p>
      <w:pPr>
        <w:tabs>
          <w:tab w:val="left" w:pos="2725"/>
        </w:tabs>
        <w:spacing w:before="38" w:line="183" w:lineRule="auto"/>
        <w:ind w:firstLine="2219"/>
        <w:rPr>
          <w:rFonts w:hint="eastAsia" w:ascii="仿宋" w:hAnsi="仿宋" w:eastAsia="仿宋" w:cs="仿宋"/>
          <w:spacing w:val="-7"/>
          <w:sz w:val="32"/>
          <w:szCs w:val="32"/>
          <w:lang w:eastAsia="zh-CN"/>
        </w:rPr>
      </w:pPr>
    </w:p>
    <w:p>
      <w:pPr>
        <w:tabs>
          <w:tab w:val="left" w:pos="2725"/>
        </w:tabs>
        <w:spacing w:before="38" w:line="183" w:lineRule="auto"/>
        <w:ind w:firstLine="2219"/>
        <w:rPr>
          <w:rFonts w:ascii="仿宋" w:hAnsi="仿宋" w:eastAsia="仿宋" w:cs="仿宋"/>
          <w:sz w:val="32"/>
          <w:szCs w:val="32"/>
        </w:rPr>
      </w:pPr>
      <w:r>
        <w:rPr>
          <w:rFonts w:hint="eastAsia" w:ascii="仿宋" w:hAnsi="仿宋" w:eastAsia="仿宋" w:cs="仿宋"/>
          <w:spacing w:val="-7"/>
          <w:sz w:val="32"/>
          <w:szCs w:val="32"/>
          <w:lang w:eastAsia="zh-CN"/>
        </w:rPr>
        <w:t>威</w:t>
      </w:r>
      <w:r>
        <w:rPr>
          <w:rFonts w:ascii="仿宋" w:hAnsi="仿宋" w:eastAsia="仿宋" w:cs="仿宋"/>
          <w:spacing w:val="-7"/>
          <w:sz w:val="32"/>
          <w:szCs w:val="32"/>
        </w:rPr>
        <w:t>市监</w:t>
      </w:r>
      <w:r>
        <w:rPr>
          <w:rFonts w:hint="eastAsia" w:ascii="仿宋" w:hAnsi="仿宋" w:eastAsia="仿宋" w:cs="仿宋"/>
          <w:spacing w:val="-7"/>
          <w:sz w:val="32"/>
          <w:szCs w:val="32"/>
          <w:lang w:eastAsia="zh-CN"/>
        </w:rPr>
        <w:t>处</w:t>
      </w:r>
      <w:r>
        <w:rPr>
          <w:rFonts w:ascii="仿宋" w:hAnsi="仿宋" w:eastAsia="仿宋" w:cs="仿宋"/>
          <w:spacing w:val="-7"/>
          <w:sz w:val="32"/>
          <w:szCs w:val="32"/>
        </w:rPr>
        <w:t>罚〔</w:t>
      </w:r>
      <w:r>
        <w:rPr>
          <w:rFonts w:hint="eastAsia" w:ascii="仿宋" w:hAnsi="仿宋" w:eastAsia="仿宋" w:cs="仿宋"/>
          <w:spacing w:val="18"/>
          <w:sz w:val="32"/>
          <w:szCs w:val="32"/>
          <w:u w:val="single" w:color="auto"/>
          <w:lang w:val="en-US" w:eastAsia="zh-CN"/>
        </w:rPr>
        <w:t>2023</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138</w:t>
      </w:r>
      <w:r>
        <w:rPr>
          <w:rFonts w:ascii="仿宋" w:hAnsi="仿宋" w:eastAsia="仿宋" w:cs="仿宋"/>
          <w:spacing w:val="-7"/>
          <w:sz w:val="32"/>
          <w:szCs w:val="32"/>
        </w:rPr>
        <w:t>号</w:t>
      </w:r>
    </w:p>
    <w:p>
      <w:pPr>
        <w:spacing w:line="286" w:lineRule="auto"/>
        <w:rPr>
          <w:rFonts w:ascii="Microsoft JhengHei"/>
          <w:sz w:val="21"/>
        </w:rPr>
      </w:pPr>
    </w:p>
    <w:p>
      <w:pPr>
        <w:spacing w:before="104" w:line="300" w:lineRule="auto"/>
        <w:ind w:left="35" w:right="16" w:firstLine="33"/>
        <w:rPr>
          <w:rFonts w:ascii="Microsoft JhengHei"/>
          <w:sz w:val="21"/>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威县荣健果蔬门市（赵瑞朝）</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92130533MA0E******</w:t>
      </w:r>
      <w:r>
        <w:rPr>
          <w:rFonts w:hint="eastAsia" w:ascii="仿宋" w:hAnsi="仿宋" w:eastAsia="仿宋" w:cs="仿宋"/>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4"/>
          <w:sz w:val="32"/>
          <w:szCs w:val="32"/>
        </w:rPr>
        <w:t>住所（住址</w:t>
      </w:r>
      <w:r>
        <w:rPr>
          <w:rFonts w:ascii="仿宋" w:hAnsi="仿宋" w:eastAsia="仿宋" w:cs="仿宋"/>
          <w:spacing w:val="-131"/>
          <w:sz w:val="32"/>
          <w:szCs w:val="32"/>
        </w:rPr>
        <w:t>）：</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方营镇南方营村</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法定代表人（负责人、经营者</w:t>
      </w:r>
      <w:r>
        <w:rPr>
          <w:rFonts w:ascii="仿宋" w:hAnsi="仿宋" w:eastAsia="仿宋" w:cs="仿宋"/>
          <w:spacing w:val="-96"/>
          <w:w w:val="67"/>
          <w:sz w:val="32"/>
          <w:szCs w:val="32"/>
        </w:rPr>
        <w:t>）：</w:t>
      </w:r>
      <w:r>
        <w:rPr>
          <w:rFonts w:ascii="仿宋" w:hAnsi="仿宋" w:eastAsia="仿宋" w:cs="仿宋"/>
          <w:spacing w:val="1"/>
          <w:sz w:val="32"/>
          <w:szCs w:val="32"/>
          <w:u w:val="single" w:color="auto"/>
        </w:rPr>
        <w:t xml:space="preserve">        </w:t>
      </w:r>
      <w:r>
        <w:rPr>
          <w:rFonts w:hint="eastAsia" w:ascii="仿宋" w:hAnsi="仿宋" w:eastAsia="仿宋" w:cs="仿宋"/>
          <w:sz w:val="32"/>
          <w:szCs w:val="32"/>
          <w:u w:val="single" w:color="auto"/>
          <w:lang w:eastAsia="zh-CN"/>
        </w:rPr>
        <w:t>赵瑞朝</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 xml:space="preserve"> 13053319******</w:t>
      </w:r>
      <w:bookmarkStart w:id="0" w:name="_GoBack"/>
      <w:bookmarkEnd w:id="0"/>
      <w:r>
        <w:rPr>
          <w:rFonts w:hint="eastAsia" w:ascii="仿宋" w:hAnsi="仿宋" w:eastAsia="仿宋" w:cs="仿宋"/>
          <w:sz w:val="32"/>
          <w:szCs w:val="32"/>
          <w:u w:val="single" w:color="auto"/>
          <w:lang w:val="en-US" w:eastAsia="zh-CN"/>
        </w:rPr>
        <w:t xml:space="preserve">1013 </w:t>
      </w:r>
      <w:r>
        <w:rPr>
          <w:rFonts w:ascii="仿宋" w:hAnsi="仿宋" w:eastAsia="仿宋" w:cs="仿宋"/>
          <w:sz w:val="32"/>
          <w:szCs w:val="32"/>
          <w:u w:val="single" w:color="auto"/>
        </w:rPr>
        <w:t xml:space="preserve">                                 </w:t>
      </w:r>
    </w:p>
    <w:p>
      <w:pPr>
        <w:keepNext w:val="0"/>
        <w:keepLines w:val="0"/>
        <w:pageBreakBefore w:val="0"/>
        <w:wordWrap/>
        <w:overflowPunct/>
        <w:topLinePunct w:val="0"/>
        <w:bidi w:val="0"/>
        <w:spacing w:line="240" w:lineRule="auto"/>
        <w:ind w:firstLine="604" w:firstLineChars="200"/>
        <w:jc w:val="both"/>
        <w:rPr>
          <w:rFonts w:ascii="Microsoft JhengHei"/>
          <w:sz w:val="21"/>
        </w:rPr>
      </w:pPr>
      <w:r>
        <w:rPr>
          <w:rFonts w:hint="eastAsia" w:ascii="仿宋" w:hAnsi="仿宋" w:eastAsia="仿宋" w:cs="仿宋"/>
          <w:b w:val="0"/>
          <w:bCs w:val="0"/>
          <w:spacing w:val="-9"/>
          <w:sz w:val="32"/>
          <w:szCs w:val="32"/>
          <w:lang w:eastAsia="zh-CN"/>
        </w:rPr>
        <w:t>2023年3月2</w:t>
      </w:r>
      <w:r>
        <w:rPr>
          <w:rFonts w:hint="eastAsia" w:ascii="仿宋" w:hAnsi="仿宋" w:eastAsia="仿宋" w:cs="仿宋"/>
          <w:b w:val="0"/>
          <w:bCs w:val="0"/>
          <w:spacing w:val="-9"/>
          <w:sz w:val="32"/>
          <w:szCs w:val="32"/>
          <w:lang w:val="en-US" w:eastAsia="zh-CN"/>
        </w:rPr>
        <w:t>1</w:t>
      </w:r>
      <w:r>
        <w:rPr>
          <w:rFonts w:hint="eastAsia" w:ascii="仿宋" w:hAnsi="仿宋" w:eastAsia="仿宋" w:cs="仿宋"/>
          <w:b w:val="0"/>
          <w:bCs w:val="0"/>
          <w:spacing w:val="-9"/>
          <w:sz w:val="32"/>
          <w:szCs w:val="32"/>
          <w:lang w:eastAsia="zh-CN"/>
        </w:rPr>
        <w:t>日</w:t>
      </w:r>
      <w:r>
        <w:rPr>
          <w:rFonts w:hint="eastAsia" w:ascii="仿宋" w:hAnsi="仿宋" w:eastAsia="仿宋" w:cs="仿宋"/>
          <w:b w:val="0"/>
          <w:bCs w:val="0"/>
          <w:spacing w:val="-9"/>
          <w:sz w:val="32"/>
          <w:szCs w:val="32"/>
        </w:rPr>
        <w:t>上午，我所接到县市场监督管理局抽检科交办的不合格检验报告（</w:t>
      </w:r>
      <w:r>
        <w:rPr>
          <w:rFonts w:hint="eastAsia" w:ascii="仿宋" w:hAnsi="仿宋" w:eastAsia="仿宋" w:cs="仿宋"/>
          <w:b w:val="0"/>
          <w:bCs w:val="0"/>
          <w:spacing w:val="-9"/>
          <w:sz w:val="32"/>
          <w:szCs w:val="32"/>
          <w:lang w:eastAsia="zh-CN"/>
        </w:rPr>
        <w:t>No:AMJC/</w:t>
      </w:r>
      <w:r>
        <w:rPr>
          <w:rFonts w:hint="eastAsia" w:ascii="仿宋" w:hAnsi="仿宋" w:eastAsia="仿宋" w:cs="仿宋"/>
          <w:b w:val="0"/>
          <w:bCs w:val="0"/>
          <w:spacing w:val="-9"/>
          <w:sz w:val="32"/>
          <w:szCs w:val="32"/>
          <w:lang w:val="en-US" w:eastAsia="zh-CN"/>
        </w:rPr>
        <w:t>202302244472</w:t>
      </w:r>
      <w:r>
        <w:rPr>
          <w:rFonts w:hint="eastAsia" w:ascii="仿宋" w:hAnsi="仿宋" w:eastAsia="仿宋" w:cs="仿宋"/>
          <w:b w:val="0"/>
          <w:bCs w:val="0"/>
          <w:spacing w:val="-9"/>
          <w:sz w:val="32"/>
          <w:szCs w:val="32"/>
        </w:rPr>
        <w:t>），被抽检单位为</w:t>
      </w:r>
      <w:r>
        <w:rPr>
          <w:rFonts w:hint="eastAsia" w:ascii="仿宋" w:hAnsi="仿宋" w:eastAsia="仿宋" w:cs="仿宋"/>
          <w:b w:val="0"/>
          <w:bCs w:val="0"/>
          <w:spacing w:val="-9"/>
          <w:sz w:val="32"/>
          <w:szCs w:val="32"/>
          <w:lang w:eastAsia="zh-CN"/>
        </w:rPr>
        <w:t>威县荣健果蔬门市（赵瑞朝）</w:t>
      </w:r>
      <w:r>
        <w:rPr>
          <w:rFonts w:hint="eastAsia" w:ascii="仿宋" w:hAnsi="仿宋" w:eastAsia="仿宋" w:cs="仿宋"/>
          <w:b w:val="0"/>
          <w:bCs w:val="0"/>
          <w:spacing w:val="-9"/>
          <w:sz w:val="32"/>
          <w:szCs w:val="32"/>
        </w:rPr>
        <w:t>，不合格</w:t>
      </w:r>
      <w:r>
        <w:rPr>
          <w:rFonts w:hint="eastAsia" w:ascii="仿宋" w:hAnsi="仿宋" w:eastAsia="仿宋" w:cs="仿宋"/>
          <w:b w:val="0"/>
          <w:bCs w:val="0"/>
          <w:spacing w:val="-9"/>
          <w:sz w:val="32"/>
          <w:szCs w:val="32"/>
          <w:lang w:eastAsia="zh-CN"/>
        </w:rPr>
        <w:t>农产品</w:t>
      </w:r>
      <w:r>
        <w:rPr>
          <w:rFonts w:hint="eastAsia" w:ascii="仿宋" w:hAnsi="仿宋" w:eastAsia="仿宋" w:cs="仿宋"/>
          <w:b w:val="0"/>
          <w:bCs w:val="0"/>
          <w:spacing w:val="-9"/>
          <w:sz w:val="32"/>
          <w:szCs w:val="32"/>
        </w:rPr>
        <w:t>为</w:t>
      </w:r>
      <w:r>
        <w:rPr>
          <w:rFonts w:hint="eastAsia" w:ascii="仿宋" w:hAnsi="仿宋" w:eastAsia="仿宋" w:cs="仿宋"/>
          <w:b w:val="0"/>
          <w:bCs w:val="0"/>
          <w:spacing w:val="-9"/>
          <w:sz w:val="32"/>
          <w:szCs w:val="32"/>
          <w:lang w:eastAsia="zh-CN"/>
        </w:rPr>
        <w:t>韭菜</w:t>
      </w:r>
      <w:r>
        <w:rPr>
          <w:rFonts w:hint="eastAsia" w:ascii="仿宋" w:hAnsi="仿宋" w:eastAsia="仿宋" w:cs="仿宋"/>
          <w:b w:val="0"/>
          <w:bCs w:val="0"/>
          <w:spacing w:val="-9"/>
          <w:sz w:val="32"/>
          <w:szCs w:val="32"/>
        </w:rPr>
        <w:t>，抽检检验报告中检验不合格项目为</w:t>
      </w:r>
      <w:r>
        <w:rPr>
          <w:rFonts w:hint="eastAsia" w:ascii="仿宋_GB2312" w:hAnsi="仿宋" w:eastAsia="仿宋_GB2312" w:cs="仿宋_GB2312"/>
          <w:b w:val="0"/>
          <w:bCs w:val="0"/>
          <w:i w:val="0"/>
          <w:iCs w:val="0"/>
          <w:caps w:val="0"/>
          <w:color w:val="000000"/>
          <w:spacing w:val="0"/>
          <w:sz w:val="32"/>
          <w:szCs w:val="32"/>
          <w:shd w:val="clear" w:color="auto" w:fill="FFFFFF"/>
          <w:lang w:eastAsia="zh-CN"/>
        </w:rPr>
        <w:t>腐霉利项目</w:t>
      </w:r>
      <w:r>
        <w:rPr>
          <w:rFonts w:hint="eastAsia" w:ascii="仿宋_GB2312" w:hAnsi="仿宋" w:eastAsia="仿宋_GB2312" w:cs="仿宋_GB2312"/>
          <w:i w:val="0"/>
          <w:iCs w:val="0"/>
          <w:caps w:val="0"/>
          <w:color w:val="000000"/>
          <w:spacing w:val="0"/>
          <w:sz w:val="32"/>
          <w:szCs w:val="32"/>
          <w:shd w:val="clear" w:color="auto" w:fill="FFFFFF"/>
        </w:rPr>
        <w:t>不符合GB2762-2107《食品安全国家标准 食品中</w:t>
      </w:r>
      <w:r>
        <w:rPr>
          <w:rFonts w:hint="eastAsia" w:ascii="仿宋_GB2312" w:hAnsi="仿宋" w:eastAsia="仿宋_GB2312" w:cs="仿宋_GB2312"/>
          <w:i w:val="0"/>
          <w:iCs w:val="0"/>
          <w:caps w:val="0"/>
          <w:color w:val="000000"/>
          <w:spacing w:val="0"/>
          <w:sz w:val="32"/>
          <w:szCs w:val="32"/>
          <w:shd w:val="clear" w:color="auto" w:fill="FFFFFF"/>
          <w:lang w:eastAsia="zh-CN"/>
        </w:rPr>
        <w:t>农药最大残留限量</w:t>
      </w:r>
      <w:r>
        <w:rPr>
          <w:rFonts w:hint="eastAsia" w:ascii="仿宋_GB2312" w:hAnsi="仿宋" w:eastAsia="仿宋_GB2312" w:cs="仿宋_GB2312"/>
          <w:i w:val="0"/>
          <w:iCs w:val="0"/>
          <w:caps w:val="0"/>
          <w:color w:val="000000"/>
          <w:spacing w:val="0"/>
          <w:sz w:val="32"/>
          <w:szCs w:val="32"/>
          <w:shd w:val="clear" w:color="auto" w:fill="FFFFFF"/>
        </w:rPr>
        <w:t>》要求，检验结论为不合格</w:t>
      </w:r>
      <w:r>
        <w:rPr>
          <w:rFonts w:hint="eastAsia" w:ascii="仿宋_GB2312" w:hAnsi="仿宋" w:eastAsia="仿宋_GB2312" w:cs="仿宋_GB2312"/>
          <w:i w:val="0"/>
          <w:iCs w:val="0"/>
          <w:caps w:val="0"/>
          <w:color w:val="000000"/>
          <w:spacing w:val="0"/>
          <w:sz w:val="32"/>
          <w:szCs w:val="32"/>
          <w:shd w:val="clear" w:color="auto" w:fill="FFFFFF"/>
          <w:lang w:eastAsia="zh-CN"/>
        </w:rPr>
        <w:t>。</w:t>
      </w:r>
      <w:r>
        <w:rPr>
          <w:rFonts w:hint="eastAsia" w:ascii="仿宋" w:hAnsi="仿宋" w:eastAsia="仿宋" w:cs="仿宋"/>
          <w:b w:val="0"/>
          <w:bCs w:val="0"/>
          <w:spacing w:val="-9"/>
          <w:sz w:val="32"/>
          <w:szCs w:val="32"/>
          <w:lang w:val="en-US" w:eastAsia="zh-CN"/>
        </w:rPr>
        <w:t>2023年3月21日上午，我局执法人员吴朝峰、伊之涛</w:t>
      </w:r>
      <w:r>
        <w:rPr>
          <w:rFonts w:hint="eastAsia" w:ascii="仿宋" w:hAnsi="仿宋" w:eastAsia="仿宋" w:cs="仿宋"/>
          <w:sz w:val="32"/>
          <w:szCs w:val="32"/>
        </w:rPr>
        <w:t>将不合格检验报告（</w:t>
      </w:r>
      <w:r>
        <w:rPr>
          <w:rFonts w:hint="eastAsia" w:ascii="仿宋" w:hAnsi="仿宋" w:eastAsia="仿宋" w:cs="仿宋"/>
          <w:sz w:val="32"/>
          <w:szCs w:val="32"/>
          <w:lang w:eastAsia="zh-CN"/>
        </w:rPr>
        <w:t>No:AMJC/</w:t>
      </w:r>
      <w:r>
        <w:rPr>
          <w:rFonts w:hint="eastAsia" w:ascii="仿宋" w:hAnsi="仿宋" w:eastAsia="仿宋" w:cs="仿宋"/>
          <w:sz w:val="32"/>
          <w:szCs w:val="32"/>
          <w:lang w:val="en-US" w:eastAsia="zh-CN"/>
        </w:rPr>
        <w:t>20230224472</w:t>
      </w:r>
      <w:r>
        <w:rPr>
          <w:rFonts w:hint="eastAsia" w:ascii="仿宋" w:hAnsi="仿宋" w:eastAsia="仿宋" w:cs="仿宋"/>
          <w:sz w:val="32"/>
          <w:szCs w:val="32"/>
        </w:rPr>
        <w:t>）送到</w:t>
      </w:r>
      <w:r>
        <w:rPr>
          <w:rFonts w:hint="eastAsia" w:ascii="仿宋" w:hAnsi="仿宋" w:eastAsia="仿宋" w:cs="仿宋"/>
          <w:sz w:val="32"/>
          <w:szCs w:val="32"/>
          <w:lang w:eastAsia="zh-CN"/>
        </w:rPr>
        <w:t>威县荣健果蔬门市（赵瑞朝）</w:t>
      </w:r>
      <w:r>
        <w:rPr>
          <w:rFonts w:hint="eastAsia" w:ascii="仿宋" w:hAnsi="仿宋" w:eastAsia="仿宋" w:cs="仿宋"/>
          <w:sz w:val="32"/>
          <w:szCs w:val="32"/>
        </w:rPr>
        <w:t>，负责人</w:t>
      </w:r>
      <w:r>
        <w:rPr>
          <w:rFonts w:hint="eastAsia" w:ascii="仿宋" w:hAnsi="仿宋" w:eastAsia="仿宋" w:cs="仿宋"/>
          <w:sz w:val="32"/>
          <w:szCs w:val="32"/>
          <w:lang w:eastAsia="zh-CN"/>
        </w:rPr>
        <w:t>赵瑞朝</w:t>
      </w:r>
      <w:r>
        <w:rPr>
          <w:rFonts w:hint="eastAsia" w:ascii="仿宋" w:hAnsi="仿宋" w:eastAsia="仿宋" w:cs="仿宋"/>
          <w:sz w:val="32"/>
          <w:szCs w:val="32"/>
        </w:rPr>
        <w:t>签收，并对现场进行了检查，发现</w:t>
      </w:r>
      <w:r>
        <w:rPr>
          <w:rFonts w:hint="eastAsia" w:ascii="仿宋" w:hAnsi="仿宋" w:eastAsia="仿宋" w:cs="仿宋"/>
          <w:sz w:val="32"/>
          <w:szCs w:val="32"/>
          <w:lang w:val="en-US" w:eastAsia="zh-CN"/>
        </w:rPr>
        <w:t>2月18日</w:t>
      </w:r>
      <w:r>
        <w:rPr>
          <w:rFonts w:hint="eastAsia" w:ascii="仿宋" w:hAnsi="仿宋" w:eastAsia="仿宋" w:cs="仿宋"/>
          <w:sz w:val="32"/>
          <w:szCs w:val="32"/>
        </w:rPr>
        <w:t>购进的</w:t>
      </w:r>
      <w:r>
        <w:rPr>
          <w:rFonts w:hint="eastAsia" w:ascii="仿宋" w:hAnsi="仿宋" w:eastAsia="仿宋" w:cs="仿宋"/>
          <w:sz w:val="32"/>
          <w:szCs w:val="32"/>
          <w:lang w:eastAsia="zh-CN"/>
        </w:rPr>
        <w:t>韭菜</w:t>
      </w:r>
      <w:r>
        <w:rPr>
          <w:rFonts w:hint="eastAsia" w:ascii="仿宋" w:hAnsi="仿宋" w:eastAsia="仿宋" w:cs="仿宋"/>
          <w:sz w:val="32"/>
          <w:szCs w:val="32"/>
        </w:rPr>
        <w:t>已销售完毕，提供了购进的单据《批发出货单》，并说明</w:t>
      </w:r>
      <w:r>
        <w:rPr>
          <w:rFonts w:hint="eastAsia" w:ascii="仿宋" w:hAnsi="仿宋" w:eastAsia="仿宋" w:cs="仿宋"/>
          <w:sz w:val="32"/>
          <w:szCs w:val="32"/>
          <w:lang w:eastAsia="zh-CN"/>
        </w:rPr>
        <w:t>韭菜</w:t>
      </w:r>
      <w:r>
        <w:rPr>
          <w:rFonts w:hint="eastAsia" w:ascii="仿宋" w:hAnsi="仿宋" w:eastAsia="仿宋" w:cs="仿宋"/>
          <w:sz w:val="32"/>
          <w:szCs w:val="32"/>
        </w:rPr>
        <w:t>是从</w:t>
      </w:r>
      <w:r>
        <w:rPr>
          <w:rFonts w:hint="eastAsia" w:ascii="仿宋" w:hAnsi="仿宋" w:eastAsia="仿宋" w:cs="仿宋"/>
          <w:sz w:val="32"/>
          <w:szCs w:val="32"/>
          <w:lang w:eastAsia="zh-CN"/>
        </w:rPr>
        <w:t>威县四报春菜市场批发门市</w:t>
      </w:r>
      <w:r>
        <w:rPr>
          <w:rFonts w:hint="eastAsia" w:ascii="仿宋" w:hAnsi="仿宋" w:eastAsia="仿宋" w:cs="仿宋"/>
          <w:sz w:val="32"/>
          <w:szCs w:val="32"/>
        </w:rPr>
        <w:t>购进的</w:t>
      </w:r>
      <w:r>
        <w:rPr>
          <w:rFonts w:hint="eastAsia" w:ascii="仿宋" w:hAnsi="仿宋" w:eastAsia="仿宋" w:cs="仿宋"/>
          <w:b w:val="0"/>
          <w:bCs w:val="0"/>
          <w:spacing w:val="-9"/>
          <w:sz w:val="32"/>
          <w:szCs w:val="32"/>
          <w:lang w:val="en-US" w:eastAsia="zh-CN"/>
        </w:rPr>
        <w:t>。</w:t>
      </w:r>
    </w:p>
    <w:p>
      <w:pPr>
        <w:keepNext w:val="0"/>
        <w:keepLines w:val="0"/>
        <w:pageBreakBefore w:val="0"/>
        <w:wordWrap/>
        <w:overflowPunct/>
        <w:topLinePunct w:val="0"/>
        <w:bidi w:val="0"/>
        <w:spacing w:line="240" w:lineRule="auto"/>
        <w:ind w:firstLine="604" w:firstLineChars="200"/>
        <w:rPr>
          <w:rFonts w:ascii="仿宋" w:hAnsi="仿宋" w:eastAsia="仿宋" w:cs="仿宋"/>
          <w:spacing w:val="-16"/>
          <w:sz w:val="32"/>
          <w:szCs w:val="32"/>
        </w:rPr>
      </w:pPr>
      <w:r>
        <w:rPr>
          <w:rFonts w:hint="eastAsia" w:ascii="仿宋" w:hAnsi="仿宋" w:eastAsia="仿宋" w:cs="仿宋"/>
          <w:b w:val="0"/>
          <w:bCs w:val="0"/>
          <w:spacing w:val="-9"/>
          <w:sz w:val="32"/>
          <w:szCs w:val="32"/>
          <w:lang w:val="en-US" w:eastAsia="zh-CN"/>
        </w:rPr>
        <w:t>经调查：威县荣健果蔬门市于2023年2月18日在威县四报春菜市场购进了两筐韭菜，每件净重10公斤，每公斤购进价格为4元，共花费了40元，该批韭菜于当日被抽检4公斤自用一公斤剩余5公斤当日全部销售完毕，违法所得20元，仅销售每斤2.5元，也就是赚了5元左右，没什么利润，未造成不良影响当事人态度端正，也积极配合执法检查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line="240" w:lineRule="auto"/>
        <w:ind w:firstLine="576" w:firstLineChars="200"/>
        <w:jc w:val="both"/>
        <w:textAlignment w:val="baseline"/>
        <w:rPr>
          <w:rFonts w:ascii="仿宋" w:hAnsi="仿宋" w:eastAsia="仿宋" w:cs="仿宋"/>
          <w:spacing w:val="-16"/>
          <w:sz w:val="32"/>
          <w:szCs w:val="32"/>
        </w:rPr>
      </w:pPr>
      <w:r>
        <w:rPr>
          <w:rFonts w:ascii="仿宋" w:hAnsi="仿宋" w:eastAsia="仿宋" w:cs="仿宋"/>
          <w:spacing w:val="-16"/>
          <w:sz w:val="32"/>
          <w:szCs w:val="32"/>
        </w:rPr>
        <w:t>上述事实，主要有以下证据证明：</w:t>
      </w:r>
    </w:p>
    <w:p>
      <w:pPr>
        <w:keepNext w:val="0"/>
        <w:keepLines w:val="0"/>
        <w:pageBreakBefore w:val="0"/>
        <w:widowControl/>
        <w:numPr>
          <w:ilvl w:val="0"/>
          <w:numId w:val="1"/>
        </w:numPr>
        <w:tabs>
          <w:tab w:val="left" w:pos="546"/>
          <w:tab w:val="clear" w:pos="312"/>
        </w:tabs>
        <w:kinsoku w:val="0"/>
        <w:wordWrap/>
        <w:overflowPunct/>
        <w:topLinePunct w:val="0"/>
        <w:autoSpaceDE w:val="0"/>
        <w:autoSpaceDN w:val="0"/>
        <w:bidi w:val="0"/>
        <w:adjustRightInd w:val="0"/>
        <w:snapToGrid w:val="0"/>
        <w:spacing w:before="105" w:line="240" w:lineRule="auto"/>
        <w:ind w:left="630" w:leftChars="0"/>
        <w:jc w:val="both"/>
        <w:textAlignment w:val="baseline"/>
        <w:rPr>
          <w:rFonts w:hint="eastAsia" w:ascii="仿宋" w:hAnsi="仿宋" w:eastAsia="仿宋" w:cs="仿宋"/>
          <w:b w:val="0"/>
          <w:bCs w:val="0"/>
          <w:spacing w:val="-7"/>
          <w:sz w:val="32"/>
          <w:szCs w:val="32"/>
          <w:u w:val="none" w:color="auto"/>
          <w:lang w:val="en-US" w:eastAsia="zh-CN"/>
        </w:rPr>
      </w:pPr>
      <w:r>
        <w:rPr>
          <w:rFonts w:hint="eastAsia" w:ascii="仿宋" w:hAnsi="仿宋" w:eastAsia="仿宋" w:cs="仿宋"/>
          <w:b w:val="0"/>
          <w:bCs w:val="0"/>
          <w:spacing w:val="-7"/>
          <w:sz w:val="32"/>
          <w:szCs w:val="32"/>
          <w:u w:val="none" w:color="auto"/>
          <w:lang w:val="en-US" w:eastAsia="zh-CN"/>
        </w:rPr>
        <w:t>威县荣健果蔬门市（赵瑞朝）营业执照的复印件：证明当事人的主体身份。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line="240" w:lineRule="auto"/>
        <w:ind w:firstLine="612" w:firstLineChars="200"/>
        <w:jc w:val="both"/>
        <w:textAlignment w:val="baseline"/>
        <w:rPr>
          <w:rFonts w:hint="eastAsia" w:ascii="仿宋" w:hAnsi="仿宋" w:eastAsia="仿宋" w:cs="仿宋"/>
          <w:b w:val="0"/>
          <w:bCs w:val="0"/>
          <w:spacing w:val="-7"/>
          <w:sz w:val="32"/>
          <w:szCs w:val="32"/>
          <w:u w:val="none" w:color="auto"/>
          <w:lang w:val="en-US" w:eastAsia="zh-CN"/>
        </w:rPr>
      </w:pPr>
      <w:r>
        <w:rPr>
          <w:rFonts w:hint="eastAsia" w:ascii="仿宋" w:hAnsi="仿宋" w:eastAsia="仿宋" w:cs="仿宋"/>
          <w:b w:val="0"/>
          <w:bCs w:val="0"/>
          <w:spacing w:val="-7"/>
          <w:sz w:val="32"/>
          <w:szCs w:val="32"/>
          <w:u w:val="none" w:color="auto"/>
          <w:lang w:val="en-US" w:eastAsia="zh-CN"/>
        </w:rPr>
        <w:t>2.现场检查记录：证明当事人购进的不合格韭菜已销售完毕，涉及数量少，并提供了购进韭菜的单据。</w:t>
      </w:r>
    </w:p>
    <w:p>
      <w:pPr>
        <w:keepNext w:val="0"/>
        <w:keepLines w:val="0"/>
        <w:pageBreakBefore w:val="0"/>
        <w:wordWrap/>
        <w:overflowPunct/>
        <w:topLinePunct w:val="0"/>
        <w:bidi w:val="0"/>
        <w:spacing w:line="240" w:lineRule="auto"/>
        <w:ind w:firstLine="612" w:firstLineChars="200"/>
        <w:rPr>
          <w:rFonts w:hint="eastAsia" w:ascii="仿宋" w:hAnsi="仿宋" w:eastAsia="仿宋" w:cs="仿宋"/>
          <w:b w:val="0"/>
          <w:bCs w:val="0"/>
          <w:spacing w:val="-7"/>
          <w:sz w:val="32"/>
          <w:szCs w:val="32"/>
          <w:u w:val="none" w:color="auto"/>
          <w:lang w:val="en-US" w:eastAsia="zh-CN"/>
        </w:rPr>
      </w:pPr>
      <w:r>
        <w:rPr>
          <w:rFonts w:hint="eastAsia" w:ascii="仿宋" w:hAnsi="仿宋" w:eastAsia="仿宋" w:cs="仿宋"/>
          <w:b w:val="0"/>
          <w:bCs w:val="0"/>
          <w:spacing w:val="-7"/>
          <w:sz w:val="32"/>
          <w:szCs w:val="32"/>
          <w:u w:val="none" w:color="auto"/>
          <w:lang w:val="en-US" w:eastAsia="zh-CN"/>
        </w:rPr>
        <w:t>3.询问笔录：证明当事人取得了营业执照，</w:t>
      </w:r>
      <w:r>
        <w:rPr>
          <w:rFonts w:hint="eastAsia" w:ascii="仿宋" w:hAnsi="仿宋" w:eastAsia="仿宋" w:cs="仿宋"/>
          <w:sz w:val="32"/>
          <w:szCs w:val="32"/>
        </w:rPr>
        <w:t>经营了的不合格</w:t>
      </w:r>
      <w:r>
        <w:rPr>
          <w:rFonts w:hint="eastAsia" w:ascii="仿宋" w:hAnsi="仿宋" w:eastAsia="仿宋" w:cs="仿宋"/>
          <w:sz w:val="32"/>
          <w:szCs w:val="32"/>
          <w:lang w:eastAsia="zh-CN"/>
        </w:rPr>
        <w:t>韭菜</w:t>
      </w:r>
      <w:r>
        <w:rPr>
          <w:rFonts w:hint="eastAsia" w:ascii="仿宋" w:hAnsi="仿宋" w:eastAsia="仿宋" w:cs="仿宋"/>
          <w:b w:val="0"/>
          <w:bCs w:val="0"/>
          <w:spacing w:val="-7"/>
          <w:sz w:val="32"/>
          <w:szCs w:val="32"/>
          <w:u w:val="none" w:color="auto"/>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line="240" w:lineRule="auto"/>
        <w:ind w:firstLine="612" w:firstLineChars="200"/>
        <w:jc w:val="both"/>
        <w:textAlignment w:val="baseline"/>
        <w:rPr>
          <w:rFonts w:ascii="Microsoft JhengHei"/>
          <w:sz w:val="21"/>
        </w:rPr>
      </w:pPr>
      <w:r>
        <w:rPr>
          <w:rFonts w:hint="eastAsia" w:ascii="仿宋" w:hAnsi="仿宋" w:eastAsia="仿宋" w:cs="仿宋"/>
          <w:b w:val="0"/>
          <w:bCs w:val="0"/>
          <w:spacing w:val="-7"/>
          <w:sz w:val="32"/>
          <w:szCs w:val="32"/>
          <w:u w:val="none" w:color="auto"/>
          <w:lang w:val="en-US" w:eastAsia="zh-CN"/>
        </w:rPr>
        <w:t>4.检验鉴定意见书，编号为：NO:AMJC/20230224404。</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baseline"/>
        <w:outlineLvl w:val="9"/>
        <w:rPr>
          <w:rFonts w:ascii="Microsoft JhengHei"/>
          <w:sz w:val="21"/>
        </w:rPr>
      </w:pPr>
      <w:r>
        <w:rPr>
          <w:rFonts w:hint="eastAsia" w:ascii="Times New Roman" w:hAnsi="Times New Roman" w:eastAsia="仿宋" w:cs="仿宋"/>
          <w:bCs/>
          <w:color w:val="000000"/>
          <w:sz w:val="32"/>
          <w:szCs w:val="32"/>
          <w:u w:val="none"/>
          <w:lang w:eastAsia="zh-CN"/>
        </w:rPr>
        <w:t>本案调查结束后，经局领导</w:t>
      </w:r>
      <w:r>
        <w:rPr>
          <w:rFonts w:hint="eastAsia" w:ascii="Times New Roman" w:hAnsi="Times New Roman" w:eastAsia="仿宋" w:cs="仿宋"/>
          <w:bCs/>
          <w:color w:val="000000"/>
          <w:sz w:val="32"/>
          <w:szCs w:val="32"/>
          <w:u w:val="none"/>
          <w:lang w:val="en-US" w:eastAsia="zh-CN"/>
        </w:rPr>
        <w:t>批准</w:t>
      </w:r>
      <w:r>
        <w:rPr>
          <w:rFonts w:hint="eastAsia" w:ascii="Times New Roman" w:hAnsi="Times New Roman" w:eastAsia="仿宋" w:cs="仿宋"/>
          <w:bCs/>
          <w:color w:val="000000"/>
          <w:sz w:val="32"/>
          <w:szCs w:val="32"/>
          <w:u w:val="none"/>
          <w:lang w:eastAsia="zh-CN"/>
        </w:rPr>
        <w:t>，于</w:t>
      </w:r>
      <w:r>
        <w:rPr>
          <w:rFonts w:hint="eastAsia" w:ascii="Times New Roman" w:hAnsi="Times New Roman" w:eastAsia="仿宋" w:cs="仿宋"/>
          <w:bCs/>
          <w:color w:val="000000"/>
          <w:sz w:val="32"/>
          <w:szCs w:val="32"/>
          <w:u w:val="none"/>
          <w:lang w:val="en-US" w:eastAsia="zh-CN"/>
        </w:rPr>
        <w:t>2023年4月26日向当事人直接送达了《行政处罚告知书》（威市监告</w:t>
      </w:r>
      <w:r>
        <w:rPr>
          <w:rFonts w:hint="eastAsia" w:ascii="Times New Roman" w:hAnsi="Times New Roman" w:eastAsia="仿宋" w:cs="仿宋"/>
          <w:bCs/>
          <w:color w:val="000000"/>
          <w:sz w:val="32"/>
          <w:szCs w:val="32"/>
          <w:u w:val="none"/>
        </w:rPr>
        <w:t>〔</w:t>
      </w:r>
      <w:r>
        <w:rPr>
          <w:rFonts w:hint="eastAsia" w:ascii="Times New Roman" w:hAnsi="Times New Roman" w:eastAsia="仿宋" w:cs="仿宋"/>
          <w:bCs/>
          <w:color w:val="000000"/>
          <w:sz w:val="32"/>
          <w:szCs w:val="32"/>
          <w:u w:val="none"/>
          <w:lang w:val="en-US" w:eastAsia="zh-CN"/>
        </w:rPr>
        <w:t>2023</w:t>
      </w:r>
      <w:r>
        <w:rPr>
          <w:rFonts w:hint="eastAsia" w:ascii="Times New Roman" w:hAnsi="Times New Roman" w:eastAsia="仿宋" w:cs="仿宋"/>
          <w:bCs/>
          <w:color w:val="000000"/>
          <w:sz w:val="32"/>
          <w:szCs w:val="32"/>
          <w:u w:val="none"/>
        </w:rPr>
        <w:t>〕</w:t>
      </w:r>
      <w:r>
        <w:rPr>
          <w:rFonts w:hint="eastAsia" w:ascii="Times New Roman" w:hAnsi="Times New Roman" w:eastAsia="仿宋" w:cs="仿宋"/>
          <w:bCs/>
          <w:color w:val="000000"/>
          <w:sz w:val="32"/>
          <w:szCs w:val="32"/>
          <w:u w:val="none"/>
          <w:lang w:val="en-US" w:eastAsia="zh-CN"/>
        </w:rPr>
        <w:t>138号），当事人在五个工作日对以上处罚未</w:t>
      </w:r>
      <w:r>
        <w:rPr>
          <w:rFonts w:hint="eastAsia" w:ascii="Times New Roman" w:hAnsi="Times New Roman" w:eastAsia="仿宋" w:cs="仿宋"/>
          <w:bCs/>
          <w:color w:val="000000"/>
          <w:sz w:val="32"/>
          <w:szCs w:val="32"/>
          <w:u w:val="none"/>
        </w:rPr>
        <w:t>提出陈述</w:t>
      </w:r>
      <w:r>
        <w:rPr>
          <w:rFonts w:hint="eastAsia" w:ascii="Times New Roman" w:hAnsi="Times New Roman" w:eastAsia="仿宋" w:cs="仿宋"/>
          <w:bCs/>
          <w:color w:val="000000"/>
          <w:sz w:val="32"/>
          <w:szCs w:val="32"/>
          <w:u w:val="none"/>
          <w:lang w:eastAsia="zh-CN"/>
        </w:rPr>
        <w:t>、</w:t>
      </w:r>
      <w:r>
        <w:rPr>
          <w:rFonts w:hint="eastAsia" w:ascii="Times New Roman" w:hAnsi="Times New Roman" w:eastAsia="仿宋" w:cs="仿宋"/>
          <w:bCs/>
          <w:color w:val="000000"/>
          <w:sz w:val="32"/>
          <w:szCs w:val="32"/>
          <w:u w:val="none"/>
        </w:rPr>
        <w:t>申辩</w:t>
      </w:r>
      <w:r>
        <w:rPr>
          <w:rFonts w:hint="eastAsia" w:ascii="Times New Roman" w:hAnsi="Times New Roman" w:eastAsia="仿宋" w:cs="仿宋"/>
          <w:bCs/>
          <w:color w:val="000000"/>
          <w:sz w:val="32"/>
          <w:szCs w:val="32"/>
          <w:u w:val="none"/>
          <w:lang w:eastAsia="zh-CN"/>
        </w:rPr>
        <w:t>，未要求举行</w:t>
      </w:r>
      <w:r>
        <w:rPr>
          <w:rFonts w:hint="eastAsia" w:ascii="Times New Roman" w:hAnsi="Times New Roman" w:eastAsia="仿宋" w:cs="仿宋"/>
          <w:bCs/>
          <w:color w:val="000000"/>
          <w:sz w:val="32"/>
          <w:szCs w:val="32"/>
          <w:u w:val="none"/>
          <w:lang w:val="en-US" w:eastAsia="zh-CN"/>
        </w:rPr>
        <w:t>听证</w:t>
      </w:r>
      <w:r>
        <w:rPr>
          <w:rFonts w:hint="eastAsia" w:ascii="Times New Roman" w:hAnsi="Times New Roman" w:eastAsia="仿宋" w:cs="仿宋"/>
          <w:bCs/>
          <w:color w:val="000000"/>
          <w:sz w:val="32"/>
          <w:szCs w:val="32"/>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firstLine="682"/>
        <w:jc w:val="both"/>
        <w:textAlignment w:val="baseline"/>
        <w:rPr>
          <w:rFonts w:hint="eastAsia" w:ascii="仿宋" w:hAnsi="仿宋" w:eastAsia="仿宋" w:cs="仿宋"/>
          <w:b w:val="0"/>
          <w:bCs w:val="0"/>
          <w:spacing w:val="-15"/>
          <w:sz w:val="32"/>
          <w:szCs w:val="32"/>
        </w:rPr>
      </w:pPr>
      <w:r>
        <w:rPr>
          <w:rFonts w:hint="eastAsia" w:ascii="仿宋" w:hAnsi="仿宋" w:eastAsia="仿宋" w:cs="仿宋"/>
          <w:b w:val="0"/>
          <w:bCs w:val="0"/>
          <w:spacing w:val="-32"/>
          <w:sz w:val="32"/>
          <w:szCs w:val="32"/>
          <w:lang w:val="en-US" w:eastAsia="zh-CN"/>
        </w:rPr>
        <w:t>本局认为，威县荣健果蔬门市（赵瑞朝）涉嫌销售不合格韭菜案，违反了《中华人民共和国食品安全法》第二十六条第一款之规定“ </w:t>
      </w:r>
      <w:r>
        <w:rPr>
          <w:rFonts w:hint="eastAsia" w:ascii="仿宋" w:hAnsi="仿宋" w:eastAsia="仿宋" w:cs="仿宋"/>
          <w:i w:val="0"/>
          <w:iCs w:val="0"/>
          <w:caps w:val="0"/>
          <w:snapToGrid w:val="0"/>
          <w:color w:val="000000"/>
          <w:spacing w:val="0"/>
          <w:kern w:val="0"/>
          <w:sz w:val="32"/>
          <w:szCs w:val="32"/>
          <w:shd w:val="clear" w:color="auto" w:fill="FFFFFF"/>
          <w:lang w:val="en-US" w:eastAsia="zh-CN" w:bidi="ar"/>
        </w:rPr>
        <w:t>食品安全标准应当包括下列内容：（一）食品、食品添加剂、食品相关产品中的致病性微生物，农药残留、兽药残留、生物毒素、重金属等污染物质以及其他危害人体健康物质的限量规定</w:t>
      </w:r>
      <w:r>
        <w:rPr>
          <w:rFonts w:hint="eastAsia" w:ascii="仿宋" w:hAnsi="仿宋" w:eastAsia="仿宋" w:cs="仿宋"/>
          <w:b w:val="0"/>
          <w:bCs w:val="0"/>
          <w:spacing w:val="-9"/>
          <w:sz w:val="32"/>
          <w:szCs w:val="32"/>
          <w:lang w:val="en-US" w:eastAsia="zh-CN"/>
        </w:rPr>
        <w:t>”</w:t>
      </w:r>
      <w:r>
        <w:rPr>
          <w:rFonts w:hint="eastAsia" w:ascii="仿宋" w:hAnsi="仿宋" w:eastAsia="仿宋" w:cs="仿宋"/>
          <w:b w:val="0"/>
          <w:bCs w:val="0"/>
          <w:spacing w:val="-32"/>
          <w:sz w:val="32"/>
          <w:szCs w:val="32"/>
          <w:lang w:val="en-US" w:eastAsia="zh-CN"/>
        </w:rPr>
        <w:t>，根据《中华人民共和国食品安全法》第一百二十四条第一款之规定</w:t>
      </w:r>
      <w:r>
        <w:rPr>
          <w:rFonts w:hint="eastAsia" w:ascii="仿宋" w:hAnsi="仿宋" w:eastAsia="仿宋" w:cs="仿宋"/>
          <w:b w:val="0"/>
          <w:bCs w:val="0"/>
          <w:spacing w:val="-9"/>
          <w:sz w:val="32"/>
          <w:szCs w:val="32"/>
          <w:lang w:val="en-US" w:eastAsia="zh-CN"/>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的规定。</w:t>
      </w:r>
    </w:p>
    <w:p>
      <w:pPr>
        <w:keepNext w:val="0"/>
        <w:keepLines w:val="0"/>
        <w:pageBreakBefore w:val="0"/>
        <w:widowControl w:val="0"/>
        <w:kinsoku/>
        <w:wordWrap/>
        <w:overflowPunct/>
        <w:topLinePunct w:val="0"/>
        <w:autoSpaceDE/>
        <w:autoSpaceDN/>
        <w:bidi w:val="0"/>
        <w:adjustRightInd/>
        <w:snapToGrid/>
        <w:spacing w:line="240" w:lineRule="auto"/>
        <w:ind w:firstLine="58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pacing w:val="-15"/>
          <w:sz w:val="32"/>
          <w:szCs w:val="32"/>
        </w:rPr>
        <w:t>自由裁量理由等其他需要说明的事项：</w:t>
      </w:r>
      <w:r>
        <w:rPr>
          <w:rFonts w:hint="eastAsia" w:ascii="仿宋" w:hAnsi="仿宋" w:eastAsia="仿宋" w:cs="仿宋"/>
          <w:b w:val="0"/>
          <w:bCs w:val="0"/>
          <w:sz w:val="32"/>
          <w:szCs w:val="32"/>
          <w:lang w:eastAsia="zh-CN"/>
        </w:rPr>
        <w:t>经调查后，</w:t>
      </w:r>
      <w:r>
        <w:rPr>
          <w:rFonts w:hint="eastAsia" w:ascii="仿宋" w:hAnsi="仿宋" w:eastAsia="仿宋" w:cs="仿宋"/>
          <w:b w:val="0"/>
          <w:bCs w:val="0"/>
          <w:sz w:val="32"/>
          <w:szCs w:val="32"/>
          <w:lang w:val="en-US" w:eastAsia="zh-CN"/>
        </w:rPr>
        <w:t>发现当事人履行了进货查验、索证索票等义务，有充分证据证明其不知道所采购的食品不符合食品安全标准，并能如实说明其进货来源，且</w:t>
      </w:r>
      <w:r>
        <w:rPr>
          <w:rFonts w:hint="eastAsia" w:ascii="仿宋" w:hAnsi="仿宋" w:eastAsia="仿宋" w:cs="仿宋"/>
          <w:b w:val="0"/>
          <w:bCs w:val="0"/>
          <w:sz w:val="32"/>
          <w:szCs w:val="32"/>
          <w:lang w:eastAsia="zh-CN"/>
        </w:rPr>
        <w:t>当事人态度端正，并积极配合执法工作，参照</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河北省市场监督管理行政处罚裁量基准</w:t>
      </w:r>
      <w:r>
        <w:rPr>
          <w:rFonts w:hint="eastAsia" w:ascii="仿宋" w:hAnsi="仿宋" w:eastAsia="仿宋" w:cs="仿宋"/>
          <w:b w:val="0"/>
          <w:bCs w:val="0"/>
          <w:sz w:val="32"/>
          <w:szCs w:val="32"/>
        </w:rPr>
        <w:t>》规定，</w:t>
      </w:r>
      <w:r>
        <w:rPr>
          <w:rFonts w:hint="eastAsia" w:ascii="仿宋" w:hAnsi="仿宋" w:eastAsia="仿宋" w:cs="仿宋"/>
          <w:b w:val="0"/>
          <w:bCs w:val="0"/>
          <w:sz w:val="32"/>
          <w:szCs w:val="32"/>
          <w:lang w:eastAsia="zh-CN"/>
        </w:rPr>
        <w:t>予以</w:t>
      </w:r>
      <w:r>
        <w:rPr>
          <w:rFonts w:hint="eastAsia" w:ascii="仿宋" w:hAnsi="仿宋" w:eastAsia="仿宋" w:cs="仿宋"/>
          <w:b w:val="0"/>
          <w:bCs w:val="0"/>
          <w:sz w:val="32"/>
          <w:szCs w:val="32"/>
          <w:lang w:val="en-US" w:eastAsia="zh-CN"/>
        </w:rPr>
        <w:t>依法</w:t>
      </w:r>
      <w:r>
        <w:rPr>
          <w:rFonts w:hint="eastAsia" w:ascii="仿宋" w:hAnsi="仿宋" w:eastAsia="仿宋" w:cs="仿宋"/>
          <w:b w:val="0"/>
          <w:bCs w:val="0"/>
          <w:sz w:val="32"/>
          <w:szCs w:val="32"/>
          <w:lang w:eastAsia="zh-CN"/>
        </w:rPr>
        <w:t>处罚，依照</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中华人民共和国行政处罚法</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第三十三条</w:t>
      </w:r>
      <w:r>
        <w:rPr>
          <w:rFonts w:hint="eastAsia" w:ascii="仿宋" w:hAnsi="仿宋" w:eastAsia="仿宋" w:cs="仿宋"/>
          <w:b w:val="0"/>
          <w:bCs w:val="0"/>
          <w:sz w:val="32"/>
          <w:szCs w:val="32"/>
        </w:rPr>
        <w:t>规定，</w:t>
      </w:r>
      <w:r>
        <w:rPr>
          <w:rFonts w:hint="eastAsia" w:ascii="仿宋" w:hAnsi="仿宋" w:eastAsia="仿宋" w:cs="仿宋"/>
          <w:b w:val="0"/>
          <w:bCs w:val="0"/>
          <w:sz w:val="32"/>
          <w:szCs w:val="32"/>
          <w:lang w:eastAsia="zh-CN"/>
        </w:rPr>
        <w:t>予以</w:t>
      </w:r>
      <w:r>
        <w:rPr>
          <w:rFonts w:hint="eastAsia" w:ascii="仿宋" w:hAnsi="仿宋" w:eastAsia="仿宋" w:cs="仿宋"/>
          <w:b w:val="0"/>
          <w:bCs w:val="0"/>
          <w:sz w:val="32"/>
          <w:szCs w:val="32"/>
          <w:lang w:val="en-US" w:eastAsia="zh-CN"/>
        </w:rPr>
        <w:t>依法减轻</w:t>
      </w:r>
      <w:r>
        <w:rPr>
          <w:rFonts w:hint="eastAsia" w:ascii="仿宋" w:hAnsi="仿宋" w:eastAsia="仿宋" w:cs="仿宋"/>
          <w:b w:val="0"/>
          <w:bCs w:val="0"/>
          <w:sz w:val="32"/>
          <w:szCs w:val="32"/>
          <w:lang w:eastAsia="zh-CN"/>
        </w:rPr>
        <w:t>处罚。</w:t>
      </w:r>
    </w:p>
    <w:p>
      <w:pPr>
        <w:keepNext w:val="0"/>
        <w:keepLines w:val="0"/>
        <w:pageBreakBefore w:val="0"/>
        <w:widowControl w:val="0"/>
        <w:kinsoku/>
        <w:wordWrap/>
        <w:overflowPunct/>
        <w:topLinePunct w:val="0"/>
        <w:autoSpaceDE/>
        <w:autoSpaceDN/>
        <w:bidi w:val="0"/>
        <w:adjustRightInd/>
        <w:snapToGrid/>
        <w:spacing w:line="240" w:lineRule="auto"/>
        <w:ind w:firstLine="604" w:firstLineChars="200"/>
        <w:jc w:val="both"/>
        <w:textAlignment w:val="auto"/>
        <w:rPr>
          <w:rFonts w:hint="eastAsia" w:ascii="仿宋" w:hAnsi="仿宋" w:eastAsia="仿宋" w:cs="仿宋"/>
          <w:spacing w:val="-9"/>
          <w:sz w:val="32"/>
          <w:szCs w:val="32"/>
          <w:lang w:val="en-US" w:eastAsia="zh-CN"/>
        </w:rPr>
      </w:pPr>
      <w:r>
        <w:rPr>
          <w:rFonts w:ascii="仿宋" w:hAnsi="仿宋" w:eastAsia="仿宋" w:cs="仿宋"/>
          <w:spacing w:val="-9"/>
          <w:sz w:val="32"/>
          <w:szCs w:val="32"/>
        </w:rPr>
        <w:t>综上，当事人上述行为</w:t>
      </w:r>
      <w:r>
        <w:rPr>
          <w:rFonts w:hint="eastAsia" w:ascii="仿宋" w:hAnsi="仿宋" w:eastAsia="仿宋" w:cs="仿宋"/>
          <w:spacing w:val="-9"/>
          <w:sz w:val="32"/>
          <w:szCs w:val="32"/>
          <w:lang w:val="en-US" w:eastAsia="zh-CN"/>
        </w:rPr>
        <w:t>违反了《中华人民共和国食品安全法》第二十六条第一款之规定，根据《中华人民共和国食品安全法》第一百二十四条第一款之规定，经研究决定：</w:t>
      </w:r>
    </w:p>
    <w:p>
      <w:pPr>
        <w:keepNext w:val="0"/>
        <w:keepLines w:val="0"/>
        <w:pageBreakBefore w:val="0"/>
        <w:widowControl/>
        <w:suppressLineNumbers w:val="0"/>
        <w:shd w:val="clear" w:color="auto" w:fill="FFFFFF"/>
        <w:wordWrap/>
        <w:overflowPunct/>
        <w:topLinePunct w:val="0"/>
        <w:bidi w:val="0"/>
        <w:spacing w:after="225" w:afterAutospacing="0" w:line="240" w:lineRule="auto"/>
        <w:ind w:left="0" w:firstLine="420"/>
        <w:jc w:val="left"/>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对当事人处以罚款2000元。</w:t>
      </w:r>
    </w:p>
    <w:p>
      <w:pPr>
        <w:keepNext w:val="0"/>
        <w:keepLines w:val="0"/>
        <w:pageBreakBefore w:val="0"/>
        <w:widowControl/>
        <w:suppressLineNumbers w:val="0"/>
        <w:shd w:val="clear" w:color="auto" w:fill="FFFFFF"/>
        <w:wordWrap/>
        <w:overflowPunct/>
        <w:topLinePunct w:val="0"/>
        <w:bidi w:val="0"/>
        <w:spacing w:after="225" w:afterAutospacing="0" w:line="240" w:lineRule="auto"/>
        <w:ind w:left="0" w:firstLine="420"/>
        <w:jc w:val="left"/>
        <w:rPr>
          <w:rFonts w:hint="default" w:ascii="仿宋_GB2312" w:hAnsi="仿宋" w:eastAsia="仿宋" w:cs="仿宋"/>
          <w:sz w:val="32"/>
          <w:szCs w:val="32"/>
          <w:u w:val="none"/>
          <w:lang w:val="en-US" w:eastAsia="zh-CN"/>
        </w:rPr>
      </w:pPr>
      <w:r>
        <w:rPr>
          <w:rFonts w:hint="eastAsia" w:ascii="仿宋_GB2312" w:hAnsi="Mongolian Baiti" w:eastAsia="仿宋" w:cs="Mongolian Baiti"/>
          <w:kern w:val="1"/>
          <w:sz w:val="32"/>
          <w:szCs w:val="32"/>
          <w:u w:val="none"/>
          <w:lang w:val="en-US" w:eastAsia="zh-CN"/>
        </w:rPr>
        <w:t>威县荣健果蔬门市（赵瑞朝）</w:t>
      </w:r>
      <w:r>
        <w:rPr>
          <w:rFonts w:hint="eastAsia" w:ascii="仿宋_GB2312" w:hAnsi="仿宋" w:eastAsia="仿宋" w:cs="仿宋"/>
          <w:sz w:val="32"/>
          <w:szCs w:val="32"/>
          <w:u w:val="none"/>
          <w:lang w:val="en-US" w:eastAsia="zh-CN"/>
        </w:rPr>
        <w:t xml:space="preserve">自接到本处罚决定书之日起十五日内，把罚款交到威县收费局账户，逾期不缴纳，每日按罚没款数额的百分之三加处罚没款。                               </w:t>
      </w:r>
    </w:p>
    <w:p>
      <w:pPr>
        <w:keepNext w:val="0"/>
        <w:keepLines w:val="0"/>
        <w:pageBreakBefore w:val="0"/>
        <w:wordWrap/>
        <w:overflowPunct/>
        <w:topLinePunct w:val="0"/>
        <w:bidi w:val="0"/>
        <w:spacing w:line="240" w:lineRule="auto"/>
        <w:ind w:firstLine="640" w:firstLineChars="200"/>
        <w:jc w:val="both"/>
        <w:rPr>
          <w:rFonts w:hint="eastAsia" w:ascii="仿宋_GB2312" w:hAnsi="仿宋" w:eastAsia="仿宋" w:cs="仿宋"/>
          <w:sz w:val="32"/>
          <w:szCs w:val="32"/>
          <w:u w:val="none"/>
          <w:lang w:val="en-US" w:eastAsia="zh-CN"/>
        </w:rPr>
      </w:pPr>
      <w:r>
        <w:rPr>
          <w:rFonts w:hint="eastAsia" w:ascii="仿宋_GB2312" w:hAnsi="仿宋" w:eastAsia="仿宋" w:cs="仿宋"/>
          <w:sz w:val="32"/>
          <w:szCs w:val="32"/>
          <w:u w:val="none"/>
          <w:lang w:val="en-US" w:eastAsia="zh-CN"/>
        </w:rPr>
        <w:t>如不服本处罚决定，可在接到处罚决定书之日起</w:t>
      </w:r>
      <w:r>
        <w:rPr>
          <w:rFonts w:ascii="仿宋" w:hAnsi="仿宋" w:eastAsia="仿宋" w:cs="仿宋"/>
          <w:spacing w:val="-16"/>
          <w:sz w:val="32"/>
          <w:szCs w:val="32"/>
        </w:rPr>
        <w:t>六十日内向</w:t>
      </w:r>
      <w:r>
        <w:rPr>
          <w:rFonts w:hint="eastAsia" w:ascii="仿宋" w:hAnsi="仿宋" w:eastAsia="仿宋" w:cs="仿宋"/>
          <w:spacing w:val="7"/>
          <w:sz w:val="32"/>
          <w:szCs w:val="32"/>
          <w:u w:val="none" w:color="auto"/>
          <w:lang w:eastAsia="zh-CN"/>
        </w:rPr>
        <w:t>威县人民政府</w:t>
      </w:r>
      <w:r>
        <w:rPr>
          <w:rFonts w:ascii="仿宋" w:hAnsi="仿宋" w:eastAsia="仿宋" w:cs="仿宋"/>
          <w:spacing w:val="-16"/>
          <w:sz w:val="32"/>
          <w:szCs w:val="32"/>
          <w:u w:val="none" w:color="auto"/>
        </w:rPr>
        <w:t>申请行政复议；也可以</w:t>
      </w:r>
      <w:r>
        <w:rPr>
          <w:rFonts w:ascii="仿宋" w:hAnsi="仿宋" w:eastAsia="仿宋" w:cs="仿宋"/>
          <w:spacing w:val="-6"/>
          <w:sz w:val="32"/>
          <w:szCs w:val="32"/>
          <w:u w:val="none" w:color="auto"/>
        </w:rPr>
        <w:t>在六个月内依法向</w:t>
      </w:r>
      <w:r>
        <w:rPr>
          <w:rFonts w:hint="eastAsia" w:ascii="仿宋" w:hAnsi="仿宋" w:eastAsia="仿宋" w:cs="仿宋"/>
          <w:spacing w:val="2"/>
          <w:sz w:val="32"/>
          <w:szCs w:val="32"/>
          <w:u w:val="none" w:color="auto"/>
          <w:lang w:eastAsia="zh-CN"/>
        </w:rPr>
        <w:t>广宗县</w:t>
      </w:r>
      <w:r>
        <w:rPr>
          <w:rFonts w:ascii="仿宋" w:hAnsi="仿宋" w:eastAsia="仿宋" w:cs="仿宋"/>
          <w:spacing w:val="-6"/>
          <w:sz w:val="32"/>
          <w:szCs w:val="32"/>
          <w:u w:val="none" w:color="auto"/>
        </w:rPr>
        <w:t>人</w:t>
      </w:r>
      <w:r>
        <w:rPr>
          <w:rFonts w:ascii="仿宋" w:hAnsi="仿宋" w:eastAsia="仿宋" w:cs="仿宋"/>
          <w:spacing w:val="-6"/>
          <w:sz w:val="32"/>
          <w:szCs w:val="32"/>
        </w:rPr>
        <w:t>民法院提起行政诉讼</w:t>
      </w:r>
      <w:r>
        <w:rPr>
          <w:rFonts w:hint="eastAsia" w:ascii="仿宋_GB2312" w:hAnsi="仿宋" w:eastAsia="仿宋" w:cs="仿宋"/>
          <w:sz w:val="32"/>
          <w:szCs w:val="32"/>
          <w:u w:val="none"/>
          <w:lang w:val="en-US" w:eastAsia="zh-CN"/>
        </w:rPr>
        <w:t>。</w:t>
      </w:r>
    </w:p>
    <w:p>
      <w:pPr>
        <w:spacing w:line="287" w:lineRule="auto"/>
        <w:rPr>
          <w:rFonts w:ascii="Microsoft JhengHei"/>
          <w:sz w:val="21"/>
        </w:rPr>
      </w:pPr>
    </w:p>
    <w:p>
      <w:pPr>
        <w:spacing w:line="290" w:lineRule="auto"/>
        <w:rPr>
          <w:rFonts w:ascii="Microsoft JhengHei"/>
          <w:sz w:val="21"/>
        </w:rPr>
      </w:pPr>
    </w:p>
    <w:p>
      <w:pPr>
        <w:spacing w:line="290" w:lineRule="auto"/>
        <w:rPr>
          <w:rFonts w:ascii="Microsoft JhengHei"/>
          <w:sz w:val="21"/>
        </w:rPr>
      </w:pPr>
    </w:p>
    <w:p>
      <w:pPr>
        <w:spacing w:line="290" w:lineRule="auto"/>
        <w:rPr>
          <w:rFonts w:ascii="Microsoft JhengHei"/>
          <w:sz w:val="21"/>
        </w:rPr>
      </w:pPr>
    </w:p>
    <w:p>
      <w:pPr>
        <w:keepNext w:val="0"/>
        <w:keepLines w:val="0"/>
        <w:pageBreakBefore w:val="0"/>
        <w:wordWrap/>
        <w:overflowPunct/>
        <w:topLinePunct w:val="0"/>
        <w:bidi w:val="0"/>
        <w:spacing w:line="440" w:lineRule="exact"/>
        <w:jc w:val="both"/>
        <w:rPr>
          <w:rFonts w:hint="eastAsia" w:ascii="仿宋" w:hAnsi="仿宋" w:eastAsia="仿宋" w:cs="仿宋"/>
          <w:spacing w:val="-4"/>
          <w:sz w:val="32"/>
          <w:szCs w:val="32"/>
          <w:lang w:eastAsia="zh-CN"/>
        </w:rPr>
      </w:pPr>
    </w:p>
    <w:p>
      <w:pPr>
        <w:keepNext w:val="0"/>
        <w:keepLines w:val="0"/>
        <w:pageBreakBefore w:val="0"/>
        <w:wordWrap/>
        <w:overflowPunct/>
        <w:topLinePunct w:val="0"/>
        <w:bidi w:val="0"/>
        <w:spacing w:line="440" w:lineRule="exact"/>
        <w:jc w:val="right"/>
        <w:rPr>
          <w:rFonts w:hint="eastAsia" w:ascii="仿宋" w:hAnsi="仿宋" w:eastAsia="仿宋" w:cs="仿宋"/>
          <w:spacing w:val="-4"/>
          <w:sz w:val="32"/>
          <w:szCs w:val="32"/>
          <w:lang w:eastAsia="zh-CN"/>
        </w:rPr>
      </w:pPr>
    </w:p>
    <w:p>
      <w:pPr>
        <w:keepNext w:val="0"/>
        <w:keepLines w:val="0"/>
        <w:pageBreakBefore w:val="0"/>
        <w:wordWrap/>
        <w:overflowPunct/>
        <w:topLinePunct w:val="0"/>
        <w:bidi w:val="0"/>
        <w:spacing w:line="440" w:lineRule="exact"/>
        <w:jc w:val="right"/>
        <w:rPr>
          <w:rFonts w:hint="eastAsia" w:ascii="仿宋" w:hAnsi="仿宋" w:eastAsia="仿宋" w:cs="仿宋"/>
          <w:spacing w:val="-4"/>
          <w:sz w:val="32"/>
          <w:szCs w:val="32"/>
          <w:lang w:eastAsia="zh-CN"/>
        </w:rPr>
      </w:pPr>
    </w:p>
    <w:p>
      <w:pPr>
        <w:keepNext w:val="0"/>
        <w:keepLines w:val="0"/>
        <w:pageBreakBefore w:val="0"/>
        <w:wordWrap/>
        <w:overflowPunct/>
        <w:topLinePunct w:val="0"/>
        <w:bidi w:val="0"/>
        <w:spacing w:line="440" w:lineRule="exact"/>
        <w:jc w:val="right"/>
        <w:rPr>
          <w:rFonts w:hint="eastAsia" w:ascii="仿宋" w:hAnsi="仿宋" w:eastAsia="仿宋" w:cs="仿宋"/>
          <w:spacing w:val="-4"/>
          <w:sz w:val="32"/>
          <w:szCs w:val="32"/>
          <w:lang w:eastAsia="zh-CN"/>
        </w:rPr>
      </w:pPr>
    </w:p>
    <w:p>
      <w:pPr>
        <w:keepNext w:val="0"/>
        <w:keepLines w:val="0"/>
        <w:pageBreakBefore w:val="0"/>
        <w:wordWrap/>
        <w:overflowPunct/>
        <w:topLinePunct w:val="0"/>
        <w:bidi w:val="0"/>
        <w:spacing w:line="440" w:lineRule="exact"/>
        <w:jc w:val="right"/>
        <w:rPr>
          <w:rFonts w:ascii="仿宋" w:hAnsi="仿宋" w:eastAsia="仿宋" w:cs="仿宋"/>
          <w:sz w:val="32"/>
          <w:szCs w:val="32"/>
        </w:rPr>
      </w:pPr>
      <w:r>
        <w:rPr>
          <w:rFonts w:hint="eastAsia" w:ascii="仿宋" w:hAnsi="仿宋" w:eastAsia="仿宋" w:cs="仿宋"/>
          <w:spacing w:val="-4"/>
          <w:sz w:val="32"/>
          <w:szCs w:val="32"/>
          <w:lang w:eastAsia="zh-CN"/>
        </w:rPr>
        <w:t>威县</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keepNext w:val="0"/>
        <w:keepLines w:val="0"/>
        <w:pageBreakBefore w:val="0"/>
        <w:wordWrap/>
        <w:overflowPunct/>
        <w:topLinePunct w:val="0"/>
        <w:bidi w:val="0"/>
        <w:spacing w:line="440" w:lineRule="exact"/>
        <w:jc w:val="center"/>
        <w:rPr>
          <w:rFonts w:ascii="仿宋" w:hAnsi="仿宋" w:eastAsia="仿宋" w:cs="仿宋"/>
          <w:sz w:val="32"/>
          <w:szCs w:val="32"/>
        </w:rPr>
      </w:pPr>
      <w:r>
        <w:rPr>
          <w:rFonts w:hint="eastAsia" w:ascii="仿宋" w:hAnsi="仿宋" w:eastAsia="仿宋" w:cs="仿宋"/>
          <w:spacing w:val="-30"/>
          <w:sz w:val="32"/>
          <w:szCs w:val="32"/>
          <w:lang w:val="en-US" w:eastAsia="zh-CN"/>
        </w:rPr>
        <w:t xml:space="preserve">                                            </w:t>
      </w: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jc w:val="center"/>
        <w:rPr>
          <w:rFonts w:ascii="Microsoft JhengHei"/>
          <w:sz w:val="21"/>
        </w:rPr>
      </w:pPr>
      <w:r>
        <w:rPr>
          <w:rFonts w:hint="eastAsia" w:ascii="仿宋" w:hAnsi="仿宋" w:eastAsia="仿宋" w:cs="仿宋"/>
          <w:spacing w:val="-16"/>
          <w:sz w:val="32"/>
          <w:szCs w:val="32"/>
          <w:lang w:val="en-US" w:eastAsia="zh-CN"/>
        </w:rPr>
        <w:t xml:space="preserve">                                       2023</w:t>
      </w:r>
      <w:r>
        <w:rPr>
          <w:rFonts w:ascii="仿宋" w:hAnsi="仿宋" w:eastAsia="仿宋" w:cs="仿宋"/>
          <w:spacing w:val="-16"/>
          <w:sz w:val="32"/>
          <w:szCs w:val="32"/>
        </w:rPr>
        <w:t>年</w:t>
      </w:r>
      <w:r>
        <w:rPr>
          <w:rFonts w:hint="eastAsia" w:ascii="仿宋" w:hAnsi="仿宋" w:eastAsia="仿宋" w:cs="仿宋"/>
          <w:spacing w:val="-16"/>
          <w:sz w:val="32"/>
          <w:szCs w:val="32"/>
          <w:lang w:val="en-US" w:eastAsia="zh-CN"/>
        </w:rPr>
        <w:t>5</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12</w:t>
      </w:r>
      <w:r>
        <w:rPr>
          <w:rFonts w:ascii="仿宋" w:hAnsi="仿宋" w:eastAsia="仿宋" w:cs="仿宋"/>
          <w:spacing w:val="-16"/>
          <w:sz w:val="32"/>
          <w:szCs w:val="32"/>
        </w:rPr>
        <w:t>日</w:t>
      </w:r>
    </w:p>
    <w:p>
      <w:pPr>
        <w:spacing w:line="261" w:lineRule="auto"/>
        <w:rPr>
          <w:rFonts w:ascii="Microsoft JhengHei"/>
          <w:sz w:val="21"/>
        </w:rPr>
      </w:pPr>
    </w:p>
    <w:p>
      <w:pPr>
        <w:spacing w:line="26" w:lineRule="exact"/>
        <w:textAlignment w:val="center"/>
      </w:pPr>
      <w:r>
        <w:drawing>
          <wp:inline distT="0" distB="0" distL="114300" distR="114300">
            <wp:extent cx="5550535" cy="1587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5550535" cy="15875"/>
                    </a:xfrm>
                    <a:prstGeom prst="rect">
                      <a:avLst/>
                    </a:prstGeom>
                    <a:noFill/>
                    <a:ln>
                      <a:noFill/>
                    </a:ln>
                  </pic:spPr>
                </pic:pic>
              </a:graphicData>
            </a:graphic>
          </wp:inline>
        </w:drawing>
      </w:r>
    </w:p>
    <w:p>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val="en-US"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lang w:val="en-US" w:eastAsia="zh-CN"/>
        </w:rPr>
        <w:t>一份留存</w:t>
      </w:r>
      <w:r>
        <w:rPr>
          <w:rFonts w:ascii="仿宋" w:hAnsi="仿宋" w:eastAsia="仿宋" w:cs="仿宋"/>
          <w:spacing w:val="3"/>
          <w:sz w:val="32"/>
          <w:szCs w:val="32"/>
          <w:u w:val="single" w:color="auto"/>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34057"/>
    <w:multiLevelType w:val="singleLevel"/>
    <w:tmpl w:val="35C3405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39121486"/>
    <w:rsid w:val="7B2E6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1573</Words>
  <Characters>1714</Characters>
  <Lines>0</Lines>
  <Paragraphs>0</Paragraphs>
  <TotalTime>1</TotalTime>
  <ScaleCrop>false</ScaleCrop>
  <LinksUpToDate>false</LinksUpToDate>
  <CharactersWithSpaces>2058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2023-07-04T07:45:00Z</dcterms:created>
  <dc:creator>dell</dc:creator>
  <cp:lastModifiedBy>dell</cp:lastModifiedBy>
  <dcterms:modified xsi:type="dcterms:W3CDTF">2023-07-12T03:46:17Z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DEE240C793504579BA12699482EA3AD1_12</vt:lpwstr>
  </property>
</Properties>
</file>