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default" w:ascii="方正小标宋简体" w:hAnsi="方正小标宋简体" w:eastAsia="方正小标宋简体" w:cs="方正小标宋简体"/>
          <w:i w:val="0"/>
          <w:color w:val="000000"/>
          <w:kern w:val="0"/>
          <w:sz w:val="40"/>
          <w:szCs w:val="40"/>
          <w:u w:val="none"/>
          <w:bdr w:val="none" w:color="auto" w:sz="0" w:space="0"/>
          <w:lang w:val="en-US" w:eastAsia="zh-CN" w:bidi="ar"/>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附件：</w:t>
      </w:r>
    </w:p>
    <w:tbl>
      <w:tblPr>
        <w:tblW w:w="14505" w:type="dxa"/>
        <w:tblInd w:w="0" w:type="dxa"/>
        <w:shd w:val="clear"/>
        <w:tblLayout w:type="autofit"/>
        <w:tblCellMar>
          <w:top w:w="0" w:type="dxa"/>
          <w:left w:w="0" w:type="dxa"/>
          <w:bottom w:w="0" w:type="dxa"/>
          <w:right w:w="0" w:type="dxa"/>
        </w:tblCellMar>
      </w:tblPr>
      <w:tblGrid>
        <w:gridCol w:w="718"/>
        <w:gridCol w:w="906"/>
        <w:gridCol w:w="2303"/>
        <w:gridCol w:w="1374"/>
        <w:gridCol w:w="1444"/>
        <w:gridCol w:w="3202"/>
        <w:gridCol w:w="4558"/>
      </w:tblGrid>
      <w:tr>
        <w:tblPrEx>
          <w:shd w:val="clear"/>
          <w:tblCellMar>
            <w:top w:w="0" w:type="dxa"/>
            <w:left w:w="0" w:type="dxa"/>
            <w:bottom w:w="0" w:type="dxa"/>
            <w:right w:w="0" w:type="dxa"/>
          </w:tblCellMar>
        </w:tblPrEx>
        <w:trPr>
          <w:trHeight w:val="510" w:hRule="atLeast"/>
        </w:trPr>
        <w:tc>
          <w:tcPr>
            <w:tcW w:w="14505" w:type="dxa"/>
            <w:gridSpan w:val="7"/>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bookmarkStart w:id="0" w:name="_GoBack"/>
            <w:r>
              <w:rPr>
                <w:rFonts w:hint="default" w:ascii="方正小标宋简体" w:hAnsi="方正小标宋简体" w:eastAsia="方正小标宋简体" w:cs="方正小标宋简体"/>
                <w:i w:val="0"/>
                <w:color w:val="000000"/>
                <w:kern w:val="0"/>
                <w:sz w:val="40"/>
                <w:szCs w:val="40"/>
                <w:u w:val="none"/>
                <w:bdr w:val="none" w:color="auto" w:sz="0" w:space="0"/>
                <w:lang w:val="en-US" w:eastAsia="zh-CN" w:bidi="ar"/>
              </w:rPr>
              <w:t>威县文化广电体育和旅游局重大执法决定法制审核事项清单</w:t>
            </w:r>
            <w:bookmarkEnd w:id="0"/>
          </w:p>
        </w:tc>
      </w:tr>
      <w:tr>
        <w:tblPrEx>
          <w:shd w:val="clear"/>
          <w:tblCellMar>
            <w:top w:w="0" w:type="dxa"/>
            <w:left w:w="0" w:type="dxa"/>
            <w:bottom w:w="0" w:type="dxa"/>
            <w:right w:w="0" w:type="dxa"/>
          </w:tblCellMar>
        </w:tblPrEx>
        <w:trPr>
          <w:trHeight w:val="552" w:hRule="atLeast"/>
        </w:trPr>
        <w:tc>
          <w:tcPr>
            <w:tcW w:w="0" w:type="auto"/>
            <w:gridSpan w:val="7"/>
            <w:tcBorders>
              <w:top w:val="nil"/>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单位名称：威县文化广电体育和旅游局</w:t>
            </w:r>
          </w:p>
        </w:tc>
      </w:tr>
      <w:tr>
        <w:tblPrEx>
          <w:shd w:val="clear"/>
          <w:tblCellMar>
            <w:top w:w="0" w:type="dxa"/>
            <w:left w:w="0" w:type="dxa"/>
            <w:bottom w:w="0" w:type="dxa"/>
            <w:right w:w="0"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执法项目大类</w:t>
            </w:r>
          </w:p>
        </w:tc>
        <w:tc>
          <w:tcPr>
            <w:tcW w:w="27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审核的具体执法决定项目</w:t>
            </w: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依据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提交部门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应提交的审核资料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审  核  重  点</w:t>
            </w:r>
          </w:p>
        </w:tc>
      </w:tr>
      <w:tr>
        <w:tblPrEx>
          <w:shd w:val="clear"/>
          <w:tblCellMar>
            <w:top w:w="0" w:type="dxa"/>
            <w:left w:w="0" w:type="dxa"/>
            <w:bottom w:w="0" w:type="dxa"/>
            <w:right w:w="0" w:type="dxa"/>
          </w:tblCellMar>
        </w:tblPrEx>
        <w:trPr>
          <w:trHeight w:val="43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方正仿宋简体" w:hAnsi="方正仿宋简体" w:eastAsia="方正仿宋简体" w:cs="方正仿宋简体"/>
                <w:i w:val="0"/>
                <w:color w:val="000000"/>
                <w:sz w:val="20"/>
                <w:szCs w:val="20"/>
                <w:u w:val="none"/>
              </w:rPr>
            </w:pPr>
            <w:r>
              <w:rPr>
                <w:rFonts w:hint="default" w:ascii="方正仿宋简体" w:hAnsi="方正仿宋简体" w:eastAsia="方正仿宋简体" w:cs="方正仿宋简体"/>
                <w:i w:val="0"/>
                <w:color w:val="000000"/>
                <w:kern w:val="0"/>
                <w:sz w:val="20"/>
                <w:szCs w:val="20"/>
                <w:u w:val="none"/>
                <w:bdr w:val="none" w:color="auto" w:sz="0" w:space="0"/>
                <w:lang w:val="en-US" w:eastAsia="zh-CN" w:bidi="ar"/>
              </w:rPr>
              <w:t>行政处罚</w:t>
            </w:r>
          </w:p>
        </w:tc>
        <w:tc>
          <w:tcPr>
            <w:tcW w:w="27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8"/>
                <w:szCs w:val="18"/>
                <w:u w:val="none"/>
              </w:rPr>
            </w:pP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（一）对公民处以l万元以上罚款，对法人或者其他组织处以5万元以上罚款；</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（二）没收违法所得或者没收违法财物涉案物品价值相当于第一项规定的数额；</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（三）责令停业整顿；</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（四）吊销许可证；</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（五）其他属于重大行政处罚决定的情形。</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（六）责令旅行社停业整顿或者吊销旅行社业务经营许可证（七）对导游人员处以吊销导游证处罚（八）对自然人处以人民币一万元（不含）或对单位处以人民币10万元（不含）以上的较大数额罚款</w:t>
            </w: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0"/>
                <w:szCs w:val="20"/>
                <w:u w:val="none"/>
              </w:rPr>
            </w:pPr>
            <w:r>
              <w:rPr>
                <w:rFonts w:hint="default" w:ascii="方正仿宋简体" w:hAnsi="方正仿宋简体" w:eastAsia="方正仿宋简体" w:cs="方正仿宋简体"/>
                <w:i w:val="0"/>
                <w:color w:val="000000"/>
                <w:kern w:val="0"/>
                <w:sz w:val="20"/>
                <w:szCs w:val="20"/>
                <w:u w:val="none"/>
                <w:bdr w:val="none" w:color="auto" w:sz="0" w:space="0"/>
                <w:lang w:val="en-US" w:eastAsia="zh-CN" w:bidi="ar"/>
              </w:rPr>
              <w:t>《威县文化广电体育和旅游局重大行政执法决定法制审核实施办法》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0"/>
                <w:szCs w:val="20"/>
                <w:u w:val="none"/>
              </w:rPr>
            </w:pPr>
            <w:r>
              <w:rPr>
                <w:rFonts w:hint="default" w:ascii="方正仿宋简体" w:hAnsi="方正仿宋简体" w:eastAsia="方正仿宋简体" w:cs="方正仿宋简体"/>
                <w:i w:val="0"/>
                <w:color w:val="000000"/>
                <w:kern w:val="0"/>
                <w:sz w:val="20"/>
                <w:szCs w:val="20"/>
                <w:u w:val="none"/>
                <w:bdr w:val="none" w:color="auto" w:sz="0" w:space="0"/>
                <w:lang w:val="en-US" w:eastAsia="zh-CN" w:bidi="ar"/>
              </w:rPr>
              <w:t>政策法规科</w:t>
            </w:r>
          </w:p>
        </w:tc>
        <w:tc>
          <w:tcPr>
            <w:tcW w:w="26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8"/>
                <w:szCs w:val="18"/>
                <w:u w:val="none"/>
              </w:rPr>
            </w:pP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（一）提请审查报告1份；</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（二）拟作出的重大行政执法决定文书1份；</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（三）拟作出决定的主要事实证据和法律依据材料；</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（四）拟作出决定的程序材料；</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（五）经听证的还应当提交听证笔录复印件；</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（六）其他应当提交的材料。</w:t>
            </w:r>
          </w:p>
        </w:tc>
        <w:tc>
          <w:tcPr>
            <w:tcW w:w="47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8"/>
                <w:szCs w:val="18"/>
                <w:u w:val="none"/>
              </w:rPr>
            </w:pP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（一）执法主体是否合法，执法人员是否具备执法资格；</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（二）主要事实是否清楚，证据是否确凿、充分；</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（三）适用法律、法规、规章是否准确；处罚执行裁量基准是否适当；</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（四）程序是否合法，是否充分保障行政相对人权利。</w:t>
            </w:r>
          </w:p>
        </w:tc>
      </w:tr>
      <w:tr>
        <w:tblPrEx>
          <w:shd w:val="clear"/>
          <w:tblCellMar>
            <w:top w:w="0" w:type="dxa"/>
            <w:left w:w="0" w:type="dxa"/>
            <w:bottom w:w="0" w:type="dxa"/>
            <w:right w:w="0" w:type="dxa"/>
          </w:tblCellMar>
        </w:tblPrEx>
        <w:trPr>
          <w:trHeight w:val="22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0"/>
                <w:szCs w:val="20"/>
                <w:u w:val="none"/>
              </w:rPr>
            </w:pPr>
            <w:r>
              <w:rPr>
                <w:rFonts w:hint="default" w:ascii="方正仿宋简体" w:hAnsi="方正仿宋简体" w:eastAsia="方正仿宋简体" w:cs="方正仿宋简体"/>
                <w:i w:val="0"/>
                <w:color w:val="000000"/>
                <w:kern w:val="0"/>
                <w:sz w:val="20"/>
                <w:szCs w:val="20"/>
                <w:u w:val="none"/>
                <w:bdr w:val="none" w:color="auto" w:sz="0" w:space="0"/>
                <w:lang w:val="en-US" w:eastAsia="zh-CN" w:bidi="ar"/>
              </w:rPr>
              <w:t>行政强制</w:t>
            </w:r>
          </w:p>
        </w:tc>
        <w:tc>
          <w:tcPr>
            <w:tcW w:w="27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18"/>
                <w:szCs w:val="18"/>
                <w:u w:val="none"/>
              </w:rPr>
            </w:pP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（一）查封、扣押涉案财物价值相当于本办法第四条第一项规定的数额；</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（二）依法查封涉案场所；</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（三）其他属于重大强制的情形。</w:t>
            </w: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0"/>
                <w:szCs w:val="20"/>
                <w:u w:val="none"/>
              </w:rPr>
            </w:pPr>
            <w:r>
              <w:rPr>
                <w:rFonts w:hint="default" w:ascii="方正仿宋简体" w:hAnsi="方正仿宋简体" w:eastAsia="方正仿宋简体" w:cs="方正仿宋简体"/>
                <w:i w:val="0"/>
                <w:color w:val="000000"/>
                <w:kern w:val="0"/>
                <w:sz w:val="20"/>
                <w:szCs w:val="20"/>
                <w:u w:val="none"/>
                <w:bdr w:val="none" w:color="auto" w:sz="0" w:space="0"/>
                <w:lang w:val="en-US" w:eastAsia="zh-CN" w:bidi="ar"/>
              </w:rPr>
              <w:t>《威县文化广电体育和旅游局重大行政执法决定法制审核实施办法》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0"/>
                <w:szCs w:val="20"/>
                <w:u w:val="none"/>
              </w:rPr>
            </w:pPr>
            <w:r>
              <w:rPr>
                <w:rFonts w:hint="default" w:ascii="方正仿宋简体" w:hAnsi="方正仿宋简体" w:eastAsia="方正仿宋简体" w:cs="方正仿宋简体"/>
                <w:i w:val="0"/>
                <w:color w:val="000000"/>
                <w:kern w:val="0"/>
                <w:sz w:val="20"/>
                <w:szCs w:val="20"/>
                <w:u w:val="none"/>
                <w:bdr w:val="none" w:color="auto" w:sz="0" w:space="0"/>
                <w:lang w:val="en-US" w:eastAsia="zh-CN" w:bidi="ar"/>
              </w:rPr>
              <w:t>政策法规科</w:t>
            </w:r>
          </w:p>
        </w:tc>
        <w:tc>
          <w:tcPr>
            <w:tcW w:w="26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8"/>
                <w:szCs w:val="18"/>
                <w:u w:val="none"/>
              </w:rPr>
            </w:pP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（一）提请审查报告1份；</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（二）拟作出的重大行政执法决定文书3份；</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（三）拟作出决定的主要事实证据和法律依据材料；</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（四）拟作出决定的程序材料；</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（五）经听证的还应当提交听证笔录复印件；</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（六）其他应当提交的材料。</w:t>
            </w:r>
          </w:p>
        </w:tc>
        <w:tc>
          <w:tcPr>
            <w:tcW w:w="47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sz w:val="18"/>
                <w:szCs w:val="18"/>
                <w:u w:val="none"/>
              </w:rPr>
            </w:pP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（一）执法主体是否合法，执法人员是否具备执法资格；</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（二）主要事实是否清楚，证据是否确凿、充分；</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（三）适用法律、法规、规章是否准确；处罚执行裁量基准是否适当；</w:t>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default" w:ascii="方正仿宋简体" w:hAnsi="方正仿宋简体" w:eastAsia="方正仿宋简体" w:cs="方正仿宋简体"/>
                <w:i w:val="0"/>
                <w:color w:val="000000"/>
                <w:kern w:val="0"/>
                <w:sz w:val="18"/>
                <w:szCs w:val="18"/>
                <w:u w:val="none"/>
                <w:bdr w:val="none" w:color="auto" w:sz="0" w:space="0"/>
                <w:lang w:val="en-US" w:eastAsia="zh-CN" w:bidi="ar"/>
              </w:rPr>
              <w:t>（四）程序是否合法，是否充分保障行政相对人权利。</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01CDF"/>
    <w:rsid w:val="02113C6C"/>
    <w:rsid w:val="12901C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2019-12-11T13:20:00Z</dcterms:created>
  <dc:creator>disappear</dc:creator>
  <cp:lastModifiedBy>disappear</cp:lastModifiedBy>
  <dcterms:modified xsi:type="dcterms:W3CDTF">2019-12-11T13:22:31Z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