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6" w:line="183" w:lineRule="auto"/>
        <w:ind w:firstLine="231"/>
        <w:jc w:val="center"/>
        <w:rPr>
          <w:rFonts w:ascii="仿宋" w:hAnsi="仿宋" w:eastAsia="仿宋" w:cs="仿宋"/>
          <w:b/>
          <w:bCs/>
          <w:sz w:val="44"/>
          <w:szCs w:val="44"/>
        </w:rPr>
      </w:pPr>
      <w:r>
        <w:rPr>
          <w:rFonts w:hint="eastAsia" w:ascii="仿宋" w:hAnsi="仿宋" w:eastAsia="仿宋" w:cs="仿宋"/>
          <w:b/>
          <w:bCs/>
          <w:sz w:val="44"/>
          <w:szCs w:val="44"/>
          <w:lang w:eastAsia="zh-CN"/>
        </w:rPr>
        <w:t>威县</w:t>
      </w:r>
      <w:r>
        <w:rPr>
          <w:rFonts w:ascii="仿宋" w:hAnsi="仿宋" w:eastAsia="仿宋" w:cs="仿宋"/>
          <w:b/>
          <w:bCs/>
          <w:sz w:val="44"/>
          <w:szCs w:val="44"/>
        </w:rPr>
        <w:t>市场监督管理局</w:t>
      </w:r>
    </w:p>
    <w:p>
      <w:pPr>
        <w:spacing w:before="106" w:line="183" w:lineRule="auto"/>
        <w:jc w:val="center"/>
        <w:rPr>
          <w:rFonts w:ascii="仿宋" w:hAnsi="仿宋" w:eastAsia="仿宋" w:cs="仿宋"/>
          <w:b/>
          <w:bCs/>
          <w:sz w:val="44"/>
          <w:szCs w:val="44"/>
        </w:rPr>
      </w:pPr>
      <w:r>
        <w:rPr>
          <w:rFonts w:ascii="仿宋" w:hAnsi="仿宋" w:eastAsia="仿宋" w:cs="仿宋"/>
          <w:b/>
          <w:bCs/>
          <w:sz w:val="44"/>
          <w:szCs w:val="44"/>
        </w:rPr>
        <w:t>行政处罚决定书</w:t>
      </w:r>
    </w:p>
    <w:p>
      <w:pPr>
        <w:spacing w:before="106" w:line="183" w:lineRule="auto"/>
        <w:ind w:firstLine="2579" w:firstLineChars="806"/>
        <w:rPr>
          <w:rFonts w:hint="eastAsia" w:ascii="仿宋" w:hAnsi="仿宋" w:eastAsia="仿宋" w:cs="仿宋"/>
          <w:sz w:val="32"/>
          <w:szCs w:val="32"/>
          <w:lang w:eastAsia="zh-CN"/>
        </w:rPr>
      </w:pPr>
    </w:p>
    <w:p>
      <w:pPr>
        <w:spacing w:before="106" w:line="183" w:lineRule="auto"/>
        <w:ind w:firstLine="2579" w:firstLineChars="806"/>
        <w:rPr>
          <w:rFonts w:ascii="仿宋" w:hAnsi="仿宋" w:eastAsia="仿宋" w:cs="仿宋"/>
          <w:sz w:val="32"/>
          <w:szCs w:val="32"/>
        </w:rPr>
      </w:pPr>
      <w:r>
        <w:rPr>
          <w:rFonts w:hint="eastAsia" w:ascii="仿宋" w:hAnsi="仿宋" w:eastAsia="仿宋" w:cs="仿宋"/>
          <w:sz w:val="32"/>
          <w:szCs w:val="32"/>
          <w:lang w:eastAsia="zh-CN"/>
        </w:rPr>
        <w:t>威</w:t>
      </w:r>
      <w:r>
        <w:rPr>
          <w:rFonts w:ascii="仿宋" w:hAnsi="仿宋" w:eastAsia="仿宋" w:cs="仿宋"/>
          <w:sz w:val="32"/>
          <w:szCs w:val="32"/>
        </w:rPr>
        <w:t>市监</w:t>
      </w:r>
      <w:r>
        <w:rPr>
          <w:rFonts w:hint="eastAsia" w:ascii="仿宋" w:hAnsi="仿宋" w:eastAsia="仿宋" w:cs="仿宋"/>
          <w:sz w:val="32"/>
          <w:szCs w:val="32"/>
          <w:lang w:eastAsia="zh-CN"/>
        </w:rPr>
        <w:t>处</w:t>
      </w:r>
      <w:r>
        <w:rPr>
          <w:rFonts w:ascii="仿宋" w:hAnsi="仿宋" w:eastAsia="仿宋" w:cs="仿宋"/>
          <w:sz w:val="32"/>
          <w:szCs w:val="32"/>
        </w:rPr>
        <w:t>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2023】144</w:t>
      </w:r>
      <w:r>
        <w:rPr>
          <w:rFonts w:ascii="仿宋" w:hAnsi="仿宋" w:eastAsia="仿宋" w:cs="仿宋"/>
          <w:sz w:val="32"/>
          <w:szCs w:val="32"/>
        </w:rPr>
        <w:t>号</w:t>
      </w:r>
    </w:p>
    <w:p>
      <w:pPr>
        <w:spacing w:before="106" w:line="183" w:lineRule="auto"/>
        <w:jc w:val="left"/>
        <w:rPr>
          <w:rFonts w:ascii="仿宋" w:hAnsi="仿宋" w:eastAsia="仿宋" w:cs="仿宋"/>
          <w:sz w:val="32"/>
          <w:szCs w:val="32"/>
        </w:rPr>
      </w:pPr>
      <w:r>
        <w:rPr>
          <w:rFonts w:ascii="仿宋" w:hAnsi="仿宋" w:eastAsia="仿宋" w:cs="仿宋"/>
          <w:sz w:val="32"/>
          <w:szCs w:val="32"/>
        </w:rPr>
        <w:t>当事人：</w:t>
      </w:r>
      <w:r>
        <w:rPr>
          <w:rFonts w:hint="eastAsia" w:ascii="仿宋" w:hAnsi="仿宋" w:eastAsia="仿宋" w:cs="仿宋"/>
          <w:sz w:val="32"/>
          <w:szCs w:val="32"/>
          <w:lang w:eastAsia="zh-CN"/>
        </w:rPr>
        <w:t>威县莉明百货门市（贾瑞莉）</w:t>
      </w:r>
      <w:r>
        <w:rPr>
          <w:rFonts w:ascii="仿宋" w:hAnsi="仿宋" w:eastAsia="仿宋" w:cs="仿宋"/>
          <w:sz w:val="32"/>
          <w:szCs w:val="32"/>
        </w:rPr>
        <w:t xml:space="preserve">                                           主体资格证照名称：</w:t>
      </w:r>
      <w:r>
        <w:rPr>
          <w:rFonts w:hint="eastAsia" w:ascii="仿宋" w:hAnsi="仿宋" w:eastAsia="仿宋" w:cs="仿宋"/>
          <w:sz w:val="32"/>
          <w:szCs w:val="32"/>
          <w:lang w:val="en-US" w:eastAsia="zh-CN"/>
        </w:rPr>
        <w:t>营业执照</w:t>
      </w:r>
      <w:r>
        <w:rPr>
          <w:rFonts w:ascii="仿宋" w:hAnsi="仿宋" w:eastAsia="仿宋" w:cs="仿宋"/>
          <w:sz w:val="32"/>
          <w:szCs w:val="32"/>
        </w:rPr>
        <w:t xml:space="preserve">                                  统一社会信用代码：</w:t>
      </w:r>
      <w:r>
        <w:rPr>
          <w:rFonts w:hint="eastAsia" w:ascii="仿宋" w:hAnsi="仿宋" w:eastAsia="仿宋" w:cs="仿宋"/>
          <w:sz w:val="32"/>
          <w:szCs w:val="32"/>
          <w:lang w:val="en-US" w:eastAsia="zh-CN"/>
        </w:rPr>
        <w:t xml:space="preserve">92130533MA0C****** </w:t>
      </w:r>
      <w:r>
        <w:rPr>
          <w:rFonts w:ascii="仿宋" w:hAnsi="仿宋" w:eastAsia="仿宋" w:cs="仿宋"/>
          <w:sz w:val="32"/>
          <w:szCs w:val="32"/>
        </w:rPr>
        <w:t xml:space="preserve">                              住所（住址）：</w:t>
      </w:r>
      <w:r>
        <w:rPr>
          <w:rFonts w:hint="eastAsia" w:ascii="仿宋" w:hAnsi="仿宋" w:eastAsia="仿宋" w:cs="仿宋"/>
          <w:sz w:val="32"/>
          <w:szCs w:val="32"/>
          <w:lang w:val="en-US" w:eastAsia="zh-CN"/>
        </w:rPr>
        <w:t>第什营镇北草厂村</w:t>
      </w:r>
      <w:r>
        <w:rPr>
          <w:rFonts w:ascii="仿宋" w:hAnsi="仿宋" w:eastAsia="仿宋" w:cs="仿宋"/>
          <w:sz w:val="32"/>
          <w:szCs w:val="32"/>
        </w:rPr>
        <w:t xml:space="preserve">                                   法定代表人（负责人、经营者）</w:t>
      </w:r>
      <w:r>
        <w:rPr>
          <w:rFonts w:hint="eastAsia" w:ascii="仿宋" w:hAnsi="仿宋" w:eastAsia="仿宋" w:cs="仿宋"/>
          <w:sz w:val="32"/>
          <w:szCs w:val="32"/>
          <w:lang w:eastAsia="zh-CN"/>
        </w:rPr>
        <w:t>：贾瑞莉</w:t>
      </w:r>
      <w:r>
        <w:rPr>
          <w:rFonts w:ascii="仿宋" w:hAnsi="仿宋" w:eastAsia="仿宋" w:cs="仿宋"/>
          <w:sz w:val="32"/>
          <w:szCs w:val="32"/>
        </w:rPr>
        <w:t xml:space="preserve">             </w:t>
      </w:r>
    </w:p>
    <w:p>
      <w:pPr>
        <w:spacing w:before="106" w:line="183" w:lineRule="auto"/>
        <w:rPr>
          <w:rFonts w:ascii="仿宋" w:hAnsi="仿宋" w:eastAsia="仿宋" w:cs="仿宋"/>
          <w:sz w:val="32"/>
          <w:szCs w:val="32"/>
        </w:rPr>
      </w:pPr>
      <w:r>
        <w:rPr>
          <w:rFonts w:ascii="仿宋" w:hAnsi="仿宋" w:eastAsia="仿宋" w:cs="仿宋"/>
          <w:sz w:val="32"/>
          <w:szCs w:val="32"/>
        </w:rPr>
        <w:t>身份证件号码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13223519******</w:t>
      </w:r>
      <w:bookmarkStart w:id="0" w:name="_GoBack"/>
      <w:bookmarkEnd w:id="0"/>
      <w:r>
        <w:rPr>
          <w:rFonts w:hint="eastAsia" w:ascii="仿宋" w:hAnsi="仿宋" w:eastAsia="仿宋" w:cs="仿宋"/>
          <w:sz w:val="32"/>
          <w:szCs w:val="32"/>
          <w:lang w:val="en-US" w:eastAsia="zh-CN"/>
        </w:rPr>
        <w:t xml:space="preserve">1681 </w:t>
      </w:r>
      <w:r>
        <w:rPr>
          <w:rFonts w:ascii="仿宋" w:hAnsi="仿宋" w:eastAsia="仿宋" w:cs="仿宋"/>
          <w:sz w:val="32"/>
          <w:szCs w:val="32"/>
        </w:rPr>
        <w:t xml:space="preserve">                                 </w:t>
      </w:r>
    </w:p>
    <w:p>
      <w:pPr>
        <w:spacing w:before="106" w:line="18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3月21日上午，我所接到县市场监督管理局抽检科交办的不合格检验报告（No:AMJC/20230225661），被抽检单位为威县莉明百货门市（贾瑞莉），不合格农产品为香蕉，抽检检验报告中检验不合格项目为噻虫嗪项目不符合GB20769-2008《食品安全国家标准 食品中农药最大残留限量》要求，检验结论为不合格。2023年3月16日上午，我局执法人员李宗博、宋计满将不合格检验报告（No:AMJC/20230225661）送到威县莉明百货门市（贾瑞莉），负责人贾瑞莉签收，并对现场进行了检查，发现2月24日购进的香蕉未进行销售，并就地销毁。提供了购进的单据《批发出货单》，并说明香蕉是从威县四报春菜市场批发门市购进的。</w:t>
      </w:r>
    </w:p>
    <w:p>
      <w:pPr>
        <w:spacing w:before="106" w:line="18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经调查：威县莉明百货门市于2023年2月24日在威县四报春菜市场购进了一件香蕉，每件购进价格为45元，共花费45元，2023年2月24日抽检抽取3.25公斤，至立案查处时已销售完毕。销售额56元。</w:t>
      </w:r>
    </w:p>
    <w:p>
      <w:pPr>
        <w:spacing w:before="106" w:line="183" w:lineRule="auto"/>
        <w:ind w:firstLine="640" w:firstLineChars="200"/>
        <w:rPr>
          <w:rFonts w:ascii="仿宋" w:hAnsi="仿宋" w:eastAsia="仿宋" w:cs="仿宋"/>
          <w:sz w:val="32"/>
          <w:szCs w:val="32"/>
        </w:rPr>
      </w:pPr>
      <w:r>
        <w:rPr>
          <w:rFonts w:ascii="仿宋" w:hAnsi="仿宋" w:eastAsia="仿宋" w:cs="仿宋"/>
          <w:sz w:val="32"/>
          <w:szCs w:val="32"/>
        </w:rPr>
        <w:t>上述事实，主要有以下证据证明：</w:t>
      </w:r>
    </w:p>
    <w:p>
      <w:pPr>
        <w:spacing w:before="106" w:line="18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1.威县莉明百货门市（贾瑞莉）营业执照的复印件：证明当事人的主体身份。</w:t>
      </w:r>
    </w:p>
    <w:p>
      <w:pPr>
        <w:spacing w:before="106" w:line="183" w:lineRule="auto"/>
        <w:ind w:firstLine="668" w:firstLineChars="20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2.现场检查记录：证明当事人购进的不合格香蕉未进行销售，涉及数量少，并提供了购进香蕉的单据。</w:t>
      </w:r>
    </w:p>
    <w:p>
      <w:pPr>
        <w:spacing w:before="106" w:line="183" w:lineRule="auto"/>
        <w:ind w:firstLine="668" w:firstLineChars="20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3.询问笔录：证明当事人取得了营业执照，</w:t>
      </w:r>
      <w:r>
        <w:rPr>
          <w:rFonts w:hint="eastAsia" w:ascii="仿宋" w:hAnsi="仿宋" w:eastAsia="仿宋" w:cs="仿宋"/>
          <w:sz w:val="32"/>
          <w:szCs w:val="32"/>
        </w:rPr>
        <w:t>经营了的不合格</w:t>
      </w:r>
      <w:r>
        <w:rPr>
          <w:rFonts w:hint="eastAsia" w:ascii="仿宋" w:hAnsi="仿宋" w:eastAsia="仿宋" w:cs="仿宋"/>
          <w:sz w:val="32"/>
          <w:szCs w:val="32"/>
          <w:lang w:eastAsia="zh-CN"/>
        </w:rPr>
        <w:t>香蕉</w:t>
      </w:r>
      <w:r>
        <w:rPr>
          <w:rFonts w:hint="eastAsia" w:ascii="仿宋" w:hAnsi="仿宋" w:eastAsia="仿宋" w:cs="仿宋"/>
          <w:sz w:val="32"/>
          <w:szCs w:val="32"/>
          <w:lang w:val="en-US" w:eastAsia="zh-CN"/>
        </w:rPr>
        <w:t>。</w:t>
      </w:r>
    </w:p>
    <w:p>
      <w:pPr>
        <w:spacing w:before="106" w:line="183" w:lineRule="auto"/>
        <w:ind w:firstLine="668" w:firstLineChars="209"/>
        <w:rPr>
          <w:rFonts w:ascii="仿宋" w:hAnsi="仿宋" w:eastAsia="仿宋" w:cs="仿宋"/>
          <w:sz w:val="32"/>
          <w:szCs w:val="32"/>
        </w:rPr>
      </w:pPr>
      <w:r>
        <w:rPr>
          <w:rFonts w:hint="eastAsia" w:ascii="仿宋" w:hAnsi="仿宋" w:eastAsia="仿宋" w:cs="仿宋"/>
          <w:sz w:val="32"/>
          <w:szCs w:val="32"/>
          <w:lang w:val="en-US" w:eastAsia="zh-CN"/>
        </w:rPr>
        <w:t>4.检验鉴定意见书，编号为：NO:AMJC/20230225661。</w:t>
      </w:r>
    </w:p>
    <w:p>
      <w:pPr>
        <w:spacing w:before="106" w:line="183" w:lineRule="auto"/>
        <w:ind w:firstLine="668" w:firstLineChars="209"/>
        <w:rPr>
          <w:rFonts w:ascii="仿宋" w:hAnsi="仿宋" w:eastAsia="仿宋" w:cs="仿宋"/>
          <w:sz w:val="32"/>
          <w:szCs w:val="32"/>
        </w:rPr>
      </w:pPr>
      <w:r>
        <w:rPr>
          <w:rFonts w:hint="eastAsia" w:ascii="仿宋" w:hAnsi="仿宋" w:eastAsia="仿宋" w:cs="仿宋"/>
          <w:sz w:val="32"/>
          <w:szCs w:val="32"/>
          <w:lang w:eastAsia="zh-CN"/>
        </w:rPr>
        <w:t>本案调查结束后，经局领导</w:t>
      </w:r>
      <w:r>
        <w:rPr>
          <w:rFonts w:hint="eastAsia" w:ascii="仿宋" w:hAnsi="仿宋" w:eastAsia="仿宋" w:cs="仿宋"/>
          <w:sz w:val="32"/>
          <w:szCs w:val="32"/>
          <w:lang w:val="en-US" w:eastAsia="zh-CN"/>
        </w:rPr>
        <w:t>批准</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2023年4月26日向当事人直接送达了《行政处罚告知书》（威市监罚告</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144号），当事人在五个工作日对以上处罚未</w:t>
      </w:r>
      <w:r>
        <w:rPr>
          <w:rFonts w:hint="eastAsia" w:ascii="仿宋" w:hAnsi="仿宋" w:eastAsia="仿宋" w:cs="仿宋"/>
          <w:sz w:val="32"/>
          <w:szCs w:val="32"/>
        </w:rPr>
        <w:t>提出陈述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eastAsia="zh-CN"/>
        </w:rPr>
        <w:t>，未要求举行</w:t>
      </w:r>
      <w:r>
        <w:rPr>
          <w:rFonts w:hint="eastAsia" w:ascii="仿宋" w:hAnsi="仿宋" w:eastAsia="仿宋" w:cs="仿宋"/>
          <w:sz w:val="32"/>
          <w:szCs w:val="32"/>
          <w:lang w:val="en-US" w:eastAsia="zh-CN"/>
        </w:rPr>
        <w:t>听证</w:t>
      </w:r>
      <w:r>
        <w:rPr>
          <w:rFonts w:hint="eastAsia" w:ascii="仿宋" w:hAnsi="仿宋" w:eastAsia="仿宋" w:cs="仿宋"/>
          <w:sz w:val="32"/>
          <w:szCs w:val="32"/>
          <w:lang w:eastAsia="zh-CN"/>
        </w:rPr>
        <w:t>。</w:t>
      </w:r>
    </w:p>
    <w:p>
      <w:pPr>
        <w:spacing w:before="106" w:line="183" w:lineRule="auto"/>
        <w:ind w:firstLine="668" w:firstLineChars="209"/>
        <w:rPr>
          <w:rFonts w:hint="eastAsia" w:ascii="仿宋" w:hAnsi="仿宋" w:eastAsia="仿宋" w:cs="仿宋"/>
          <w:sz w:val="32"/>
          <w:szCs w:val="32"/>
        </w:rPr>
      </w:pPr>
      <w:r>
        <w:rPr>
          <w:rFonts w:hint="eastAsia" w:ascii="仿宋" w:hAnsi="仿宋" w:eastAsia="仿宋" w:cs="仿宋"/>
          <w:sz w:val="32"/>
          <w:szCs w:val="32"/>
          <w:lang w:val="en-US" w:eastAsia="zh-CN"/>
        </w:rPr>
        <w:t>本局认为，威县莉明百货门市（贾瑞莉）涉嫌销售不合格香蕉案，违反了《中华人民共和国食品安全法》第三十四条条第二款之规定“ 食品安全标准应当包括下列内容：（一）食品、食品添加剂、食品相关产品中的致病性微生物，农药残留、兽药残留、生物毒素、重金属等污染物质以及其他危害人体健康物质的限量规定”，根据《中华人民共和国食品安全法》第一百二十四条第一款之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w:t>
      </w:r>
    </w:p>
    <w:p>
      <w:pPr>
        <w:spacing w:before="106" w:line="183" w:lineRule="auto"/>
        <w:ind w:firstLine="668" w:firstLineChars="209"/>
        <w:rPr>
          <w:rFonts w:hint="eastAsia" w:ascii="仿宋" w:hAnsi="仿宋" w:eastAsia="仿宋" w:cs="仿宋"/>
          <w:sz w:val="32"/>
          <w:szCs w:val="32"/>
          <w:lang w:eastAsia="zh-CN"/>
        </w:rPr>
      </w:pPr>
      <w:r>
        <w:rPr>
          <w:rFonts w:hint="eastAsia" w:ascii="仿宋" w:hAnsi="仿宋" w:eastAsia="仿宋" w:cs="仿宋"/>
          <w:sz w:val="32"/>
          <w:szCs w:val="32"/>
        </w:rPr>
        <w:t>自由裁量理由等其他需要说明的事项：</w:t>
      </w:r>
      <w:r>
        <w:rPr>
          <w:rFonts w:hint="eastAsia" w:ascii="仿宋" w:hAnsi="仿宋" w:eastAsia="仿宋" w:cs="仿宋"/>
          <w:sz w:val="32"/>
          <w:szCs w:val="32"/>
          <w:lang w:eastAsia="zh-CN"/>
        </w:rPr>
        <w:t>经调查后，</w:t>
      </w:r>
      <w:r>
        <w:rPr>
          <w:rFonts w:hint="eastAsia" w:ascii="仿宋" w:hAnsi="仿宋" w:eastAsia="仿宋" w:cs="仿宋"/>
          <w:sz w:val="32"/>
          <w:szCs w:val="32"/>
          <w:lang w:val="en-US" w:eastAsia="zh-CN"/>
        </w:rPr>
        <w:t>发现当事人履行了进货查验、索证索票等义务，有充分证据证明其不知道所采购的食品不符合食品安全标准，并能如实说明其进货来源，且</w:t>
      </w:r>
      <w:r>
        <w:rPr>
          <w:rFonts w:hint="eastAsia" w:ascii="仿宋" w:hAnsi="仿宋" w:eastAsia="仿宋" w:cs="仿宋"/>
          <w:sz w:val="32"/>
          <w:szCs w:val="32"/>
          <w:lang w:eastAsia="zh-CN"/>
        </w:rPr>
        <w:t>当事人态度端正，并积极配合执法工作，参照</w:t>
      </w:r>
      <w:r>
        <w:rPr>
          <w:rFonts w:hint="eastAsia" w:ascii="仿宋" w:hAnsi="仿宋" w:eastAsia="仿宋" w:cs="仿宋"/>
          <w:sz w:val="32"/>
          <w:szCs w:val="32"/>
        </w:rPr>
        <w:t>《</w:t>
      </w:r>
      <w:r>
        <w:rPr>
          <w:rFonts w:hint="eastAsia" w:ascii="仿宋" w:hAnsi="仿宋" w:eastAsia="仿宋" w:cs="仿宋"/>
          <w:sz w:val="32"/>
          <w:szCs w:val="32"/>
          <w:lang w:val="en-US" w:eastAsia="zh-CN"/>
        </w:rPr>
        <w:t>中华人民共和国行政处罚法</w:t>
      </w:r>
      <w:r>
        <w:rPr>
          <w:rFonts w:hint="eastAsia" w:ascii="仿宋" w:hAnsi="仿宋" w:eastAsia="仿宋" w:cs="仿宋"/>
          <w:sz w:val="32"/>
          <w:szCs w:val="32"/>
        </w:rPr>
        <w:t>》</w:t>
      </w:r>
      <w:r>
        <w:rPr>
          <w:rFonts w:hint="eastAsia" w:ascii="仿宋" w:hAnsi="仿宋" w:eastAsia="仿宋" w:cs="仿宋"/>
          <w:sz w:val="32"/>
          <w:szCs w:val="32"/>
          <w:lang w:eastAsia="zh-CN"/>
        </w:rPr>
        <w:t>第三十二条第一项</w:t>
      </w:r>
      <w:r>
        <w:rPr>
          <w:rFonts w:hint="eastAsia" w:ascii="仿宋" w:hAnsi="仿宋" w:eastAsia="仿宋" w:cs="仿宋"/>
          <w:sz w:val="32"/>
          <w:szCs w:val="32"/>
          <w:lang w:val="en-US"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河北省市场监督管理行政处罚裁量</w:t>
      </w:r>
      <w:r>
        <w:rPr>
          <w:rFonts w:hint="eastAsia" w:ascii="仿宋" w:hAnsi="仿宋" w:eastAsia="仿宋" w:cs="仿宋"/>
          <w:sz w:val="32"/>
          <w:szCs w:val="32"/>
          <w:lang w:val="en-US" w:eastAsia="zh-CN"/>
        </w:rPr>
        <w:t>权适用规则</w:t>
      </w:r>
      <w:r>
        <w:rPr>
          <w:rFonts w:hint="eastAsia" w:ascii="仿宋" w:hAnsi="仿宋" w:eastAsia="仿宋" w:cs="仿宋"/>
          <w:sz w:val="32"/>
          <w:szCs w:val="32"/>
        </w:rPr>
        <w:t>》</w:t>
      </w:r>
      <w:r>
        <w:rPr>
          <w:rFonts w:hint="eastAsia" w:ascii="仿宋" w:hAnsi="仿宋" w:eastAsia="仿宋" w:cs="仿宋"/>
          <w:sz w:val="32"/>
          <w:szCs w:val="32"/>
          <w:lang w:val="en-US" w:eastAsia="zh-CN"/>
        </w:rPr>
        <w:t>第十六条第（三）、（五）项之</w:t>
      </w:r>
      <w:r>
        <w:rPr>
          <w:rFonts w:hint="eastAsia" w:ascii="仿宋" w:hAnsi="仿宋" w:eastAsia="仿宋" w:cs="仿宋"/>
          <w:sz w:val="32"/>
          <w:szCs w:val="32"/>
        </w:rPr>
        <w:t>规定，</w:t>
      </w:r>
      <w:r>
        <w:rPr>
          <w:rFonts w:hint="eastAsia" w:ascii="仿宋" w:hAnsi="仿宋" w:eastAsia="仿宋" w:cs="仿宋"/>
          <w:sz w:val="32"/>
          <w:szCs w:val="32"/>
          <w:lang w:eastAsia="zh-CN"/>
        </w:rPr>
        <w:t>予以</w:t>
      </w:r>
      <w:r>
        <w:rPr>
          <w:rFonts w:hint="eastAsia" w:ascii="仿宋" w:hAnsi="仿宋" w:eastAsia="仿宋" w:cs="仿宋"/>
          <w:sz w:val="32"/>
          <w:szCs w:val="32"/>
          <w:lang w:val="en-US" w:eastAsia="zh-CN"/>
        </w:rPr>
        <w:t>依法减轻</w:t>
      </w:r>
      <w:r>
        <w:rPr>
          <w:rFonts w:hint="eastAsia" w:ascii="仿宋" w:hAnsi="仿宋" w:eastAsia="仿宋" w:cs="仿宋"/>
          <w:sz w:val="32"/>
          <w:szCs w:val="32"/>
          <w:lang w:eastAsia="zh-CN"/>
        </w:rPr>
        <w:t>处罚</w:t>
      </w:r>
      <w:r>
        <w:rPr>
          <w:rFonts w:hint="eastAsia" w:ascii="仿宋" w:hAnsi="仿宋" w:eastAsia="仿宋" w:cs="仿宋"/>
          <w:sz w:val="32"/>
          <w:szCs w:val="32"/>
        </w:rPr>
        <w:t>。</w:t>
      </w:r>
    </w:p>
    <w:p>
      <w:pPr>
        <w:spacing w:before="106" w:line="183" w:lineRule="auto"/>
        <w:ind w:firstLine="668" w:firstLineChars="209"/>
        <w:rPr>
          <w:rFonts w:hint="eastAsia" w:ascii="仿宋" w:hAnsi="仿宋" w:eastAsia="仿宋" w:cs="仿宋"/>
          <w:sz w:val="32"/>
          <w:szCs w:val="32"/>
          <w:lang w:val="en-US" w:eastAsia="zh-CN"/>
        </w:rPr>
      </w:pPr>
      <w:r>
        <w:rPr>
          <w:rFonts w:ascii="仿宋" w:hAnsi="仿宋" w:eastAsia="仿宋" w:cs="仿宋"/>
          <w:sz w:val="32"/>
          <w:szCs w:val="32"/>
        </w:rPr>
        <w:t>综上，当事人上述行为</w:t>
      </w:r>
      <w:r>
        <w:rPr>
          <w:rFonts w:hint="eastAsia" w:ascii="仿宋" w:hAnsi="仿宋" w:eastAsia="仿宋" w:cs="仿宋"/>
          <w:sz w:val="32"/>
          <w:szCs w:val="32"/>
          <w:lang w:val="en-US" w:eastAsia="zh-CN"/>
        </w:rPr>
        <w:t>违反了《中华人民共和国食品安全法》第二十六条第一款之规定，根据《中华人民共和国食品安全法》第一百二十四条第一款之规定，经研究决定：</w:t>
      </w:r>
    </w:p>
    <w:p>
      <w:pPr>
        <w:spacing w:before="106" w:line="183" w:lineRule="auto"/>
        <w:ind w:firstLine="668" w:firstLineChars="20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对当事人处以罚款2000元。</w:t>
      </w:r>
    </w:p>
    <w:p>
      <w:pPr>
        <w:spacing w:before="106" w:line="183" w:lineRule="auto"/>
        <w:ind w:firstLine="668" w:firstLineChars="20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威县莉明百货门市（贾瑞莉）自接到本处罚决定书之日起十五日内，把罚款交到威县收费局账户，逾期不缴纳，每日按罚没款数额的百分之三加处罚没款。                               </w:t>
      </w:r>
    </w:p>
    <w:p>
      <w:pPr>
        <w:spacing w:before="106" w:line="183" w:lineRule="auto"/>
        <w:ind w:firstLine="668" w:firstLineChars="20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如不服本处罚决定，可在接到处罚决定书之日起</w:t>
      </w:r>
      <w:r>
        <w:rPr>
          <w:rFonts w:ascii="仿宋" w:hAnsi="仿宋" w:eastAsia="仿宋" w:cs="仿宋"/>
          <w:sz w:val="32"/>
          <w:szCs w:val="32"/>
        </w:rPr>
        <w:t>六十日内向</w:t>
      </w:r>
      <w:r>
        <w:rPr>
          <w:rFonts w:hint="eastAsia" w:ascii="仿宋" w:hAnsi="仿宋" w:eastAsia="仿宋" w:cs="仿宋"/>
          <w:sz w:val="32"/>
          <w:szCs w:val="32"/>
          <w:lang w:eastAsia="zh-CN"/>
        </w:rPr>
        <w:t>威县人民政府</w:t>
      </w:r>
      <w:r>
        <w:rPr>
          <w:rFonts w:ascii="仿宋" w:hAnsi="仿宋" w:eastAsia="仿宋" w:cs="仿宋"/>
          <w:sz w:val="32"/>
          <w:szCs w:val="32"/>
        </w:rPr>
        <w:t>申请行政复议；也可以在六个月内依法向</w:t>
      </w:r>
      <w:r>
        <w:rPr>
          <w:rFonts w:hint="eastAsia" w:ascii="仿宋" w:hAnsi="仿宋" w:eastAsia="仿宋" w:cs="仿宋"/>
          <w:sz w:val="32"/>
          <w:szCs w:val="32"/>
          <w:lang w:eastAsia="zh-CN"/>
        </w:rPr>
        <w:t>广宗县</w:t>
      </w:r>
      <w:r>
        <w:rPr>
          <w:rFonts w:ascii="仿宋" w:hAnsi="仿宋" w:eastAsia="仿宋" w:cs="仿宋"/>
          <w:sz w:val="32"/>
          <w:szCs w:val="32"/>
        </w:rPr>
        <w:t>人民法院提起行政诉讼</w:t>
      </w:r>
      <w:r>
        <w:rPr>
          <w:rFonts w:hint="eastAsia" w:ascii="仿宋" w:hAnsi="仿宋" w:eastAsia="仿宋" w:cs="仿宋"/>
          <w:sz w:val="32"/>
          <w:szCs w:val="32"/>
          <w:lang w:val="en-US" w:eastAsia="zh-CN"/>
        </w:rPr>
        <w:t>。</w:t>
      </w:r>
    </w:p>
    <w:p>
      <w:pPr>
        <w:spacing w:before="106" w:line="183" w:lineRule="auto"/>
        <w:rPr>
          <w:rFonts w:ascii="仿宋" w:hAnsi="仿宋" w:eastAsia="仿宋" w:cs="仿宋"/>
          <w:sz w:val="32"/>
          <w:szCs w:val="32"/>
        </w:rPr>
      </w:pPr>
    </w:p>
    <w:p>
      <w:pPr>
        <w:spacing w:before="106" w:line="183" w:lineRule="auto"/>
        <w:rPr>
          <w:rFonts w:hint="eastAsia" w:ascii="仿宋" w:hAnsi="仿宋" w:eastAsia="仿宋" w:cs="仿宋"/>
          <w:sz w:val="32"/>
          <w:szCs w:val="32"/>
          <w:lang w:eastAsia="zh-CN"/>
        </w:rPr>
      </w:pPr>
    </w:p>
    <w:p>
      <w:pPr>
        <w:spacing w:before="106" w:line="183" w:lineRule="auto"/>
        <w:ind w:firstLine="231"/>
        <w:rPr>
          <w:rFonts w:hint="eastAsia" w:ascii="仿宋" w:hAnsi="仿宋" w:eastAsia="仿宋" w:cs="仿宋"/>
          <w:sz w:val="32"/>
          <w:szCs w:val="32"/>
          <w:lang w:eastAsia="zh-CN"/>
        </w:rPr>
      </w:pPr>
    </w:p>
    <w:p>
      <w:pPr>
        <w:spacing w:before="106" w:line="183" w:lineRule="auto"/>
        <w:ind w:firstLine="5120" w:firstLineChars="1600"/>
        <w:rPr>
          <w:rFonts w:ascii="仿宋" w:hAnsi="仿宋" w:eastAsia="仿宋" w:cs="仿宋"/>
          <w:sz w:val="32"/>
          <w:szCs w:val="32"/>
        </w:rPr>
      </w:pPr>
      <w:r>
        <w:rPr>
          <w:rFonts w:hint="eastAsia" w:ascii="仿宋" w:hAnsi="仿宋" w:eastAsia="仿宋" w:cs="仿宋"/>
          <w:sz w:val="32"/>
          <w:szCs w:val="32"/>
          <w:lang w:eastAsia="zh-CN"/>
        </w:rPr>
        <w:t>威县</w:t>
      </w:r>
      <w:r>
        <w:rPr>
          <w:rFonts w:ascii="仿宋" w:hAnsi="仿宋" w:eastAsia="仿宋" w:cs="仿宋"/>
          <w:sz w:val="32"/>
          <w:szCs w:val="32"/>
        </w:rPr>
        <w:t xml:space="preserve">市场监督管理局 </w:t>
      </w:r>
    </w:p>
    <w:p>
      <w:pPr>
        <w:spacing w:before="106" w:line="183" w:lineRule="auto"/>
        <w:ind w:firstLine="231"/>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ascii="仿宋" w:hAnsi="仿宋" w:eastAsia="仿宋" w:cs="仿宋"/>
          <w:sz w:val="32"/>
          <w:szCs w:val="32"/>
        </w:rPr>
        <w:t>（ 印 章 ）</w:t>
      </w:r>
    </w:p>
    <w:p>
      <w:pPr>
        <w:spacing w:before="106" w:line="183" w:lineRule="auto"/>
        <w:ind w:firstLine="231"/>
        <w:rPr>
          <w:rFonts w:ascii="仿宋" w:hAnsi="仿宋" w:eastAsia="仿宋" w:cs="仿宋"/>
          <w:sz w:val="32"/>
          <w:szCs w:val="32"/>
        </w:rPr>
      </w:pPr>
      <w:r>
        <w:rPr>
          <w:rFonts w:hint="eastAsia" w:ascii="仿宋" w:hAnsi="仿宋" w:eastAsia="仿宋" w:cs="仿宋"/>
          <w:sz w:val="32"/>
          <w:szCs w:val="32"/>
          <w:lang w:val="en-US" w:eastAsia="zh-CN"/>
        </w:rPr>
        <w:t xml:space="preserve">                                   2023</w:t>
      </w:r>
      <w:r>
        <w:rPr>
          <w:rFonts w:ascii="仿宋" w:hAnsi="仿宋" w:eastAsia="仿宋" w:cs="仿宋"/>
          <w:sz w:val="32"/>
          <w:szCs w:val="32"/>
        </w:rPr>
        <w:t>年</w:t>
      </w:r>
      <w:r>
        <w:rPr>
          <w:rFonts w:hint="eastAsia" w:ascii="仿宋" w:hAnsi="仿宋" w:eastAsia="仿宋" w:cs="仿宋"/>
          <w:sz w:val="32"/>
          <w:szCs w:val="32"/>
          <w:lang w:val="en-US" w:eastAsia="zh-CN"/>
        </w:rPr>
        <w:t>6</w:t>
      </w:r>
      <w:r>
        <w:rPr>
          <w:rFonts w:ascii="仿宋" w:hAnsi="仿宋" w:eastAsia="仿宋" w:cs="仿宋"/>
          <w:sz w:val="32"/>
          <w:szCs w:val="32"/>
        </w:rPr>
        <w:t>月</w:t>
      </w:r>
      <w:r>
        <w:rPr>
          <w:rFonts w:hint="eastAsia" w:ascii="仿宋" w:hAnsi="仿宋" w:eastAsia="仿宋" w:cs="仿宋"/>
          <w:sz w:val="32"/>
          <w:szCs w:val="32"/>
          <w:lang w:val="en-US" w:eastAsia="zh-CN"/>
        </w:rPr>
        <w:t>5</w:t>
      </w:r>
      <w:r>
        <w:rPr>
          <w:rFonts w:ascii="仿宋" w:hAnsi="仿宋" w:eastAsia="仿宋" w:cs="仿宋"/>
          <w:sz w:val="32"/>
          <w:szCs w:val="32"/>
        </w:rPr>
        <w:t>日</w:t>
      </w:r>
    </w:p>
    <w:p>
      <w:pPr>
        <w:spacing w:before="106" w:line="183" w:lineRule="auto"/>
        <w:ind w:firstLine="231"/>
        <w:rPr>
          <w:rFonts w:ascii="仿宋" w:hAnsi="仿宋" w:eastAsia="仿宋" w:cs="仿宋"/>
          <w:sz w:val="32"/>
          <w:szCs w:val="32"/>
        </w:rPr>
      </w:pPr>
    </w:p>
    <w:p>
      <w:pPr>
        <w:spacing w:before="106" w:line="183" w:lineRule="auto"/>
        <w:ind w:firstLine="231"/>
        <w:rPr>
          <w:rFonts w:ascii="仿宋" w:hAnsi="仿宋" w:eastAsia="仿宋" w:cs="仿宋"/>
          <w:sz w:val="32"/>
          <w:szCs w:val="32"/>
        </w:rPr>
      </w:pPr>
      <w:r>
        <w:rPr>
          <w:rFonts w:ascii="仿宋" w:hAnsi="仿宋" w:eastAsia="仿宋" w:cs="仿宋"/>
          <w:sz w:val="32"/>
          <w:szCs w:val="32"/>
        </w:rPr>
        <w:drawing>
          <wp:inline distT="0" distB="0" distL="114300" distR="114300">
            <wp:extent cx="5550535" cy="1587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
                    <a:stretch>
                      <a:fillRect/>
                    </a:stretch>
                  </pic:blipFill>
                  <pic:spPr>
                    <a:xfrm>
                      <a:off x="0" y="0"/>
                      <a:ext cx="5550535" cy="15875"/>
                    </a:xfrm>
                    <a:prstGeom prst="rect">
                      <a:avLst/>
                    </a:prstGeom>
                    <a:noFill/>
                    <a:ln>
                      <a:noFill/>
                    </a:ln>
                  </pic:spPr>
                </pic:pic>
              </a:graphicData>
            </a:graphic>
          </wp:inline>
        </w:drawing>
      </w:r>
    </w:p>
    <w:p>
      <w:pPr>
        <w:spacing w:before="106" w:line="183" w:lineRule="auto"/>
        <w:ind w:firstLine="231"/>
        <w:rPr>
          <w:rFonts w:ascii="仿宋" w:hAnsi="仿宋" w:eastAsia="仿宋" w:cs="仿宋"/>
          <w:sz w:val="32"/>
          <w:szCs w:val="32"/>
        </w:rPr>
      </w:pPr>
      <w:r>
        <w:rPr>
          <w:rFonts w:ascii="仿宋" w:hAnsi="仿宋" w:eastAsia="仿宋" w:cs="仿宋"/>
          <w:sz w:val="32"/>
          <w:szCs w:val="32"/>
        </w:rPr>
        <w:t xml:space="preserve">本文书一式 </w:t>
      </w:r>
      <w:r>
        <w:rPr>
          <w:rFonts w:hint="eastAsia" w:ascii="仿宋" w:hAnsi="仿宋" w:eastAsia="仿宋" w:cs="仿宋"/>
          <w:sz w:val="32"/>
          <w:szCs w:val="32"/>
          <w:lang w:val="en-US" w:eastAsia="zh-CN"/>
        </w:rPr>
        <w:t>三</w:t>
      </w:r>
      <w:r>
        <w:rPr>
          <w:rFonts w:ascii="仿宋" w:hAnsi="仿宋" w:eastAsia="仿宋" w:cs="仿宋"/>
          <w:sz w:val="32"/>
          <w:szCs w:val="32"/>
        </w:rPr>
        <w:t xml:space="preserve"> 份，</w:t>
      </w:r>
      <w:r>
        <w:rPr>
          <w:rFonts w:hint="eastAsia" w:ascii="仿宋" w:hAnsi="仿宋" w:eastAsia="仿宋" w:cs="仿宋"/>
          <w:sz w:val="32"/>
          <w:szCs w:val="32"/>
          <w:lang w:val="en-US" w:eastAsia="zh-CN"/>
        </w:rPr>
        <w:t>一</w:t>
      </w:r>
      <w:r>
        <w:rPr>
          <w:rFonts w:ascii="仿宋" w:hAnsi="仿宋" w:eastAsia="仿宋" w:cs="仿宋"/>
          <w:sz w:val="32"/>
          <w:szCs w:val="32"/>
        </w:rPr>
        <w:t xml:space="preserve"> 份送达，一份归档， </w:t>
      </w:r>
      <w:r>
        <w:rPr>
          <w:rFonts w:hint="eastAsia" w:ascii="仿宋" w:hAnsi="仿宋" w:eastAsia="仿宋" w:cs="仿宋"/>
          <w:sz w:val="32"/>
          <w:szCs w:val="32"/>
          <w:lang w:val="en-US" w:eastAsia="zh-CN"/>
        </w:rPr>
        <w:t>一份留存</w:t>
      </w:r>
      <w:r>
        <w:rPr>
          <w:rFonts w:ascii="仿宋" w:hAnsi="仿宋" w:eastAsia="仿宋" w:cs="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F192752"/>
    <w:rsid w:val="3FD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1525</Words>
  <Characters>1671</Characters>
  <Lines>0</Lines>
  <Paragraphs>0</Paragraphs>
  <TotalTime>0</TotalTime>
  <ScaleCrop>false</ScaleCrop>
  <LinksUpToDate>false</LinksUpToDate>
  <CharactersWithSpaces>1979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2023-07-03T07:36:00Z</dcterms:created>
  <dc:creator>dell</dc:creator>
  <cp:lastModifiedBy>dell</cp:lastModifiedBy>
  <dcterms:modified xsi:type="dcterms:W3CDTF">2023-07-12T03:37:09Z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D6A793A967C345189F42271915F6C8B1_13</vt:lpwstr>
  </property>
</Properties>
</file>