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adjustRightInd w:val="0"/>
        <w:snapToGrid w:val="0"/>
        <w:spacing w:before="1" w:line="204" w:lineRule="auto"/>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adjustRightInd w:val="0"/>
        <w:snapToGrid w:val="0"/>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keepNext w:val="0"/>
        <w:keepLines w:val="0"/>
        <w:pageBreakBefore w:val="0"/>
        <w:tabs>
          <w:tab w:val="left" w:pos="2725"/>
        </w:tabs>
        <w:overflowPunct/>
        <w:topLinePunct w:val="0"/>
        <w:bidi w:val="0"/>
        <w:adjustRightInd w:val="0"/>
        <w:snapToGrid w:val="0"/>
        <w:spacing w:before="38" w:line="183" w:lineRule="auto"/>
        <w:ind w:firstLine="2448" w:firstLineChars="800"/>
        <w:rPr>
          <w:rFonts w:ascii="Microsoft JhengHei"/>
          <w:sz w:val="21"/>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7"/>
          <w:sz w:val="32"/>
          <w:szCs w:val="32"/>
          <w:u w:val="single"/>
          <w:lang w:val="en-US" w:eastAsia="zh-CN"/>
        </w:rPr>
        <w:t>053号</w:t>
      </w:r>
    </w:p>
    <w:p>
      <w:pPr>
        <w:keepNext w:val="0"/>
        <w:keepLines w:val="0"/>
        <w:pageBreakBefore w:val="0"/>
        <w:overflowPunct/>
        <w:topLinePunct w:val="0"/>
        <w:bidi w:val="0"/>
        <w:adjustRightInd w:val="0"/>
        <w:snapToGrid w:val="0"/>
        <w:spacing w:before="104" w:line="300" w:lineRule="auto"/>
        <w:ind w:left="35" w:right="16" w:firstLine="33"/>
        <w:rPr>
          <w:rFonts w:ascii="仿宋" w:hAnsi="仿宋" w:eastAsia="仿宋" w:cs="仿宋"/>
          <w:spacing w:val="-28"/>
          <w:w w:val="89"/>
          <w:sz w:val="32"/>
          <w:szCs w:val="32"/>
        </w:rPr>
      </w:pPr>
    </w:p>
    <w:p>
      <w:pPr>
        <w:keepNext w:val="0"/>
        <w:keepLines w:val="0"/>
        <w:pageBreakBefore w:val="0"/>
        <w:overflowPunct/>
        <w:topLinePunct w:val="0"/>
        <w:bidi w:val="0"/>
        <w:adjustRightInd w:val="0"/>
        <w:snapToGrid w:val="0"/>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苏香英</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hint="eastAsia" w:ascii="Microsoft JhengHei" w:eastAsia="宋体"/>
          <w:b w:val="0"/>
          <w:bCs w:val="0"/>
          <w:sz w:val="28"/>
          <w:szCs w:val="28"/>
          <w:u w:val="single"/>
          <w:lang w:val="en-US" w:eastAsia="zh-CN"/>
        </w:rPr>
        <w:t>92130533MA08******</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河北省邢台市威县常屯乡枣科村</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苏香英</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13223519******</w:t>
      </w:r>
      <w:bookmarkStart w:id="0" w:name="_GoBack"/>
      <w:bookmarkEnd w:id="0"/>
      <w:r>
        <w:rPr>
          <w:rFonts w:hint="eastAsia" w:ascii="仿宋" w:hAnsi="仿宋" w:eastAsia="仿宋" w:cs="仿宋"/>
          <w:sz w:val="32"/>
          <w:szCs w:val="32"/>
          <w:u w:val="single" w:color="auto"/>
          <w:lang w:val="en-US" w:eastAsia="zh-CN"/>
        </w:rPr>
        <w:t xml:space="preserve">7229 </w:t>
      </w:r>
      <w:r>
        <w:rPr>
          <w:rFonts w:ascii="仿宋" w:hAnsi="仿宋" w:eastAsia="仿宋" w:cs="仿宋"/>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ascii="Microsoft JhengHei" w:eastAsia="仿宋"/>
          <w:sz w:val="32"/>
        </w:rPr>
      </w:pPr>
      <w:r>
        <w:rPr>
          <w:rFonts w:hint="eastAsia" w:ascii="仿宋" w:hAnsi="仿宋" w:eastAsia="仿宋" w:cs="仿宋"/>
          <w:b w:val="0"/>
          <w:bCs w:val="0"/>
          <w:spacing w:val="-9"/>
          <w:sz w:val="32"/>
          <w:szCs w:val="32"/>
          <w:lang w:val="en-US" w:eastAsia="zh-CN"/>
        </w:rPr>
        <w:t>2023年3月2日，我局执法人员在常屯乡枣科村苏香英经营的门市进行监督检查时发现，其未取得食品小摊点备案卡从事酒和方便面等食品经营活动，立即下达了责令改正通知书，责令苏香英于2023年3月17日前办理食品小摊点备案卡。2023年3月28日，我局对其再次进行监督检查，发现仍未取得食品小摊点备案卡经营酒和鸡蛋糕等食品。</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val="en-US" w:eastAsia="zh-CN"/>
        </w:rPr>
        <w:t>经</w:t>
      </w:r>
      <w:r>
        <w:rPr>
          <w:rFonts w:hint="eastAsia" w:ascii="仿宋" w:hAnsi="仿宋" w:eastAsia="仿宋" w:cs="仿宋"/>
          <w:b w:val="0"/>
          <w:bCs w:val="0"/>
          <w:spacing w:val="0"/>
          <w:w w:val="100"/>
          <w:sz w:val="32"/>
          <w:szCs w:val="32"/>
          <w:lang w:val="en-US" w:eastAsia="zh-CN"/>
        </w:rPr>
        <w:t>查，苏香英未依法取得食品小摊点备案卡从事食品经营活动，在我局下达责令改正通知书</w:t>
      </w:r>
      <w:r>
        <w:rPr>
          <w:rFonts w:hint="eastAsia" w:ascii="仿宋" w:hAnsi="仿宋" w:eastAsia="仿宋" w:cs="仿宋"/>
          <w:b w:val="0"/>
          <w:bCs w:val="0"/>
          <w:spacing w:val="-9"/>
          <w:sz w:val="32"/>
          <w:szCs w:val="32"/>
          <w:lang w:val="en-US" w:eastAsia="zh-CN"/>
        </w:rPr>
        <w:t>后仍未改正，违法所得1500元。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ascii="仿宋" w:hAnsi="仿宋" w:eastAsia="仿宋" w:cs="仿宋"/>
          <w:spacing w:val="-20"/>
          <w:w w:val="100"/>
          <w:sz w:val="32"/>
          <w:szCs w:val="32"/>
        </w:rPr>
      </w:pPr>
      <w:r>
        <w:rPr>
          <w:rFonts w:hint="eastAsia" w:ascii="仿宋" w:hAnsi="仿宋" w:eastAsia="仿宋" w:cs="仿宋"/>
          <w:b w:val="0"/>
          <w:bCs w:val="0"/>
          <w:spacing w:val="-9"/>
          <w:sz w:val="32"/>
          <w:szCs w:val="32"/>
          <w:lang w:val="en-US" w:eastAsia="zh-CN"/>
        </w:rPr>
        <w:t>1.</w:t>
      </w:r>
      <w:r>
        <w:rPr>
          <w:rFonts w:hint="eastAsia" w:ascii="仿宋" w:hAnsi="仿宋" w:eastAsia="仿宋" w:cs="仿宋"/>
          <w:b w:val="0"/>
          <w:bCs w:val="0"/>
          <w:spacing w:val="-20"/>
          <w:w w:val="100"/>
          <w:sz w:val="32"/>
          <w:szCs w:val="32"/>
          <w:u w:val="none" w:color="auto"/>
          <w:lang w:val="en-US" w:eastAsia="zh-CN"/>
        </w:rPr>
        <w:t>营业执照的复印件，证明当事人的主体资格。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 w:hAnsi="仿宋" w:eastAsia="仿宋" w:cs="仿宋"/>
          <w:b w:val="0"/>
          <w:bCs w:val="0"/>
          <w:spacing w:val="-20"/>
          <w:w w:val="100"/>
          <w:sz w:val="32"/>
          <w:szCs w:val="32"/>
          <w:u w:val="none" w:color="auto"/>
          <w:lang w:val="en-US" w:eastAsia="zh-CN"/>
        </w:rPr>
      </w:pPr>
      <w:r>
        <w:rPr>
          <w:rFonts w:hint="eastAsia" w:ascii="仿宋" w:hAnsi="仿宋" w:eastAsia="仿宋" w:cs="仿宋"/>
          <w:b w:val="0"/>
          <w:bCs w:val="0"/>
          <w:spacing w:val="-20"/>
          <w:w w:val="100"/>
          <w:sz w:val="32"/>
          <w:szCs w:val="32"/>
          <w:u w:val="none" w:color="auto"/>
          <w:lang w:val="en-US" w:eastAsia="zh-CN"/>
        </w:rPr>
        <w:t>2.现场检查笔录，证明当事人正在从事食品经营活动。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 w:hAnsi="仿宋" w:eastAsia="仿宋" w:cs="仿宋"/>
          <w:b w:val="0"/>
          <w:bCs w:val="0"/>
          <w:spacing w:val="-20"/>
          <w:w w:val="100"/>
          <w:sz w:val="32"/>
          <w:szCs w:val="32"/>
          <w:u w:val="none" w:color="auto"/>
          <w:lang w:val="en-US" w:eastAsia="zh-CN"/>
        </w:rPr>
      </w:pPr>
      <w:r>
        <w:rPr>
          <w:rFonts w:hint="eastAsia" w:ascii="仿宋" w:hAnsi="仿宋" w:eastAsia="仿宋" w:cs="仿宋"/>
          <w:b w:val="0"/>
          <w:bCs w:val="0"/>
          <w:spacing w:val="-20"/>
          <w:w w:val="100"/>
          <w:sz w:val="32"/>
          <w:szCs w:val="32"/>
          <w:u w:val="none" w:color="auto"/>
          <w:lang w:val="en-US" w:eastAsia="zh-CN"/>
        </w:rPr>
        <w:t>3.询问笔录，证明了当事人未取得食品小摊点备案卡，违法所得1500元。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baseline"/>
        <w:outlineLvl w:val="9"/>
        <w:rPr>
          <w:rFonts w:hint="eastAsia" w:ascii="Times New Roman" w:hAnsi="Times New Roman" w:eastAsia="仿宋" w:cs="仿宋"/>
          <w:bCs/>
          <w:color w:val="000000"/>
          <w:spacing w:val="-20"/>
          <w:w w:val="100"/>
          <w:sz w:val="32"/>
          <w:szCs w:val="32"/>
          <w:u w:val="none"/>
          <w:lang w:eastAsia="zh-CN"/>
        </w:rPr>
      </w:pPr>
      <w:r>
        <w:rPr>
          <w:rFonts w:hint="eastAsia" w:ascii="Times New Roman" w:hAnsi="Times New Roman" w:eastAsia="仿宋" w:cs="仿宋"/>
          <w:bCs/>
          <w:color w:val="000000"/>
          <w:spacing w:val="-20"/>
          <w:w w:val="100"/>
          <w:sz w:val="32"/>
          <w:szCs w:val="32"/>
          <w:u w:val="none"/>
          <w:lang w:eastAsia="zh-CN"/>
        </w:rPr>
        <w:t>本案调查结束后，经局领导同意，于</w:t>
      </w:r>
      <w:r>
        <w:rPr>
          <w:rFonts w:hint="eastAsia" w:ascii="Times New Roman" w:hAnsi="Times New Roman" w:eastAsia="仿宋" w:cs="仿宋"/>
          <w:bCs/>
          <w:color w:val="000000"/>
          <w:spacing w:val="-20"/>
          <w:w w:val="100"/>
          <w:sz w:val="32"/>
          <w:szCs w:val="32"/>
          <w:u w:val="none"/>
          <w:lang w:val="en-US" w:eastAsia="zh-CN"/>
        </w:rPr>
        <w:t>2023年4月25日向当事人直接送达了《行政处罚告知书》（威市监罚告</w:t>
      </w:r>
      <w:r>
        <w:rPr>
          <w:rFonts w:hint="eastAsia" w:ascii="Times New Roman" w:hAnsi="Times New Roman" w:eastAsia="仿宋" w:cs="仿宋"/>
          <w:bCs/>
          <w:color w:val="000000"/>
          <w:spacing w:val="-20"/>
          <w:w w:val="100"/>
          <w:sz w:val="32"/>
          <w:szCs w:val="32"/>
          <w:u w:val="none"/>
        </w:rPr>
        <w:t>〔</w:t>
      </w:r>
      <w:r>
        <w:rPr>
          <w:rFonts w:hint="eastAsia" w:ascii="Times New Roman" w:hAnsi="Times New Roman" w:eastAsia="仿宋" w:cs="仿宋"/>
          <w:bCs/>
          <w:color w:val="000000"/>
          <w:spacing w:val="-20"/>
          <w:w w:val="100"/>
          <w:sz w:val="32"/>
          <w:szCs w:val="32"/>
          <w:u w:val="none"/>
          <w:lang w:val="en-US" w:eastAsia="zh-CN"/>
        </w:rPr>
        <w:t>2023</w:t>
      </w:r>
      <w:r>
        <w:rPr>
          <w:rFonts w:hint="eastAsia" w:ascii="Times New Roman" w:hAnsi="Times New Roman" w:eastAsia="仿宋" w:cs="仿宋"/>
          <w:bCs/>
          <w:color w:val="000000"/>
          <w:spacing w:val="-20"/>
          <w:w w:val="100"/>
          <w:sz w:val="32"/>
          <w:szCs w:val="32"/>
          <w:u w:val="none"/>
        </w:rPr>
        <w:t>〕</w:t>
      </w:r>
      <w:r>
        <w:rPr>
          <w:rFonts w:hint="eastAsia" w:ascii="Times New Roman" w:hAnsi="Times New Roman" w:eastAsia="仿宋" w:cs="仿宋"/>
          <w:bCs/>
          <w:color w:val="000000"/>
          <w:spacing w:val="-20"/>
          <w:w w:val="100"/>
          <w:sz w:val="32"/>
          <w:szCs w:val="32"/>
          <w:u w:val="none"/>
          <w:lang w:val="en-US" w:eastAsia="zh-CN"/>
        </w:rPr>
        <w:t>053号），当事人在五个工作日对以上处罚未</w:t>
      </w:r>
      <w:r>
        <w:rPr>
          <w:rFonts w:hint="eastAsia" w:ascii="Times New Roman" w:hAnsi="Times New Roman" w:eastAsia="仿宋" w:cs="仿宋"/>
          <w:bCs/>
          <w:color w:val="000000"/>
          <w:spacing w:val="-20"/>
          <w:w w:val="100"/>
          <w:sz w:val="32"/>
          <w:szCs w:val="32"/>
          <w:u w:val="none"/>
        </w:rPr>
        <w:t>提出陈述</w:t>
      </w:r>
      <w:r>
        <w:rPr>
          <w:rFonts w:hint="eastAsia" w:ascii="Times New Roman" w:hAnsi="Times New Roman" w:eastAsia="仿宋" w:cs="仿宋"/>
          <w:bCs/>
          <w:color w:val="000000"/>
          <w:spacing w:val="-20"/>
          <w:w w:val="100"/>
          <w:sz w:val="32"/>
          <w:szCs w:val="32"/>
          <w:u w:val="none"/>
          <w:lang w:eastAsia="zh-CN"/>
        </w:rPr>
        <w:t>和</w:t>
      </w:r>
      <w:r>
        <w:rPr>
          <w:rFonts w:hint="eastAsia" w:ascii="Times New Roman" w:hAnsi="Times New Roman" w:eastAsia="仿宋" w:cs="仿宋"/>
          <w:bCs/>
          <w:color w:val="000000"/>
          <w:spacing w:val="-20"/>
          <w:w w:val="100"/>
          <w:sz w:val="32"/>
          <w:szCs w:val="32"/>
          <w:u w:val="none"/>
        </w:rPr>
        <w:t>申辩</w:t>
      </w:r>
      <w:r>
        <w:rPr>
          <w:rFonts w:hint="eastAsia" w:ascii="Times New Roman" w:hAnsi="Times New Roman" w:eastAsia="仿宋" w:cs="仿宋"/>
          <w:bCs/>
          <w:color w:val="000000"/>
          <w:spacing w:val="-20"/>
          <w:w w:val="10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512" w:firstLineChars="200"/>
        <w:jc w:val="both"/>
        <w:textAlignment w:val="baseline"/>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32"/>
          <w:sz w:val="32"/>
          <w:szCs w:val="32"/>
          <w:lang w:val="en-US" w:eastAsia="zh-CN"/>
          <w14:textFill>
            <w14:solidFill>
              <w14:schemeClr w14:val="tx1"/>
            </w14:solidFill>
          </w14:textFill>
        </w:rPr>
        <w:t>本局认为，苏香英</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未依法取得食品小摊点备案卡从事食品经营活动，其行为违反了《河北省食品小作坊小餐饮小摊点管理条例》第三十条之规定，</w:t>
      </w:r>
      <w:r>
        <w:rPr>
          <w:rFonts w:hint="eastAsia" w:ascii="仿宋" w:hAnsi="仿宋" w:eastAsia="仿宋" w:cs="仿宋"/>
          <w:b w:val="0"/>
          <w:bCs w:val="0"/>
          <w:color w:val="000000" w:themeColor="text1"/>
          <w:spacing w:val="-32"/>
          <w:sz w:val="32"/>
          <w:szCs w:val="32"/>
          <w:lang w:val="en-US" w:eastAsia="zh-CN"/>
          <w14:textFill>
            <w14:solidFill>
              <w14:schemeClr w14:val="tx1"/>
            </w14:solidFill>
          </w14:textFill>
        </w:rPr>
        <w:t>依照</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《河北省食品小作坊小餐饮小摊点管理条例》第五十一条第二款“</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小摊点违反本条例第三十条规定，未</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取得食品小摊点备</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baseline"/>
        <w:outlineLvl w:val="9"/>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自由裁量理由等其他需要说明的事项：</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经调查后，当事人态度端正，积极配合执法工作，当场把食品移出营业场所，并承诺取得食品小摊点备案卡之前不再销售食品，参照</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河北省市场监督管理行政处罚裁量基准</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》规定，</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予以</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依法从轻</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处罚</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82"/>
        <w:jc w:val="both"/>
        <w:textAlignment w:val="baseline"/>
        <w:rPr>
          <w:rFonts w:hint="eastAsia" w:ascii="仿宋" w:hAnsi="仿宋" w:eastAsia="仿宋" w:cs="仿宋"/>
          <w:color w:val="000000" w:themeColor="text1"/>
          <w:spacing w:val="-4"/>
          <w:sz w:val="32"/>
          <w:szCs w:val="32"/>
          <w:lang w:val="en-US" w:eastAsia="zh-CN"/>
          <w14:textFill>
            <w14:solidFill>
              <w14:schemeClr w14:val="tx1"/>
            </w14:solidFill>
          </w14:textFill>
        </w:rPr>
      </w:pPr>
      <w:r>
        <w:rPr>
          <w:rFonts w:ascii="仿宋" w:hAnsi="仿宋" w:eastAsia="仿宋" w:cs="仿宋"/>
          <w:color w:val="000000" w:themeColor="text1"/>
          <w:spacing w:val="-9"/>
          <w:sz w:val="32"/>
          <w:szCs w:val="32"/>
          <w14:textFill>
            <w14:solidFill>
              <w14:schemeClr w14:val="tx1"/>
            </w14:solidFill>
          </w14:textFill>
        </w:rPr>
        <w:t>综上，当事人上述行为违反了</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《河北省食品小作坊小餐饮小摊点管理条例》第三十条的规定，</w:t>
      </w:r>
      <w:r>
        <w:rPr>
          <w:rFonts w:ascii="仿宋" w:hAnsi="仿宋" w:eastAsia="仿宋" w:cs="仿宋"/>
          <w:color w:val="000000" w:themeColor="text1"/>
          <w:spacing w:val="-5"/>
          <w:sz w:val="32"/>
          <w:szCs w:val="32"/>
          <w14:textFill>
            <w14:solidFill>
              <w14:schemeClr w14:val="tx1"/>
            </w14:solidFill>
          </w14:textFill>
        </w:rPr>
        <w:t>依据</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《河北省食品小作坊小餐饮小摊点管理条例》第五十一条第二款的规定</w:t>
      </w:r>
      <w:r>
        <w:rPr>
          <w:rFonts w:ascii="黑体" w:hAnsi="黑体" w:eastAsia="仿宋" w:cs="黑体"/>
          <w:color w:val="000000" w:themeColor="text1"/>
          <w:spacing w:val="-5"/>
          <w:sz w:val="32"/>
          <w:szCs w:val="32"/>
          <w14:textFill>
            <w14:solidFill>
              <w14:schemeClr w14:val="tx1"/>
            </w14:solidFill>
          </w14:textFill>
        </w:rPr>
        <w:t>，</w:t>
      </w:r>
      <w:r>
        <w:rPr>
          <w:rFonts w:ascii="仿宋" w:hAnsi="仿宋" w:eastAsia="仿宋" w:cs="仿宋"/>
          <w:color w:val="000000" w:themeColor="text1"/>
          <w:spacing w:val="-5"/>
          <w:sz w:val="32"/>
          <w:szCs w:val="32"/>
          <w14:textFill>
            <w14:solidFill>
              <w14:schemeClr w14:val="tx1"/>
            </w14:solidFill>
          </w14:textFill>
        </w:rPr>
        <w:t>现责令当事人</w:t>
      </w:r>
      <w:r>
        <w:rPr>
          <w:rFonts w:ascii="仿宋" w:hAnsi="仿宋" w:eastAsia="仿宋" w:cs="仿宋"/>
          <w:color w:val="000000" w:themeColor="text1"/>
          <w:spacing w:val="8"/>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改正上述违法行为，并</w:t>
      </w:r>
      <w:r>
        <w:rPr>
          <w:rFonts w:hint="eastAsia" w:ascii="仿宋" w:hAnsi="仿宋" w:eastAsia="仿宋" w:cs="仿宋"/>
          <w:color w:val="000000" w:themeColor="text1"/>
          <w:spacing w:val="-4"/>
          <w:sz w:val="32"/>
          <w:szCs w:val="32"/>
          <w:lang w:val="en-US" w:eastAsia="zh-CN"/>
          <w14:textFill>
            <w14:solidFill>
              <w14:schemeClr w14:val="tx1"/>
            </w14:solidFill>
          </w14:textFill>
        </w:rPr>
        <w:t>处罚如下：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1、没收违法所得1500元；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2、罚款200元，罚没共计1700元。</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仿宋_GB2312" w:hAnsi="仿宋" w:eastAsia="仿宋" w:cs="仿宋"/>
          <w:color w:val="000000" w:themeColor="text1"/>
          <w:sz w:val="32"/>
          <w:szCs w:val="32"/>
          <w:u w:val="none"/>
          <w:lang w:val="en-US" w:eastAsia="zh-CN"/>
          <w14:textFill>
            <w14:solidFill>
              <w14:schemeClr w14:val="tx1"/>
            </w14:solidFill>
          </w14:textFill>
        </w:rPr>
      </w:pPr>
      <w:r>
        <w:rPr>
          <w:rFonts w:hint="eastAsia" w:ascii="仿宋_GB2312" w:hAnsi="Mongolian Baiti" w:eastAsia="仿宋" w:cs="Mongolian Baiti"/>
          <w:color w:val="000000" w:themeColor="text1"/>
          <w:kern w:val="1"/>
          <w:sz w:val="32"/>
          <w:szCs w:val="32"/>
          <w:u w:val="none"/>
          <w:lang w:val="en-US" w:eastAsia="zh-CN"/>
          <w14:textFill>
            <w14:solidFill>
              <w14:schemeClr w14:val="tx1"/>
            </w14:solidFill>
          </w14:textFill>
        </w:rPr>
        <w:t>苏香英</w:t>
      </w:r>
      <w:r>
        <w:rPr>
          <w:rFonts w:hint="eastAsia" w:ascii="仿宋_GB2312" w:hAnsi="仿宋" w:eastAsia="仿宋" w:cs="仿宋"/>
          <w:color w:val="000000" w:themeColor="text1"/>
          <w:sz w:val="32"/>
          <w:szCs w:val="32"/>
          <w:u w:val="none"/>
          <w:lang w:val="en-US" w:eastAsia="zh-CN"/>
          <w14:textFill>
            <w14:solidFill>
              <w14:schemeClr w14:val="tx1"/>
            </w14:solidFill>
          </w14:textFill>
        </w:rPr>
        <w:t xml:space="preserve">自接到本处罚决定书之日起十五日内，把罚款交到威县收费局银行账户，逾期不缴纳，每日按罚没款数额的百分之三加处罚没款。                               </w:t>
      </w:r>
    </w:p>
    <w:p>
      <w:pPr>
        <w:keepNext w:val="0"/>
        <w:keepLines w:val="0"/>
        <w:pageBreakBefore w:val="0"/>
        <w:wordWrap/>
        <w:overflowPunct/>
        <w:topLinePunct w:val="0"/>
        <w:bidi w:val="0"/>
        <w:adjustRightInd w:val="0"/>
        <w:snapToGrid w:val="0"/>
        <w:spacing w:line="500" w:lineRule="exact"/>
        <w:ind w:firstLine="640" w:firstLineChars="200"/>
        <w:jc w:val="both"/>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_GB2312" w:hAnsi="仿宋" w:eastAsia="仿宋" w:cs="仿宋"/>
          <w:color w:val="000000" w:themeColor="text1"/>
          <w:spacing w:val="0"/>
          <w:sz w:val="32"/>
          <w:szCs w:val="32"/>
          <w:u w:val="none"/>
          <w:lang w:val="en-US" w:eastAsia="zh-CN"/>
          <w14:textFill>
            <w14:solidFill>
              <w14:schemeClr w14:val="tx1"/>
            </w14:solidFill>
          </w14:textFill>
        </w:rPr>
        <w:t>如不服本处罚决定，可在接到处罚决定书之日起</w:t>
      </w:r>
      <w:r>
        <w:rPr>
          <w:rFonts w:ascii="仿宋" w:hAnsi="仿宋" w:eastAsia="仿宋" w:cs="仿宋"/>
          <w:color w:val="000000" w:themeColor="text1"/>
          <w:spacing w:val="0"/>
          <w:sz w:val="32"/>
          <w:szCs w:val="32"/>
          <w14:textFill>
            <w14:solidFill>
              <w14:schemeClr w14:val="tx1"/>
            </w14:solidFill>
          </w14:textFill>
        </w:rPr>
        <w:t>六十日内向</w:t>
      </w:r>
      <w:r>
        <w:rPr>
          <w:rFonts w:hint="eastAsia" w:ascii="仿宋" w:hAnsi="仿宋" w:eastAsia="仿宋" w:cs="仿宋"/>
          <w:color w:val="000000" w:themeColor="text1"/>
          <w:spacing w:val="0"/>
          <w:sz w:val="32"/>
          <w:szCs w:val="32"/>
          <w:u w:val="none" w:color="auto"/>
          <w:lang w:eastAsia="zh-CN"/>
          <w14:textFill>
            <w14:solidFill>
              <w14:schemeClr w14:val="tx1"/>
            </w14:solidFill>
          </w14:textFill>
        </w:rPr>
        <w:t>威县人民政府</w:t>
      </w:r>
      <w:r>
        <w:rPr>
          <w:rFonts w:ascii="仿宋" w:hAnsi="仿宋" w:eastAsia="仿宋" w:cs="仿宋"/>
          <w:color w:val="000000" w:themeColor="text1"/>
          <w:spacing w:val="0"/>
          <w:sz w:val="32"/>
          <w:szCs w:val="32"/>
          <w:u w:val="none" w:color="auto"/>
          <w14:textFill>
            <w14:solidFill>
              <w14:schemeClr w14:val="tx1"/>
            </w14:solidFill>
          </w14:textFill>
        </w:rPr>
        <w:t>申请行政复议；也可以在六个月内依法向</w:t>
      </w:r>
      <w:r>
        <w:rPr>
          <w:rFonts w:hint="eastAsia" w:ascii="仿宋" w:hAnsi="仿宋" w:eastAsia="仿宋" w:cs="仿宋"/>
          <w:color w:val="000000" w:themeColor="text1"/>
          <w:spacing w:val="0"/>
          <w:sz w:val="32"/>
          <w:szCs w:val="32"/>
          <w:u w:val="none" w:color="auto"/>
          <w:lang w:eastAsia="zh-CN"/>
          <w14:textFill>
            <w14:solidFill>
              <w14:schemeClr w14:val="tx1"/>
            </w14:solidFill>
          </w14:textFill>
        </w:rPr>
        <w:t>广宗县</w:t>
      </w:r>
      <w:r>
        <w:rPr>
          <w:rFonts w:ascii="仿宋" w:hAnsi="仿宋" w:eastAsia="仿宋" w:cs="仿宋"/>
          <w:color w:val="000000" w:themeColor="text1"/>
          <w:spacing w:val="0"/>
          <w:sz w:val="32"/>
          <w:szCs w:val="32"/>
          <w:u w:val="none" w:color="auto"/>
          <w14:textFill>
            <w14:solidFill>
              <w14:schemeClr w14:val="tx1"/>
            </w14:solidFill>
          </w14:textFill>
        </w:rPr>
        <w:t>人</w:t>
      </w:r>
      <w:r>
        <w:rPr>
          <w:rFonts w:ascii="仿宋" w:hAnsi="仿宋" w:eastAsia="仿宋" w:cs="仿宋"/>
          <w:color w:val="000000" w:themeColor="text1"/>
          <w:spacing w:val="0"/>
          <w:sz w:val="32"/>
          <w:szCs w:val="32"/>
          <w14:textFill>
            <w14:solidFill>
              <w14:schemeClr w14:val="tx1"/>
            </w14:solidFill>
          </w14:textFill>
        </w:rPr>
        <w:t>民法院提起行政诉讼</w:t>
      </w:r>
      <w:r>
        <w:rPr>
          <w:rFonts w:hint="eastAsia" w:ascii="仿宋" w:hAnsi="仿宋" w:eastAsia="仿宋" w:cs="仿宋"/>
          <w:color w:val="000000" w:themeColor="text1"/>
          <w:spacing w:val="0"/>
          <w:sz w:val="32"/>
          <w:szCs w:val="32"/>
          <w:lang w:eastAsia="zh-CN"/>
          <w14:textFill>
            <w14:solidFill>
              <w14:schemeClr w14:val="tx1"/>
            </w14:solidFill>
          </w14:textFill>
        </w:rPr>
        <w:t>。</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472" w:firstLineChars="1900"/>
        <w:textAlignment w:val="baseline"/>
        <w:rPr>
          <w:rFonts w:ascii="Microsoft JhengHei"/>
          <w:sz w:val="21"/>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5月19日</w:t>
      </w: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8"/>
                    <a:stretch>
                      <a:fillRect/>
                    </a:stretch>
                  </pic:blipFill>
                  <pic:spPr>
                    <a:xfrm>
                      <a:off x="0" y="0"/>
                      <a:ext cx="5550535" cy="16509"/>
                    </a:xfrm>
                    <a:prstGeom prst="rect">
                      <a:avLst/>
                    </a:prstGeom>
                  </pic:spPr>
                </pic:pic>
              </a:graphicData>
            </a:graphic>
          </wp:inline>
        </w:drawing>
      </w:r>
    </w:p>
    <w:p>
      <w:pPr>
        <w:keepNext w:val="0"/>
        <w:keepLines w:val="0"/>
        <w:pageBreakBefore w:val="0"/>
        <w:overflowPunct/>
        <w:topLinePunct w:val="0"/>
        <w:bidi w:val="0"/>
        <w:adjustRightInd w:val="0"/>
        <w:snapToGrid w:val="0"/>
        <w:spacing w:before="106" w:line="183" w:lineRule="auto"/>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6ECB3C14"/>
    <w:rsid w:val="04A3731C"/>
    <w:rsid w:val="6C326A9A"/>
    <w:rsid w:val="6ECB3C14"/>
    <w:rsid w:val="7F2F1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1089</Words>
  <Characters>1169</Characters>
  <Lines>0</Lines>
  <Paragraphs>0</Paragraphs>
  <TotalTime>10</TotalTime>
  <ScaleCrop>false</ScaleCrop>
  <LinksUpToDate>false</LinksUpToDate>
  <CharactersWithSpaces>1429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2023-07-02T07:58:00Z</dcterms:created>
  <dc:creator>Administrator</dc:creator>
  <cp:lastModifiedBy>dell</cp:lastModifiedBy>
  <dcterms:modified xsi:type="dcterms:W3CDTF">2023-07-12T02:47:53Z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39428836892A48488BF316E58E1B061C_13</vt:lpwstr>
  </property>
</Properties>
</file>