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威市监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157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140" w:hanging="14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ind w:left="2128" w:hanging="2128" w:hangingChars="665"/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河北省邢台市威县常庄乡牛家寨村307号</w:t>
      </w:r>
    </w:p>
    <w:p>
      <w:pPr>
        <w:spacing w:line="500" w:lineRule="exact"/>
        <w:ind w:left="140" w:hanging="140"/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法定代表人（负责人、</w:t>
      </w:r>
      <w:r>
        <w:rPr>
          <w:rFonts w:ascii="仿宋" w:hAnsi="仿宋" w:eastAsia="仿宋" w:cs="Mongolian Baiti"/>
          <w:kern w:val="1"/>
          <w:sz w:val="32"/>
          <w:szCs w:val="32"/>
        </w:rPr>
        <w:t>经营者</w:t>
      </w:r>
      <w:r>
        <w:rPr>
          <w:rFonts w:hint="eastAsia" w:ascii="仿宋" w:hAnsi="仿宋" w:eastAsia="仿宋" w:cs="Mongolian Baiti"/>
          <w:kern w:val="1"/>
          <w:sz w:val="32"/>
          <w:szCs w:val="32"/>
        </w:rPr>
        <w:t>）：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13223519******6812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联系电话：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13400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******</w:t>
      </w:r>
      <w:bookmarkStart w:id="0" w:name="_GoBack"/>
      <w:bookmarkEnd w:id="0"/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</w:rPr>
        <w:t>其他联系方式：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</w:t>
      </w:r>
    </w:p>
    <w:p>
      <w:pPr>
        <w:spacing w:line="500" w:lineRule="exact"/>
        <w:ind w:left="2128" w:hanging="2128" w:hangingChars="665"/>
        <w:rPr>
          <w:rFonts w:hint="eastAsia" w:ascii="仿宋" w:hAnsi="仿宋" w:eastAsia="仿宋" w:cs="Mongolian Baiti"/>
          <w:kern w:val="1"/>
          <w:sz w:val="32"/>
          <w:szCs w:val="32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河北省邢台市威县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常庄镇牛家寨村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2023年6月12日下午，我局执法人员在位于常庄镇牛家寨村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刘志芳门市检查时，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在其货架上发现标有“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6" name="图片 1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”的粘贴式合格证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卷，当事人现场提供不出商标注册证复印件及相关授权材料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2023年6月12日，该案经局领导批准，立案调查。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2023年6月13日，当事人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在常庄镇市场监督管理所办公室接受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eastAsia="zh-CN"/>
        </w:rPr>
        <w:t>李根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bCs/>
          <w:sz w:val="32"/>
          <w:szCs w:val="32"/>
          <w:u w:val="single"/>
        </w:rPr>
        <w:t>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eastAsia="zh-CN"/>
        </w:rPr>
        <w:t>彭书显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Mongolian Baiti" w:eastAsia="仿宋_GB2312" w:cs="Mongolian Baiti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经查，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当事人在未取得商标权利人授权的情况下，购买标有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2" name="图片 2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”的合格证用以其销售的缸垫上，且无法提供涉案合格证的合法来源及提供者的相关证明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。期间当事人共计在200个缸垫上粘贴涉案合格证，并全部销售，销售价格23元/个，违法经营额4600元。</w:t>
      </w:r>
      <w:r>
        <w:rPr>
          <w:rFonts w:hint="eastAsia" w:ascii="仿宋_GB2312" w:hAnsi="Mongolian Baiti" w:eastAsia="仿宋_GB2312" w:cs="Mongolian Baiti"/>
          <w:sz w:val="32"/>
          <w:szCs w:val="32"/>
          <w:highlight w:val="none"/>
          <w:u w:val="single"/>
          <w:lang w:val="en-US" w:eastAsia="zh-CN"/>
        </w:rPr>
        <w:t>当事人的上述行为已构成了侵犯注册商标专用权的违法行为。</w:t>
      </w:r>
    </w:p>
    <w:p>
      <w:pPr>
        <w:spacing w:line="520" w:lineRule="exact"/>
        <w:ind w:firstLine="640" w:firstLineChars="200"/>
        <w:jc w:val="both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上述事实，主要有以下证据证明：</w:t>
      </w:r>
    </w:p>
    <w:p>
      <w:pPr>
        <w:numPr>
          <w:ilvl w:val="0"/>
          <w:numId w:val="1"/>
        </w:numPr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的身份证复印件 </w:t>
      </w:r>
      <w:r>
        <w:rPr>
          <w:rFonts w:hint="eastAsia" w:ascii="Times New Roman" w:hAnsi="仿宋_GB2312" w:eastAsia="仿宋_GB2312" w:cs="仿宋_GB2312"/>
          <w:sz w:val="32"/>
          <w:szCs w:val="32"/>
        </w:rPr>
        <w:t>，证明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当事人的主体身份。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现场笔录 </w:t>
      </w:r>
      <w:r>
        <w:rPr>
          <w:rFonts w:hint="eastAsia" w:ascii="Times New Roman" w:hAnsi="仿宋_GB2312" w:eastAsia="仿宋_GB2312" w:cs="仿宋_GB2312"/>
          <w:sz w:val="32"/>
          <w:szCs w:val="32"/>
        </w:rPr>
        <w:t>，证明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位于常庄镇牛家寨村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刘志芳门市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其货架上放有标识为“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3" name="图片 3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”的粘贴式合格证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卷。且现场提供不出商标注册证复印件及相关授权材料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询问笔录 </w:t>
      </w:r>
      <w:r>
        <w:rPr>
          <w:rFonts w:hint="eastAsia" w:ascii="Times New Roman" w:hAnsi="仿宋_GB2312" w:eastAsia="仿宋_GB2312" w:cs="仿宋_GB2312"/>
          <w:sz w:val="32"/>
          <w:szCs w:val="32"/>
        </w:rPr>
        <w:t>，证明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当事人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刘志芳未被授权使用注册商标“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4" name="图片 4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”而销售粘有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5" name="图片 5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”合格证的缸垫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违法经营额4600元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现场照片及相关证据材料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仿宋_GB2312" w:eastAsia="仿宋_GB2312" w:cs="仿宋_GB2312"/>
          <w:sz w:val="32"/>
          <w:szCs w:val="32"/>
        </w:rPr>
        <w:t>，证明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当事人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其货架上放有标识为“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13" name="图片 6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”的粘贴式合格证。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Mongolian Baiti" w:eastAsia="仿宋_GB2312" w:cs="Mongolian Baiti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>本案调查终结后，我局于202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,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向当事人直接送达了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行政处罚告知书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（威市监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告[202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]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157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号），当事人在法定时间内没有提出陈述、申辩意见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，未要求听证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none"/>
          <w:lang w:val="en-US" w:eastAsia="zh-CN"/>
        </w:rPr>
        <w:t>本局认为，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当事人未经商标所有权人许可使用注册商标“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6" name="图片 7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”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其行为</w:t>
      </w:r>
      <w:r>
        <w:rPr>
          <w:rFonts w:hint="eastAsia" w:ascii="仿宋_GB2312" w:hAnsi="Mongolian Baiti" w:eastAsia="仿宋_GB2312" w:cs="Mongolian Baiti"/>
          <w:sz w:val="32"/>
          <w:szCs w:val="32"/>
          <w:highlight w:val="none"/>
          <w:u w:val="single"/>
          <w:lang w:val="en-US" w:eastAsia="zh-CN"/>
        </w:rPr>
        <w:t>违反《中华人民共和国商标法》第五十七条第（一）项“未经商标注册人的许可，在同一种商品上使用与其注册商标相同的商标的；”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之规定，已构成违法行为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>依据依据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《中华人民共和国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商标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法》第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六十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条第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款“工商行政管理部门处理时，认定侵权行为成立的，责令立即停止侵权行为，没收、销毁侵权商品和主要用于制造侵权商品、伪造注册商标标识的工具，违法经营额五万元以上的，可以处违法经营额五倍以下的罚款，没有违法经营额或者违法经营额不足五万元的，可以处二十五万元以下的罚款。对五年内实施两次以上商标侵权行为或者有其他严重情节的，应当从重处罚。销售不知道是侵犯注册商标专用权的商品，能证明该商品是自己合法取得并说明提供者的，由工商行政管理部门责令停止销售。”之规定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给予行政处罚。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当事人刘志芳</w:t>
      </w:r>
      <w:r>
        <w:rPr>
          <w:rFonts w:hint="eastAsia" w:ascii="Times New Roman" w:hAnsi="仿宋_GB2312" w:eastAsia="仿宋_GB2312" w:cs="仿宋_GB2312"/>
          <w:bCs/>
          <w:sz w:val="32"/>
          <w:szCs w:val="32"/>
          <w:u w:val="single"/>
        </w:rPr>
        <w:t>的违法行为，我局依法立案调查时</w:t>
      </w:r>
      <w:r>
        <w:rPr>
          <w:rFonts w:hint="eastAsia" w:ascii="Times New Roman" w:hAnsi="仿宋_GB2312" w:eastAsia="仿宋_GB2312" w:cs="仿宋_GB2312"/>
          <w:bCs/>
          <w:sz w:val="32"/>
          <w:szCs w:val="32"/>
          <w:u w:val="single"/>
          <w:lang w:eastAsia="zh-CN"/>
        </w:rPr>
        <w:t>当事人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积极配合调查，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且立即停止违法行为，违法经营额较小，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未造成严重影响，本着处罚与教育相结合的原则，根据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《河北省市场监管行政处罚裁量权适用规则》、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河北省市场监管行政处罚裁量基准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》的规定，对当事人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给予从轻处罚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eastAsia="zh-CN"/>
        </w:rPr>
        <w:t>综上，当事人上述行为违反了</w:t>
      </w:r>
      <w:r>
        <w:rPr>
          <w:rFonts w:hint="eastAsia" w:ascii="仿宋_GB2312" w:hAnsi="Mongolian Baiti" w:eastAsia="仿宋_GB2312" w:cs="Mongolian Baiti"/>
          <w:sz w:val="32"/>
          <w:szCs w:val="32"/>
          <w:highlight w:val="none"/>
          <w:u w:val="single"/>
          <w:lang w:val="en-US" w:eastAsia="zh-CN"/>
        </w:rPr>
        <w:t xml:space="preserve">《中华人民共和国商标法》第五十七条第（一）项“未经商标注册人的许可，在同一种商品上使用与其注册商标相同的商标的；”之规定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依据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《中华人民共和国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商标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法》第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六十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条第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款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之规定，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eastAsia="zh-CN"/>
        </w:rPr>
        <w:t>决定给予处罚如下：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>1、没收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eastAsia="zh-CN"/>
        </w:rPr>
        <w:t>标有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</w:rPr>
        <w:drawing>
          <wp:inline distT="0" distB="0" distL="114300" distR="114300">
            <wp:extent cx="375285" cy="222885"/>
            <wp:effectExtent l="0" t="0" r="5715" b="5715"/>
            <wp:docPr id="27" name="图片 8" descr="16875766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1687576693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奇瑞汽车备件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”合格证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1卷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>处以罚款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>000元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>当事人自收到本处罚决定书之日起十五日内，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>到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威县收费管理局银行账户缴纳罚款，逾期不缴纳，每日按罚款数额的百分之三加处罚款。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如不服本处罚决定，可在接到本处罚决定书之日起六十日内向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威县</w:t>
      </w:r>
      <w:r>
        <w:rPr>
          <w:rFonts w:hint="eastAsia" w:ascii="仿宋" w:hAnsi="仿宋" w:eastAsia="仿宋"/>
          <w:sz w:val="32"/>
          <w:szCs w:val="32"/>
          <w:u w:val="single"/>
        </w:rPr>
        <w:t>人民政府申请复议；也可在接到本处罚决定书之日起六个月内向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广宗</w:t>
      </w:r>
      <w:r>
        <w:rPr>
          <w:rFonts w:hint="eastAsia" w:ascii="仿宋" w:hAnsi="仿宋" w:eastAsia="仿宋"/>
          <w:sz w:val="32"/>
          <w:szCs w:val="32"/>
          <w:u w:val="single"/>
        </w:rPr>
        <w:t>县人民法院提起诉讼。当事人申请行政复议或者提起行政诉讼期间，本行政处罚决定不停止执行。</w:t>
      </w: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74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wordWrap w:val="0"/>
        <w:snapToGrid w:val="0"/>
        <w:spacing w:line="52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（市场</w:t>
      </w:r>
      <w:r>
        <w:rPr>
          <w:rFonts w:ascii="仿宋" w:hAnsi="仿宋" w:eastAsia="仿宋" w:cs="仿宋"/>
          <w:bCs/>
          <w:color w:val="000000"/>
          <w:sz w:val="30"/>
          <w:szCs w:val="30"/>
        </w:rPr>
        <w:t>监督管理部门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将依法向社会公示本行政处罚决定信息）</w:t>
      </w:r>
    </w:p>
    <w:p>
      <w:pPr>
        <w:wordWrap w:val="0"/>
        <w:spacing w:line="5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h0Z9dUAAAAHAQAADwAAAAAAAAABACAAAAAiAAAAZHJzL2Rvd25yZXYueG1s&#10;UEsBAhQAFAAAAAgAh07iQFz31MH7AQAA9w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vJZAUv4BAAD1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份送达，一份归档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，一份留存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CE55"/>
    <w:multiLevelType w:val="singleLevel"/>
    <w:tmpl w:val="07A1CE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6EE63E8B"/>
    <w:rsid w:val="79A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1614</Characters>
  <Lines>0</Lines>
  <Paragraphs>0</Paragraphs>
  <TotalTime>0</TotalTime>
  <ScaleCrop>false</ScaleCrop>
  <LinksUpToDate>false</LinksUpToDate>
  <CharactersWithSpaces>1827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dell</dc:creator>
  <cp:lastModifiedBy>dell</cp:lastModifiedBy>
  <dcterms:modified xsi:type="dcterms:W3CDTF">2023-07-12T03:32:31Z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C85A9BDE585F44DDA031F80B750B6E85_13</vt:lpwstr>
  </property>
</Properties>
</file>