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40" w:beforeAutospacing="0" w:after="362" w:afterAutospacing="0" w:line="24" w:lineRule="atLeast"/>
        <w:ind w:left="0" w:right="0"/>
        <w:jc w:val="center"/>
        <w:rPr>
          <w:sz w:val="19"/>
          <w:szCs w:val="19"/>
        </w:rPr>
      </w:pPr>
      <w:r>
        <w:rPr>
          <w:rFonts w:ascii="微软雅黑" w:hAnsi="微软雅黑" w:eastAsia="微软雅黑" w:cs="微软雅黑"/>
          <w:b/>
          <w:bCs/>
          <w:i w:val="0"/>
          <w:iCs w:val="0"/>
          <w:caps w:val="0"/>
          <w:color w:val="333333"/>
          <w:spacing w:val="0"/>
          <w:sz w:val="24"/>
          <w:szCs w:val="24"/>
          <w:shd w:val="clear" w:fill="FFFFFF"/>
        </w:rPr>
        <w:t>关于金融机构小微企业贷款利息收入免征增值税政策的公告</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现将支持小微企业、个体工商户融资有关税收政策公告如下：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一、对金融机构向小型企业、微型企业和个体工商户发放小额贷款取得的利息收入，免征增值税。金融机构可以选择以下两种方法之一适用免税：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一）对金融机构向小型企业、微型企业和个体工商户发放的，利率水平不高于全国银行间同业拆借中心公布的贷款市场报价利率（LPR）150%（含本数）的单笔小额贷款取得的利息收入，免征增值税；高于全国银行间同业拆借中心公布的贷款市场报价利率（LPR）150%的单笔小额贷款取得的利息收入，按照现行政策规定缴纳增值税。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二）对金融机构向小型企业、微型企业和个体工商户发放单笔小额贷款取得的利息收入中，不高于该笔贷款按照全国银行间同业拆借中心公布的贷款市场报价利率（LPR）150%（含本数）计算的利息收入部分，免征增值税；超过部分按照现行政策规定缴纳增值税。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金融机构可按会计年度在以上两种方法之间选定其一作为该年的免税适用方法，一经选定，该会计年度内不得变更。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二、本条公告所称金融机构，是指经中国人民银行、金融监管总局批准成立的已实现监管部门上一年度提出的小微企业贷款增长目标的机构，以及经中国人民银行、金融监管总局、中国证监会批准成立的开发银行及政策性银行、外资银行和非银行业金融机构。金融机构实现小微企业贷款增长目标情况，以金融监管总局及其派出机构考核结果为准。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三、本公告所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营业收入（年）=企业实际存续期间营业收入/企业实际存续月数×12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四、本公告所称小额贷款，是指单户授信小于1000万元（含本数）的小型企业、微型企业或个体工商户贷款；没有授信额度的，是指单户贷款合同金额且贷款余额在1000万元（含本数）以下的贷款。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五、金融机构应将相关免税证明材料留存备查，单独核算符合免税条件的小额贷款利息收入，按现行规定向主管税务机构办理纳税申报；未单独核算的，不得免征增值税。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金融机构应依法依规享受增值税优惠政策，一经发现存在虚报或造假骗取本项税收优惠情形的，停止享受本公告有关增值税优惠政策。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金融机构应持续跟踪贷款投向，确保贷款资金真正流向小型企业、微型企业和个体工商户，贷款的实际使用主体与申请主体一致。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六、金融机构向小型企业、微型企业及个体工商户发放单户授信小于100万元（含本数），或者没有授信额度，单户贷款合同金额且贷款余额在100万元（含本数）以下的贷款取得的利息收入，可按照《财政部 税务总局关于支持小微企业融资有关税收政策的公告》（财政部 税务总局公告2023年第13号）的规定免征增值税。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七、本公告执行至2027年12月31日。  </w:t>
      </w:r>
    </w:p>
    <w:p>
      <w:pPr>
        <w:pStyle w:val="2"/>
        <w:keepNext w:val="0"/>
        <w:keepLines w:val="0"/>
        <w:widowControl/>
        <w:suppressLineNumbers w:val="0"/>
        <w:spacing w:before="240" w:beforeAutospacing="0" w:after="362" w:afterAutospacing="0" w:line="24" w:lineRule="atLeast"/>
        <w:ind w:left="0" w:right="0"/>
        <w:jc w:val="both"/>
        <w:rPr>
          <w:sz w:val="19"/>
          <w:szCs w:val="19"/>
        </w:rPr>
      </w:pPr>
      <w:r>
        <w:rPr>
          <w:rFonts w:hint="eastAsia" w:ascii="微软雅黑" w:hAnsi="微软雅黑" w:eastAsia="微软雅黑" w:cs="微软雅黑"/>
          <w:i w:val="0"/>
          <w:iCs w:val="0"/>
          <w:caps w:val="0"/>
          <w:color w:val="333333"/>
          <w:spacing w:val="0"/>
          <w:sz w:val="19"/>
          <w:szCs w:val="19"/>
          <w:shd w:val="clear" w:fill="FFFFFF"/>
        </w:rPr>
        <w:t>　　特此公告。  </w:t>
      </w:r>
    </w:p>
    <w:p>
      <w:pPr>
        <w:pStyle w:val="2"/>
        <w:keepNext w:val="0"/>
        <w:keepLines w:val="0"/>
        <w:widowControl/>
        <w:suppressLineNumbers w:val="0"/>
        <w:spacing w:before="240" w:beforeAutospacing="0" w:after="362" w:afterAutospacing="0" w:line="24" w:lineRule="atLeast"/>
        <w:ind w:left="0" w:right="0"/>
        <w:jc w:val="right"/>
        <w:rPr>
          <w:sz w:val="19"/>
          <w:szCs w:val="19"/>
        </w:rPr>
      </w:pPr>
      <w:r>
        <w:rPr>
          <w:rFonts w:hint="eastAsia" w:ascii="微软雅黑" w:hAnsi="微软雅黑" w:eastAsia="微软雅黑" w:cs="微软雅黑"/>
          <w:i w:val="0"/>
          <w:iCs w:val="0"/>
          <w:caps w:val="0"/>
          <w:color w:val="333333"/>
          <w:spacing w:val="0"/>
          <w:sz w:val="19"/>
          <w:szCs w:val="19"/>
          <w:shd w:val="clear" w:fill="FFFFFF"/>
        </w:rPr>
        <w:t>　　财政部 税务总局 </w:t>
      </w:r>
    </w:p>
    <w:p>
      <w:pPr>
        <w:pStyle w:val="2"/>
        <w:keepNext w:val="0"/>
        <w:keepLines w:val="0"/>
        <w:widowControl/>
        <w:suppressLineNumbers w:val="0"/>
        <w:spacing w:before="240" w:beforeAutospacing="0" w:after="362" w:afterAutospacing="0" w:line="24" w:lineRule="atLeast"/>
        <w:ind w:left="0" w:right="0"/>
        <w:jc w:val="right"/>
        <w:rPr>
          <w:sz w:val="19"/>
          <w:szCs w:val="19"/>
        </w:rPr>
      </w:pPr>
      <w:r>
        <w:rPr>
          <w:rFonts w:hint="eastAsia" w:ascii="微软雅黑" w:hAnsi="微软雅黑" w:eastAsia="微软雅黑" w:cs="微软雅黑"/>
          <w:i w:val="0"/>
          <w:iCs w:val="0"/>
          <w:caps w:val="0"/>
          <w:color w:val="333333"/>
          <w:spacing w:val="0"/>
          <w:sz w:val="19"/>
          <w:szCs w:val="19"/>
          <w:shd w:val="clear" w:fill="FFFFFF"/>
        </w:rPr>
        <w:t>　　2023年8月1日 </w:t>
      </w:r>
    </w:p>
    <w:p>
      <w:pPr>
        <w:keepNext w:val="0"/>
        <w:keepLines w:val="0"/>
        <w:widowControl/>
        <w:suppressLineNumbers w:val="0"/>
        <w:pBdr>
          <w:top w:val="single" w:color="999999" w:sz="4" w:space="12"/>
          <w:right w:val="none" w:color="auto" w:sz="0" w:space="0"/>
        </w:pBdr>
        <w:shd w:val="clear" w:fill="FFFFFF"/>
        <w:spacing w:before="720" w:beforeAutospacing="0"/>
        <w:ind w:left="0" w:firstLine="0"/>
        <w:jc w:val="righ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16"/>
          <w:szCs w:val="16"/>
          <w:shd w:val="clear" w:fill="FFFFFF"/>
          <w:lang w:val="en-US" w:eastAsia="zh-CN" w:bidi="ar"/>
        </w:rPr>
        <w:t>关闭窗口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N2NhMGM2YjliOWQwMGRjY2E1ZmU0MWY4NDVmNGUifQ=="/>
  </w:docVars>
  <w:rsids>
    <w:rsidRoot w:val="00000000"/>
    <w:rsid w:val="12D40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2023-10-25T07:47:41Z</dcterms:created>
  <dc:creator>Administrator</dc:creator>
  <cp:lastModifiedBy>刘瑞</cp:lastModifiedBy>
  <dcterms:modified xsi:type="dcterms:W3CDTF">2023-10-25T07:47:44Z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E586F9442B6C4F4EABEE1EB1D7914CAE_12</vt:lpwstr>
  </property>
</Properties>
</file>