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5E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邢台市生态环境局威县分局以“普法+执法+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服务”为企业出实招、办实事、解难题</w:t>
      </w:r>
    </w:p>
    <w:p w14:paraId="102574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1FA81D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邢台市生态环境局威县分局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严格落实“谁执法谁普法”普法责任制，坚持关口前移、服务前倾，持续开展送法入企、普法培训、精准帮扶等活动，以“普法+执法+服务”为企业出实招、办实事、解难题，打造高效服务型执法队伍，推动企业绿色高质量发展。</w:t>
      </w:r>
    </w:p>
    <w:p w14:paraId="5DCD25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扭住关切点，“面对面”交流。通过发放宣传手册、现场答疑释惑、以案释法等方式，向辖区企业宣传大气、水、土壤、噪声、危固废及生态环境损害赔偿等法律知识，解读生产过程中需注意的环保事项，告知违法后果，督促企业规范经营、达标排污、守牢底线、不碰红线，引导企业管理人员学法、知法、懂法、守法，自觉履行环境保护主体责任。</w:t>
      </w:r>
    </w:p>
    <w:p w14:paraId="15A7C6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找准疑难点，“手把手”指导。对执法检查中发现的生态环境问题，及时告知企业整改要求和时限，使问题早发现、早解决，帮助企业减少因环保行政处罚带来的负面影响。针对存在环境管理有缺失、环境影响轻微、未对环境造成危害后果且能及时改正的行为，采取免予、不予处罚和从轻、减轻处罚等方法，并全过程帮扶企业改正轻微环境违法行为，科学指导提升企业治污防污能力，积极推行包容审慎监管，最大限度降低企业经营压力。</w:t>
      </w:r>
    </w:p>
    <w:p w14:paraId="3829AE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把握关键点，“点对点”帮扶。全面梳理辖区重点排污单位现状，全方位把脉生产工艺，全流程剖析排污状况，针对企业提出的多种诉求与困难，定期联合相关业务科室人员一同上门服务指导，一对一解答企业面临的环保难题，给予企业切实可行的解决方案和有针对性的意见建议。充分发挥线上交流模式，定期在群里发布生态环境保护法律法规、政策要求等信息，及时答复各类疑难问题，为企业发展创造更优环境。</w:t>
      </w:r>
    </w:p>
    <w:p w14:paraId="79013F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优化执法服务模式，护航企业绿色发展。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邢台市生态环境局威县分局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将继续把优化营商环境和提升执法质效作为核心目标，强监管，重服务，聚焦企业急难愁盼问题，全力纾困解难、打通堵点，为全县经济高质量发展贡献环保力量。</w:t>
      </w:r>
    </w:p>
    <w:p w14:paraId="431943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IN Next LT Pro Medium">
    <w:panose1 w:val="020B0603020203050203"/>
    <w:charset w:val="00"/>
    <w:family w:val="auto"/>
    <w:pitch w:val="default"/>
    <w:sig w:usb0="A00000AF" w:usb1="5000205B" w:usb2="00000000" w:usb3="00000000" w:csb0="2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WRjZGVhYmNmOWRjN2U5YmY0MzFkNTQzZGIyYzkifQ=="/>
  </w:docVars>
  <w:rsids>
    <w:rsidRoot w:val="00000000"/>
    <w:rsid w:val="1E5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2024-11-27T12:45:01Z</dcterms:created>
  <dc:creator>Administrator</dc:creator>
  <cp:lastModifiedBy>环保徐继恒</cp:lastModifiedBy>
  <dcterms:modified xsi:type="dcterms:W3CDTF">2024-11-27T12:54:32Z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15934D43701E464796F7BBA5A2767524_12</vt:lpwstr>
  </property>
</Properties>
</file>