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威县总工会</w:t>
      </w:r>
      <w:r>
        <w:rPr>
          <w:rFonts w:ascii="Times New Roman" w:hAnsi="Times New Roman" w:eastAsia="方正小标宋_GBK"/>
          <w:sz w:val="44"/>
          <w:szCs w:val="44"/>
        </w:rPr>
        <w:t>2019</w:t>
      </w:r>
      <w:r>
        <w:rPr>
          <w:rFonts w:hint="eastAsia" w:ascii="Times New Roman" w:hAnsi="Times New Roman" w:eastAsia="方正小标宋_GBK"/>
          <w:sz w:val="44"/>
          <w:szCs w:val="44"/>
        </w:rPr>
        <w:t>年部门预算信息公开情况说明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按照《预算法》、《地方预决算公开操作规程》和《河北省县级预算公开办法》规定，现将威县总工会</w:t>
      </w:r>
      <w:r>
        <w:rPr>
          <w:rFonts w:ascii="Times New Roman" w:hAnsi="Times New Roman" w:eastAsia="方正仿宋_GBK"/>
          <w:sz w:val="32"/>
          <w:szCs w:val="32"/>
        </w:rPr>
        <w:t>2019</w:t>
      </w:r>
      <w:r>
        <w:rPr>
          <w:rFonts w:hint="eastAsia" w:ascii="Times New Roman" w:hAnsi="Times New Roman"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0"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ind w:firstLine="640"/>
        <w:rPr>
          <w:rFonts w:ascii="黑体" w:hAnsi="黑体" w:eastAsia="黑体"/>
          <w:sz w:val="32"/>
          <w:szCs w:val="32"/>
        </w:rPr>
      </w:pPr>
      <w:r>
        <w:rPr>
          <w:rFonts w:hint="eastAsia" w:ascii="黑体" w:hAnsi="黑体" w:eastAsia="黑体"/>
          <w:sz w:val="32"/>
          <w:szCs w:val="32"/>
        </w:rPr>
        <w:t>（1）根据党的路线、方针、政策和各个时期的中心任务以及县委、市总工会的指示和决定，确定本县工会工作的方针和任务，指导全县工会工作。</w:t>
      </w:r>
    </w:p>
    <w:p>
      <w:pPr>
        <w:ind w:firstLine="640"/>
        <w:rPr>
          <w:rFonts w:ascii="黑体" w:hAnsi="黑体" w:eastAsia="黑体"/>
          <w:sz w:val="32"/>
          <w:szCs w:val="32"/>
        </w:rPr>
      </w:pPr>
      <w:r>
        <w:rPr>
          <w:rFonts w:hint="eastAsia" w:ascii="黑体" w:hAnsi="黑体" w:eastAsia="黑体"/>
          <w:sz w:val="32"/>
          <w:szCs w:val="32"/>
        </w:rPr>
        <w:t>（2）监督检查《中国工会章程》的贯彻执行情况；贯彻执行县总工会代表大会的决议，依照法律和工会章程，组织和指导全县各级工会进一步突出和履行维护职能，开展工会各项工作。</w:t>
      </w:r>
    </w:p>
    <w:p>
      <w:pPr>
        <w:ind w:firstLine="640"/>
        <w:rPr>
          <w:rFonts w:ascii="黑体" w:hAnsi="黑体" w:eastAsia="黑体"/>
          <w:sz w:val="32"/>
          <w:szCs w:val="32"/>
        </w:rPr>
      </w:pPr>
      <w:r>
        <w:rPr>
          <w:rFonts w:hint="eastAsia" w:ascii="黑体" w:hAnsi="黑体" w:eastAsia="黑体"/>
          <w:sz w:val="32"/>
          <w:szCs w:val="32"/>
        </w:rPr>
        <w:t>（3）向县委、县政府及有关部门反映职工群众的思想状况、意愿和要求，并提出意见和建议；参与涉及职工切身利益的有关政策的制定；对有关职工利益的重大问题进行调查研究，对侵犯职工合法权益的重大事件进行调查并提出处理意见，参与企业重大伤亡事故的调查处理。</w:t>
      </w:r>
    </w:p>
    <w:p>
      <w:pPr>
        <w:ind w:firstLine="640"/>
        <w:rPr>
          <w:rFonts w:ascii="黑体" w:hAnsi="黑体" w:eastAsia="黑体"/>
          <w:sz w:val="32"/>
          <w:szCs w:val="32"/>
        </w:rPr>
      </w:pPr>
      <w:r>
        <w:rPr>
          <w:rFonts w:hint="eastAsia" w:ascii="黑体" w:hAnsi="黑体" w:eastAsia="黑体"/>
          <w:sz w:val="32"/>
          <w:szCs w:val="32"/>
        </w:rPr>
        <w:t>（4）指导各级工会的自身改革和建设；指导基层工会组织职工开展以职工代表大会为基本制度的民主选举、民主决策、民主管理和民主监督工作，建立健全平等协商、集体合同制度。</w:t>
      </w:r>
    </w:p>
    <w:p>
      <w:pPr>
        <w:ind w:firstLine="640"/>
        <w:rPr>
          <w:rFonts w:ascii="黑体" w:hAnsi="黑体" w:eastAsia="黑体"/>
          <w:sz w:val="32"/>
          <w:szCs w:val="32"/>
        </w:rPr>
      </w:pPr>
      <w:r>
        <w:rPr>
          <w:rFonts w:hint="eastAsia" w:ascii="黑体" w:hAnsi="黑体" w:eastAsia="黑体"/>
          <w:sz w:val="32"/>
          <w:szCs w:val="32"/>
        </w:rPr>
        <w:t>（5）协同各镇、乡党委和县有关局（委）党委（党组）、县直属企业党委协商推荐各镇、乡总工会、县产业工会和县直属企业工会的领导班子人选；研究制定全县工会干部的管理制度和培训计划。</w:t>
      </w:r>
    </w:p>
    <w:p>
      <w:pPr>
        <w:ind w:firstLine="640"/>
        <w:rPr>
          <w:rFonts w:ascii="黑体" w:hAnsi="黑体" w:eastAsia="黑体"/>
          <w:sz w:val="32"/>
          <w:szCs w:val="32"/>
        </w:rPr>
      </w:pPr>
      <w:r>
        <w:rPr>
          <w:rFonts w:hint="eastAsia" w:ascii="黑体" w:hAnsi="黑体" w:eastAsia="黑体"/>
          <w:sz w:val="32"/>
          <w:szCs w:val="32"/>
        </w:rPr>
        <w:t>（6）协助县政府做好全国劳模、全国“五一”劳动奖章（状）获得者，省、市、县劳模的推荐评选工作，负责县级以上劳模的管理工作。</w:t>
      </w:r>
    </w:p>
    <w:p>
      <w:pPr>
        <w:ind w:firstLine="640"/>
        <w:rPr>
          <w:rFonts w:ascii="黑体" w:hAnsi="黑体" w:eastAsia="黑体"/>
          <w:sz w:val="32"/>
          <w:szCs w:val="32"/>
        </w:rPr>
      </w:pPr>
      <w:r>
        <w:rPr>
          <w:rFonts w:hint="eastAsia" w:ascii="黑体" w:hAnsi="黑体" w:eastAsia="黑体"/>
          <w:sz w:val="32"/>
          <w:szCs w:val="32"/>
        </w:rPr>
        <w:t>（7）负责工会经费的管理、审查、审计工作，研究、制定兴办和管理工会企事业的有关政策和规定；负责全县工会企事业发展的指导和协调工作。</w:t>
      </w:r>
    </w:p>
    <w:p>
      <w:pPr>
        <w:ind w:firstLine="640"/>
        <w:rPr>
          <w:rFonts w:ascii="黑体" w:hAnsi="黑体" w:eastAsia="黑体"/>
          <w:sz w:val="32"/>
          <w:szCs w:val="32"/>
        </w:rPr>
      </w:pPr>
      <w:r>
        <w:rPr>
          <w:rFonts w:hint="eastAsia" w:ascii="黑体" w:hAnsi="黑体" w:eastAsia="黑体"/>
          <w:sz w:val="32"/>
          <w:szCs w:val="32"/>
        </w:rPr>
        <w:t>（8）承担县委、县政府和市总工会交办的其他有关工作。</w:t>
      </w:r>
    </w:p>
    <w:p>
      <w:pPr>
        <w:autoSpaceDE w:val="0"/>
        <w:autoSpaceDN w:val="0"/>
        <w:adjustRightInd w:val="0"/>
        <w:ind w:left="198" w:firstLine="640" w:firstLineChars="200"/>
        <w:jc w:val="left"/>
        <w:rPr>
          <w:rFonts w:ascii="方正仿宋_GBK" w:hAnsi="Times New Roman" w:eastAsia="方正仿宋_GBK"/>
          <w:b/>
          <w:sz w:val="32"/>
          <w:szCs w:val="32"/>
        </w:rPr>
      </w:pPr>
    </w:p>
    <w:p>
      <w:pPr>
        <w:autoSpaceDE w:val="0"/>
        <w:autoSpaceDN w:val="0"/>
        <w:adjustRightInd w:val="0"/>
        <w:jc w:val="left"/>
        <w:rPr>
          <w:rFonts w:ascii="方正仿宋_GBK" w:hAnsi="Times New Roman" w:eastAsia="方正仿宋_GBK"/>
          <w:b/>
          <w:sz w:val="32"/>
          <w:szCs w:val="32"/>
        </w:rPr>
      </w:pPr>
    </w:p>
    <w:p>
      <w:pPr>
        <w:autoSpaceDE w:val="0"/>
        <w:autoSpaceDN w:val="0"/>
        <w:adjustRightInd w:val="0"/>
        <w:ind w:left="198" w:firstLine="640" w:firstLineChars="200"/>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ind w:firstLine="4480" w:firstLineChars="1400"/>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pPr w:leftFromText="180" w:rightFromText="180" w:vertAnchor="page" w:horzAnchor="page" w:tblpX="3433" w:tblpY="2737"/>
        <w:tblW w:w="8836" w:type="dxa"/>
        <w:tblInd w:w="0" w:type="dxa"/>
        <w:tblLayout w:type="fixed"/>
        <w:tblCellMar>
          <w:top w:w="0" w:type="dxa"/>
          <w:left w:w="108" w:type="dxa"/>
          <w:bottom w:w="0" w:type="dxa"/>
          <w:right w:w="108" w:type="dxa"/>
        </w:tblCellMar>
      </w:tblPr>
      <w:tblGrid>
        <w:gridCol w:w="2207"/>
        <w:gridCol w:w="2207"/>
        <w:gridCol w:w="2207"/>
        <w:gridCol w:w="2215"/>
      </w:tblGrid>
      <w:tr>
        <w:tblPrEx>
          <w:tblLayout w:type="fixed"/>
          <w:tblCellMar>
            <w:top w:w="0" w:type="dxa"/>
            <w:left w:w="108" w:type="dxa"/>
            <w:bottom w:w="0" w:type="dxa"/>
            <w:right w:w="108" w:type="dxa"/>
          </w:tblCellMar>
        </w:tblPrEx>
        <w:trPr>
          <w:trHeight w:val="99" w:hRule="atLeast"/>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center"/>
              <w:outlineLvl w:val="0"/>
              <w:rPr>
                <w:rFonts w:ascii="仿宋" w:hAnsi="仿宋" w:eastAsia="仿宋"/>
              </w:rPr>
            </w:pPr>
            <w:r>
              <w:rPr>
                <w:rFonts w:hint="eastAsia" w:ascii="仿宋" w:hAnsi="仿宋" w:eastAsia="仿宋"/>
              </w:rPr>
              <w:t>单位名称</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单位性质</w:t>
            </w:r>
            <w:r>
              <w:rPr>
                <w:rFonts w:ascii="仿宋" w:hAnsi="仿宋" w:eastAsia="仿宋"/>
              </w:rPr>
              <w:t xml:space="preserve"> </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单位规格</w:t>
            </w:r>
            <w:r>
              <w:rPr>
                <w:rFonts w:ascii="仿宋" w:hAnsi="仿宋" w:eastAsia="仿宋"/>
              </w:rPr>
              <w:t xml:space="preserve"> </w:t>
            </w: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经费保障形式</w:t>
            </w:r>
            <w:r>
              <w:rPr>
                <w:rFonts w:ascii="仿宋" w:hAnsi="仿宋" w:eastAsia="仿宋"/>
              </w:rPr>
              <w:t xml:space="preserve"> </w:t>
            </w:r>
          </w:p>
        </w:tc>
      </w:tr>
      <w:tr>
        <w:tblPrEx>
          <w:tblLayout w:type="fixed"/>
          <w:tblCellMar>
            <w:top w:w="0" w:type="dxa"/>
            <w:left w:w="108" w:type="dxa"/>
            <w:bottom w:w="0" w:type="dxa"/>
            <w:right w:w="108" w:type="dxa"/>
          </w:tblCellMar>
        </w:tblPrEx>
        <w:trPr>
          <w:trHeight w:val="99" w:hRule="atLeast"/>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威县总工会</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行政</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正科级</w:t>
            </w: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一般预算拨款</w:t>
            </w:r>
          </w:p>
        </w:tc>
      </w:tr>
      <w:tr>
        <w:tblPrEx>
          <w:tblLayout w:type="fixed"/>
          <w:tblCellMar>
            <w:top w:w="0" w:type="dxa"/>
            <w:left w:w="108" w:type="dxa"/>
            <w:bottom w:w="0" w:type="dxa"/>
            <w:right w:w="108" w:type="dxa"/>
          </w:tblCellMar>
        </w:tblPrEx>
        <w:trPr>
          <w:trHeight w:val="99" w:hRule="atLeast"/>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r>
      <w:tr>
        <w:tblPrEx>
          <w:tblLayout w:type="fixed"/>
          <w:tblCellMar>
            <w:top w:w="0" w:type="dxa"/>
            <w:left w:w="108" w:type="dxa"/>
            <w:bottom w:w="0" w:type="dxa"/>
            <w:right w:w="108" w:type="dxa"/>
          </w:tblCellMar>
        </w:tblPrEx>
        <w:trPr>
          <w:trHeight w:val="99" w:hRule="atLeast"/>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r>
    </w:tbl>
    <w:p>
      <w:pPr>
        <w:jc w:val="center"/>
        <w:outlineLvl w:val="0"/>
        <w:rPr>
          <w:rFonts w:ascii="Times New Roman" w:hAnsi="Times New Roman" w:eastAsia="方正小标宋_GBK"/>
          <w:sz w:val="32"/>
          <w:szCs w:val="24"/>
        </w:rPr>
      </w:pPr>
    </w:p>
    <w:p>
      <w:pPr>
        <w:ind w:firstLine="640"/>
        <w:rPr>
          <w:rFonts w:ascii="黑体" w:hAnsi="黑体" w:eastAsia="黑体"/>
          <w:sz w:val="32"/>
          <w:szCs w:val="32"/>
        </w:rPr>
      </w:pPr>
    </w:p>
    <w:p>
      <w:pPr>
        <w:ind w:firstLine="640"/>
        <w:rPr>
          <w:rFonts w:ascii="黑体" w:hAnsi="黑体" w:eastAsia="黑体"/>
          <w:sz w:val="32"/>
          <w:szCs w:val="32"/>
        </w:rPr>
      </w:pPr>
    </w:p>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按照预算管理有关规定，目前本部门预算的编制实行综合预算管理，即全部收入和支出都反映在预算中。</w:t>
      </w:r>
    </w:p>
    <w:p>
      <w:pPr>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反映本部门当年全部收入。</w:t>
      </w:r>
      <w:r>
        <w:rPr>
          <w:rFonts w:ascii="Times New Roman" w:hAnsi="Times New Roman" w:eastAsia="方正仿宋_GBK"/>
          <w:sz w:val="32"/>
          <w:szCs w:val="32"/>
        </w:rPr>
        <w:t>2019</w:t>
      </w:r>
      <w:r>
        <w:rPr>
          <w:rFonts w:hint="eastAsia" w:ascii="Times New Roman" w:hAnsi="Times New Roman" w:eastAsia="方正仿宋_GBK"/>
          <w:sz w:val="32"/>
          <w:szCs w:val="32"/>
        </w:rPr>
        <w:t>年预算收入</w:t>
      </w:r>
      <w:r>
        <w:rPr>
          <w:rFonts w:ascii="Times New Roman" w:hAnsi="Times New Roman" w:eastAsia="方正仿宋_GBK"/>
          <w:sz w:val="32"/>
          <w:szCs w:val="32"/>
        </w:rPr>
        <w:t>210.68</w:t>
      </w:r>
      <w:r>
        <w:rPr>
          <w:rFonts w:hint="eastAsia" w:ascii="Times New Roman" w:hAnsi="Times New Roman" w:eastAsia="方正仿宋_GBK"/>
          <w:sz w:val="32"/>
          <w:szCs w:val="32"/>
        </w:rPr>
        <w:t>万元，其中：一般公共预算收入</w:t>
      </w:r>
      <w:r>
        <w:rPr>
          <w:rFonts w:ascii="Times New Roman" w:hAnsi="Times New Roman" w:eastAsia="方正仿宋_GBK"/>
          <w:sz w:val="32"/>
          <w:szCs w:val="32"/>
        </w:rPr>
        <w:t>210.68</w:t>
      </w:r>
      <w:r>
        <w:rPr>
          <w:rFonts w:hint="eastAsia" w:ascii="Times New Roman" w:hAnsi="Times New Roman" w:eastAsia="方正仿宋_GBK"/>
          <w:sz w:val="32"/>
          <w:szCs w:val="32"/>
        </w:rPr>
        <w:t>万元，基金预算收入</w:t>
      </w:r>
      <w:r>
        <w:rPr>
          <w:rFonts w:ascii="Times New Roman" w:hAnsi="Times New Roman" w:eastAsia="方正仿宋_GBK"/>
          <w:sz w:val="32"/>
          <w:szCs w:val="32"/>
        </w:rPr>
        <w:t>0</w:t>
      </w:r>
      <w:r>
        <w:rPr>
          <w:rFonts w:hint="eastAsia" w:ascii="Times New Roman" w:hAnsi="Times New Roman" w:eastAsia="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、支出说明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收支预算总表支出栏、基本支出表、项目支出表按经济分类和支出功能分类科目编制，反映威县总工会年度部门预算中支出预算的总体情况。</w:t>
      </w:r>
      <w:r>
        <w:rPr>
          <w:rFonts w:ascii="Times New Roman" w:hAnsi="Times New Roman" w:eastAsia="方正仿宋_GBK"/>
          <w:sz w:val="32"/>
          <w:szCs w:val="32"/>
        </w:rPr>
        <w:t>2019</w:t>
      </w:r>
      <w:r>
        <w:rPr>
          <w:rFonts w:hint="eastAsia" w:ascii="Times New Roman" w:hAnsi="Times New Roman" w:eastAsia="方正仿宋_GBK"/>
          <w:sz w:val="32"/>
          <w:szCs w:val="32"/>
        </w:rPr>
        <w:t>年支出预算</w:t>
      </w:r>
      <w:r>
        <w:rPr>
          <w:rFonts w:ascii="Times New Roman" w:hAnsi="Times New Roman" w:eastAsia="方正仿宋_GBK"/>
          <w:sz w:val="32"/>
          <w:szCs w:val="32"/>
        </w:rPr>
        <w:t>210.68</w:t>
      </w:r>
      <w:r>
        <w:rPr>
          <w:rFonts w:hint="eastAsia" w:ascii="Times New Roman" w:hAnsi="Times New Roman" w:eastAsia="方正仿宋_GBK"/>
          <w:sz w:val="32"/>
          <w:szCs w:val="32"/>
        </w:rPr>
        <w:t>万元，其中基本支出</w:t>
      </w:r>
      <w:r>
        <w:rPr>
          <w:rFonts w:ascii="Times New Roman" w:hAnsi="Times New Roman" w:eastAsia="方正仿宋_GBK"/>
          <w:sz w:val="32"/>
          <w:szCs w:val="32"/>
        </w:rPr>
        <w:t>167.57</w:t>
      </w:r>
      <w:r>
        <w:rPr>
          <w:rFonts w:hint="eastAsia" w:ascii="Times New Roman" w:hAnsi="Times New Roman" w:eastAsia="方正仿宋_GBK"/>
          <w:sz w:val="32"/>
          <w:szCs w:val="32"/>
        </w:rPr>
        <w:t>万元，包括人员经费</w:t>
      </w:r>
      <w:r>
        <w:rPr>
          <w:rFonts w:ascii="Times New Roman" w:hAnsi="Times New Roman" w:eastAsia="方正仿宋_GBK"/>
          <w:sz w:val="32"/>
          <w:szCs w:val="32"/>
        </w:rPr>
        <w:t>163.97</w:t>
      </w:r>
      <w:r>
        <w:rPr>
          <w:rFonts w:hint="eastAsia" w:ascii="Times New Roman" w:hAnsi="Times New Roman" w:eastAsia="方正仿宋_GBK"/>
          <w:sz w:val="32"/>
          <w:szCs w:val="32"/>
        </w:rPr>
        <w:t>万元和日常公用经费</w:t>
      </w:r>
      <w:r>
        <w:rPr>
          <w:rFonts w:ascii="Times New Roman" w:hAnsi="Times New Roman" w:eastAsia="方正仿宋_GBK"/>
          <w:sz w:val="32"/>
          <w:szCs w:val="32"/>
        </w:rPr>
        <w:t>3.6</w:t>
      </w:r>
      <w:r>
        <w:rPr>
          <w:rFonts w:hint="eastAsia" w:ascii="Times New Roman" w:hAnsi="Times New Roman" w:eastAsia="方正仿宋_GBK"/>
          <w:sz w:val="32"/>
          <w:szCs w:val="32"/>
        </w:rPr>
        <w:t>万元；项目支出</w:t>
      </w:r>
      <w:r>
        <w:rPr>
          <w:rFonts w:ascii="Times New Roman" w:hAnsi="Times New Roman" w:eastAsia="方正仿宋_GBK"/>
          <w:sz w:val="32"/>
          <w:szCs w:val="32"/>
        </w:rPr>
        <w:t>43.11</w:t>
      </w:r>
      <w:r>
        <w:rPr>
          <w:rFonts w:hint="eastAsia" w:ascii="Times New Roman" w:hAnsi="Times New Roman" w:eastAsia="方正仿宋_GBK"/>
          <w:sz w:val="32"/>
          <w:szCs w:val="32"/>
        </w:rPr>
        <w:t>万元，主要为职工互助一日捐救助经费</w:t>
      </w:r>
      <w:r>
        <w:rPr>
          <w:rFonts w:ascii="Times New Roman" w:hAnsi="Times New Roman" w:eastAsia="方正仿宋_GBK"/>
          <w:sz w:val="32"/>
          <w:szCs w:val="32"/>
        </w:rPr>
        <w:t>20</w:t>
      </w:r>
      <w:r>
        <w:rPr>
          <w:rFonts w:hint="eastAsia" w:ascii="Times New Roman" w:hAnsi="Times New Roman" w:eastAsia="方正仿宋_GBK"/>
          <w:sz w:val="32"/>
          <w:szCs w:val="32"/>
        </w:rPr>
        <w:t>万元，困难职工及劳模帮扶救助</w:t>
      </w:r>
      <w:r>
        <w:rPr>
          <w:rFonts w:ascii="Times New Roman" w:hAnsi="Times New Roman" w:eastAsia="方正仿宋_GBK"/>
          <w:sz w:val="32"/>
          <w:szCs w:val="32"/>
        </w:rPr>
        <w:t>1.5</w:t>
      </w:r>
      <w:r>
        <w:rPr>
          <w:rFonts w:hint="eastAsia" w:ascii="Times New Roman" w:hAnsi="Times New Roman" w:eastAsia="方正仿宋_GBK"/>
          <w:sz w:val="32"/>
          <w:szCs w:val="32"/>
        </w:rPr>
        <w:t>万元，活动经费</w:t>
      </w:r>
      <w:r>
        <w:rPr>
          <w:rFonts w:ascii="Times New Roman" w:hAnsi="Times New Roman" w:eastAsia="方正仿宋_GBK"/>
          <w:sz w:val="32"/>
          <w:szCs w:val="32"/>
        </w:rPr>
        <w:t>3</w:t>
      </w:r>
      <w:r>
        <w:rPr>
          <w:rFonts w:hint="eastAsia" w:ascii="Times New Roman" w:hAnsi="Times New Roman" w:eastAsia="方正仿宋_GBK"/>
          <w:sz w:val="32"/>
          <w:szCs w:val="32"/>
        </w:rPr>
        <w:t>万元，上解经费</w:t>
      </w:r>
      <w:r>
        <w:rPr>
          <w:rFonts w:ascii="Times New Roman" w:hAnsi="Times New Roman" w:eastAsia="方正仿宋_GBK"/>
          <w:sz w:val="32"/>
          <w:szCs w:val="32"/>
        </w:rPr>
        <w:t>18.61</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、比上年增减情况</w:t>
      </w:r>
    </w:p>
    <w:p>
      <w:pPr>
        <w:ind w:firstLine="640"/>
        <w:rPr>
          <w:rFonts w:ascii="仿宋_GB2312" w:hAnsi="黑体" w:eastAsia="仿宋_GB2312"/>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年预算收支安排</w:t>
      </w:r>
      <w:r>
        <w:rPr>
          <w:rFonts w:ascii="Times New Roman" w:hAnsi="Times New Roman" w:eastAsia="方正仿宋_GBK"/>
          <w:sz w:val="32"/>
          <w:szCs w:val="32"/>
        </w:rPr>
        <w:t>210.68</w:t>
      </w:r>
      <w:r>
        <w:rPr>
          <w:rFonts w:hint="eastAsia" w:ascii="Times New Roman" w:hAnsi="Times New Roman" w:eastAsia="方正仿宋_GBK"/>
          <w:sz w:val="32"/>
          <w:szCs w:val="32"/>
        </w:rPr>
        <w:t>万元，较</w:t>
      </w:r>
      <w:r>
        <w:rPr>
          <w:rFonts w:ascii="Times New Roman" w:hAnsi="Times New Roman" w:eastAsia="方正仿宋_GBK"/>
          <w:sz w:val="32"/>
          <w:szCs w:val="32"/>
        </w:rPr>
        <w:t>2018</w:t>
      </w:r>
      <w:r>
        <w:rPr>
          <w:rFonts w:hint="eastAsia" w:ascii="Times New Roman" w:hAnsi="Times New Roman" w:eastAsia="方正仿宋_GBK"/>
          <w:sz w:val="32"/>
          <w:szCs w:val="32"/>
        </w:rPr>
        <w:t>年预算减少20</w:t>
      </w:r>
      <w:r>
        <w:rPr>
          <w:rFonts w:ascii="Times New Roman" w:hAnsi="Times New Roman" w:eastAsia="方正仿宋_GBK"/>
          <w:sz w:val="32"/>
          <w:szCs w:val="32"/>
        </w:rPr>
        <w:t>.69</w:t>
      </w:r>
      <w:r>
        <w:rPr>
          <w:rFonts w:hint="eastAsia" w:ascii="Times New Roman" w:hAnsi="Times New Roman" w:eastAsia="方正仿宋_GBK"/>
          <w:sz w:val="32"/>
          <w:szCs w:val="32"/>
        </w:rPr>
        <w:t>万元，其中：基本支出增加</w:t>
      </w:r>
      <w:r>
        <w:rPr>
          <w:rFonts w:ascii="Times New Roman" w:hAnsi="Times New Roman" w:eastAsia="方正仿宋_GBK"/>
          <w:sz w:val="32"/>
          <w:szCs w:val="32"/>
        </w:rPr>
        <w:t>0.12</w:t>
      </w:r>
      <w:r>
        <w:rPr>
          <w:rFonts w:hint="eastAsia" w:ascii="Times New Roman" w:hAnsi="Times New Roman" w:eastAsia="方正仿宋_GBK"/>
          <w:sz w:val="32"/>
          <w:szCs w:val="32"/>
        </w:rPr>
        <w:t>万元，主要为</w:t>
      </w:r>
      <w:r>
        <w:rPr>
          <w:rFonts w:hint="eastAsia" w:ascii="Times New Roman" w:hAnsi="Times New Roman" w:eastAsia="方正仿宋_GBK"/>
          <w:color w:val="000000"/>
          <w:sz w:val="32"/>
          <w:szCs w:val="32"/>
        </w:rPr>
        <w:t>增加人员经费支出；项目支出减少</w:t>
      </w:r>
      <w:r>
        <w:rPr>
          <w:rFonts w:ascii="Times New Roman" w:hAnsi="Times New Roman" w:eastAsia="方正仿宋_GBK"/>
          <w:color w:val="000000"/>
          <w:sz w:val="32"/>
          <w:szCs w:val="32"/>
        </w:rPr>
        <w:t>20.81</w:t>
      </w:r>
      <w:r>
        <w:rPr>
          <w:rFonts w:hint="eastAsia" w:ascii="Times New Roman" w:hAnsi="Times New Roman" w:eastAsia="方正仿宋_GBK"/>
          <w:color w:val="000000"/>
          <w:sz w:val="32"/>
          <w:szCs w:val="32"/>
        </w:rPr>
        <w:t>万元，主要为减少困难职工及劳模帮扶救助支出。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年，机关运行经费共计安排</w:t>
      </w:r>
      <w:r>
        <w:rPr>
          <w:rFonts w:ascii="Times New Roman" w:hAnsi="Times New Roman" w:eastAsia="方正仿宋_GBK"/>
          <w:sz w:val="32"/>
          <w:szCs w:val="32"/>
        </w:rPr>
        <w:t>3.6</w:t>
      </w:r>
      <w:r>
        <w:rPr>
          <w:rFonts w:hint="eastAsia" w:ascii="Times New Roman" w:hAnsi="Times New Roman" w:eastAsia="方正仿宋_GBK"/>
          <w:sz w:val="32"/>
          <w:szCs w:val="32"/>
        </w:rPr>
        <w:t>万元，主要用于交通补贴支出</w:t>
      </w:r>
      <w:r>
        <w:rPr>
          <w:rFonts w:hint="eastAsia" w:ascii="仿宋_GB2312" w:hAnsi="Times New Roman" w:eastAsia="仿宋_GB2312" w:cs="仿宋_GB2312"/>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hint="default" w:ascii="Times New Roman" w:hAnsi="Times New Roman" w:eastAsia="方正仿宋_GBK"/>
          <w:sz w:val="32"/>
          <w:szCs w:val="32"/>
          <w:lang w:val="en-US" w:eastAsia="zh-CN"/>
        </w:rPr>
      </w:pPr>
      <w:r>
        <w:rPr>
          <w:rFonts w:ascii="Times New Roman" w:hAnsi="Times New Roman" w:eastAsia="方正仿宋_GBK"/>
          <w:sz w:val="32"/>
          <w:szCs w:val="32"/>
        </w:rPr>
        <w:t>2019</w:t>
      </w:r>
      <w:r>
        <w:rPr>
          <w:rFonts w:hint="eastAsia" w:ascii="Times New Roman" w:hAnsi="Times New Roman" w:eastAsia="方正仿宋_GBK"/>
          <w:sz w:val="32"/>
          <w:szCs w:val="32"/>
        </w:rPr>
        <w:t>年，我部门财政拨款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w:t>
      </w:r>
      <w:r>
        <w:rPr>
          <w:rFonts w:ascii="Times New Roman" w:hAnsi="Times New Roman" w:eastAsia="方正仿宋_GBK"/>
          <w:sz w:val="32"/>
          <w:szCs w:val="32"/>
        </w:rPr>
        <w:t>0.3</w:t>
      </w:r>
      <w:r>
        <w:rPr>
          <w:rFonts w:hint="eastAsia" w:ascii="Times New Roman" w:hAnsi="Times New Roman" w:eastAsia="方正仿宋_GBK"/>
          <w:sz w:val="32"/>
          <w:szCs w:val="32"/>
        </w:rPr>
        <w:t>万元，其中：公务接待费</w:t>
      </w:r>
      <w:r>
        <w:rPr>
          <w:rFonts w:ascii="Times New Roman" w:hAnsi="Times New Roman" w:eastAsia="方正仿宋_GBK"/>
          <w:sz w:val="32"/>
          <w:szCs w:val="32"/>
        </w:rPr>
        <w:t>0.3</w:t>
      </w:r>
      <w:r>
        <w:rPr>
          <w:rFonts w:hint="eastAsia" w:ascii="Times New Roman" w:hAnsi="Times New Roman" w:eastAsia="方正仿宋_GBK"/>
          <w:sz w:val="32"/>
          <w:szCs w:val="32"/>
        </w:rPr>
        <w:t>万元。“三公”经费与上年持平，无增减变化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主要原因是</w:t>
      </w:r>
      <w:bookmarkStart w:id="2" w:name="_GoBack"/>
      <w:bookmarkEnd w:id="2"/>
      <w:r>
        <w:rPr>
          <w:rFonts w:hint="eastAsia" w:ascii="Times New Roman" w:hAnsi="Times New Roman" w:eastAsia="方正仿宋_GBK"/>
          <w:sz w:val="32"/>
          <w:szCs w:val="32"/>
          <w:lang w:val="en-US" w:eastAsia="zh-CN"/>
        </w:rPr>
        <w:t>严格落实中央八项规定，从严控制“三公”经费预算支出</w:t>
      </w:r>
      <w:r>
        <w:rPr>
          <w:rFonts w:hint="eastAsia" w:ascii="Times New Roman" w:hAnsi="Times New Roman" w:eastAsia="方正仿宋_GBK"/>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五、绩效预算信息</w:t>
      </w:r>
    </w:p>
    <w:p>
      <w:pPr>
        <w:ind w:firstLine="640" w:firstLineChars="200"/>
        <w:jc w:val="left"/>
        <w:rPr>
          <w:rFonts w:ascii="Times New Roman" w:hAnsi="Times New Roman" w:eastAsia="方正仿宋_GBK"/>
          <w:b/>
          <w:sz w:val="32"/>
          <w:szCs w:val="32"/>
        </w:rPr>
      </w:pPr>
      <w:bookmarkStart w:id="0" w:name="_Toc471398463"/>
      <w:r>
        <w:rPr>
          <w:rFonts w:hint="eastAsia" w:ascii="Times New Roman" w:hAnsi="Times New Roman" w:eastAsia="方正仿宋_GBK"/>
          <w:b/>
          <w:sz w:val="32"/>
          <w:szCs w:val="32"/>
        </w:rPr>
        <w:t>总体绩效目标：</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指导全县各级组织职工开展民主选举、民主决策、民主管理和民主监督工作；推动基层工会建立集体合同制度、工资集体协商和监督保证机制；参与职工安全生产保护工作；为工会组织、干部、职工提供维权渠道。确保职工合法权益得到有效保障，改善困难劳模生活困境，提升广大职工技术素质。</w:t>
      </w:r>
    </w:p>
    <w:p>
      <w:pPr>
        <w:pStyle w:val="18"/>
        <w:snapToGrid w:val="0"/>
        <w:spacing w:before="0" w:beforeAutospacing="0" w:after="0" w:afterAutospacing="0" w:line="560" w:lineRule="exact"/>
        <w:rPr>
          <w:rFonts w:ascii="Times New Roman" w:hAnsi="Times New Roman" w:eastAsia="方正仿宋_GBK"/>
          <w:kern w:val="2"/>
          <w:sz w:val="32"/>
          <w:szCs w:val="32"/>
        </w:rPr>
      </w:pPr>
      <w:r>
        <w:rPr>
          <w:rFonts w:ascii="Times New Roman" w:hAnsi="Times New Roman" w:eastAsia="方正仿宋_GBK"/>
          <w:kern w:val="2"/>
          <w:sz w:val="32"/>
          <w:szCs w:val="32"/>
        </w:rPr>
        <w:t xml:space="preserve">    2</w:t>
      </w:r>
      <w:r>
        <w:rPr>
          <w:rFonts w:hint="eastAsia" w:ascii="Times New Roman" w:hAnsi="Times New Roman" w:eastAsia="方正仿宋_GBK"/>
          <w:kern w:val="2"/>
          <w:sz w:val="32"/>
          <w:szCs w:val="32"/>
        </w:rPr>
        <w:t>、进一步提高职工队伍整体素质。充分发挥工会“大学校”作用，努力培养和造就一支高素质的职工队伍。通过广泛开展岗位练兵、技术比武、技能培训等活动，营造浓厚的学习钻研风气，培养更多的知识型、技术型、创新型职工。</w:t>
      </w:r>
      <w:r>
        <w:rPr>
          <w:rFonts w:ascii="Times New Roman" w:hAnsi="Times New Roman" w:eastAsia="方正仿宋_GBK"/>
          <w:kern w:val="2"/>
          <w:sz w:val="32"/>
          <w:szCs w:val="32"/>
        </w:rPr>
        <w:t xml:space="preserve">      </w:t>
      </w:r>
    </w:p>
    <w:p>
      <w:pPr>
        <w:pStyle w:val="19"/>
        <w:snapToGrid w:val="0"/>
        <w:spacing w:before="0" w:beforeAutospacing="0" w:after="0" w:afterAutospacing="0"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3</w:t>
      </w:r>
      <w:r>
        <w:rPr>
          <w:rFonts w:hint="eastAsia" w:ascii="Times New Roman" w:hAnsi="Times New Roman" w:eastAsia="方正仿宋_GBK"/>
          <w:kern w:val="2"/>
          <w:sz w:val="32"/>
          <w:szCs w:val="32"/>
        </w:rPr>
        <w:t>、广泛开展社会主义劳动竞赛，团结动员广大职工立足本职、扎实工作，争创一流业绩、一流服务、一流管理、一流质量。切实增强竞赛对职工群众的感召力和吸引力，组织职工深入开展技术革新、技术交流、技术协作、发明创造等活动，引导职工踊跃开展节能减排活动，促进可持续发展。</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大力弘扬劳模精神，用劳模精神感动职工、鼓舞职工，在广大职工中兴起学习劳模、争当劳模的时代新风，进一步营造工人伟大、劳动光荣的良好氛围，引导职工以劳模为榜样，勤奋学习、锐意进取，争做推动科学发展、促进社会和谐的优秀劳动者，为推动经济社会又好又快发展贡献新力量。</w:t>
      </w:r>
    </w:p>
    <w:p>
      <w:pPr>
        <w:spacing w:line="580" w:lineRule="exact"/>
        <w:ind w:firstLine="471" w:firstLineChars="147"/>
        <w:jc w:val="left"/>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职责分类绩效目标：</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1、确保职工合法权益得到有效保障，改善困难劳模生活困境，提升广大职工技术技能素质。</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2、提高职工代表大会制度和联席会议制度的规范化和有效性。</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3、维护好以工资为核心的各项劳动经济权益，让广大职工共享经济发展成果，全力维护职工队伍和谐稳定。对困难职工家庭发放生活补助，加强困难女职工帮扶工作力度。</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4、加强和改进劳动模范管理和服务工作，有效解决或缓解困难省劳模的生活状况。</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5、有效促进全县重点工程、重点项目和重点领域的建设，为全县经济社会持续健康发展建功立业。</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6、广大职工为全县科学发展、绿色崛起大局所作的贡献进一步凸显；广大职工在创新型企业建设中的作用进一步增强；广大职工技术技能素质进一步提升。保障教学和师资培养的资金投入。</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7、加强组织和干部队伍建设，提高干部业务素质和大型企事业单位工会领导干部水平，促进工会事业发展。</w:t>
      </w:r>
    </w:p>
    <w:p>
      <w:pPr>
        <w:pStyle w:val="19"/>
        <w:snapToGrid w:val="0"/>
        <w:spacing w:before="0" w:beforeAutospacing="0" w:after="0" w:afterAutospacing="0" w:line="560" w:lineRule="exact"/>
        <w:ind w:firstLine="640" w:firstLineChars="200"/>
        <w:rPr>
          <w:rFonts w:ascii="仿宋_GB2312" w:hAnsi="Arial" w:eastAsia="仿宋_GB2312"/>
          <w:snapToGrid w:val="0"/>
          <w:color w:val="000000"/>
          <w:kern w:val="32"/>
          <w:sz w:val="32"/>
        </w:rPr>
      </w:pPr>
      <w:r>
        <w:rPr>
          <w:rFonts w:ascii="仿宋_GB2312" w:hAnsi="Arial" w:eastAsia="仿宋_GB2312"/>
          <w:snapToGrid w:val="0"/>
          <w:color w:val="000000"/>
          <w:kern w:val="32"/>
          <w:sz w:val="32"/>
        </w:rPr>
        <w:t>8、切实提高工会综合事务管理水平，保障单位的正常运转。</w:t>
      </w:r>
    </w:p>
    <w:p>
      <w:pPr>
        <w:ind w:firstLine="640" w:firstLineChars="200"/>
        <w:jc w:val="left"/>
        <w:rPr>
          <w:rFonts w:ascii="Times New Roman" w:hAnsi="Times New Roman" w:eastAsia="方正仿宋_GBK"/>
          <w:sz w:val="32"/>
          <w:szCs w:val="32"/>
        </w:rPr>
      </w:pPr>
    </w:p>
    <w:p>
      <w:pPr>
        <w:rPr>
          <w:rFonts w:ascii="Times New Roman" w:hAnsi="Times New Roman" w:eastAsia="方正仿宋_GBK"/>
          <w:sz w:val="32"/>
          <w:szCs w:val="32"/>
        </w:rPr>
      </w:pPr>
    </w:p>
    <w:p>
      <w:pPr>
        <w:ind w:firstLine="560"/>
        <w:rPr>
          <w:rFonts w:ascii="楷体_GB2312" w:hAnsi="Times New Roman" w:eastAsia="楷体_GB2312"/>
          <w:b/>
          <w:sz w:val="32"/>
          <w:szCs w:val="24"/>
        </w:rPr>
      </w:pPr>
      <w:r>
        <w:rPr>
          <w:rFonts w:hint="eastAsia" w:ascii="楷体_GB2312" w:hAnsi="黑体" w:eastAsia="楷体_GB2312"/>
          <w:b/>
          <w:sz w:val="32"/>
          <w:szCs w:val="32"/>
        </w:rPr>
        <w:t>部门职责及工作活动绩效目标指标：</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部门职责</w:t>
      </w:r>
      <w:r>
        <w:rPr>
          <w:rFonts w:ascii="方正小标宋_GBK" w:hAnsi="Times New Roman" w:eastAsia="方正小标宋_GBK"/>
          <w:sz w:val="32"/>
          <w:szCs w:val="24"/>
        </w:rPr>
        <w:t>-</w:t>
      </w:r>
      <w:r>
        <w:rPr>
          <w:rFonts w:hint="eastAsia" w:ascii="方正小标宋_GBK" w:hAnsi="Times New Roman" w:eastAsia="方正小标宋_GBK"/>
          <w:sz w:val="32"/>
          <w:szCs w:val="24"/>
        </w:rPr>
        <w:t>工作活动绩效目标</w:t>
      </w:r>
      <w:bookmarkEnd w:id="0"/>
    </w:p>
    <w:tbl>
      <w:tblPr>
        <w:tblStyle w:val="8"/>
        <w:tblW w:w="140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9"/>
        <w:gridCol w:w="1417"/>
        <w:gridCol w:w="3686"/>
        <w:gridCol w:w="2982"/>
        <w:gridCol w:w="1095"/>
        <w:gridCol w:w="600"/>
        <w:gridCol w:w="701"/>
        <w:gridCol w:w="737"/>
        <w:gridCol w:w="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15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sz w:val="24"/>
                <w:szCs w:val="24"/>
              </w:rPr>
              <w:t>711</w:t>
            </w:r>
            <w:r>
              <w:rPr>
                <w:rFonts w:hint="eastAsia" w:ascii="方正小标宋_GBK" w:eastAsia="方正小标宋_GBK"/>
                <w:sz w:val="24"/>
                <w:szCs w:val="24"/>
              </w:rPr>
              <w:t>威县总工会</w:t>
            </w:r>
          </w:p>
        </w:tc>
        <w:tc>
          <w:tcPr>
            <w:tcW w:w="2863"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979"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职责活动</w:t>
            </w:r>
          </w:p>
        </w:tc>
        <w:tc>
          <w:tcPr>
            <w:tcW w:w="141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年度预算数</w:t>
            </w:r>
          </w:p>
        </w:tc>
        <w:tc>
          <w:tcPr>
            <w:tcW w:w="368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内容描述</w:t>
            </w:r>
          </w:p>
        </w:tc>
        <w:tc>
          <w:tcPr>
            <w:tcW w:w="298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109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w:t>
            </w:r>
          </w:p>
        </w:tc>
        <w:tc>
          <w:tcPr>
            <w:tcW w:w="2863" w:type="dxa"/>
            <w:gridSpan w:val="4"/>
            <w:vAlign w:val="center"/>
          </w:tcPr>
          <w:p>
            <w:pPr>
              <w:spacing w:line="300" w:lineRule="exact"/>
              <w:jc w:val="center"/>
              <w:rPr>
                <w:rFonts w:ascii="方正书宋_GBK" w:eastAsia="方正书宋_GBK"/>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3" w:hRule="atLeast"/>
          <w:tblHeader/>
          <w:jc w:val="center"/>
        </w:trPr>
        <w:tc>
          <w:tcPr>
            <w:tcW w:w="1979"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3686" w:type="dxa"/>
            <w:vMerge w:val="continue"/>
            <w:vAlign w:val="center"/>
          </w:tcPr>
          <w:p>
            <w:pPr>
              <w:spacing w:line="300" w:lineRule="exact"/>
              <w:jc w:val="left"/>
              <w:outlineLvl w:val="0"/>
            </w:pPr>
          </w:p>
        </w:tc>
        <w:tc>
          <w:tcPr>
            <w:tcW w:w="2982" w:type="dxa"/>
            <w:vMerge w:val="continue"/>
            <w:vAlign w:val="center"/>
          </w:tcPr>
          <w:p>
            <w:pPr>
              <w:spacing w:line="300" w:lineRule="exact"/>
              <w:jc w:val="left"/>
              <w:outlineLvl w:val="0"/>
            </w:pPr>
          </w:p>
        </w:tc>
        <w:tc>
          <w:tcPr>
            <w:tcW w:w="1095" w:type="dxa"/>
            <w:vMerge w:val="continue"/>
            <w:vAlign w:val="center"/>
          </w:tcPr>
          <w:p>
            <w:pPr>
              <w:spacing w:line="300" w:lineRule="exact"/>
              <w:jc w:val="left"/>
              <w:outlineLvl w:val="0"/>
            </w:pPr>
          </w:p>
        </w:tc>
        <w:tc>
          <w:tcPr>
            <w:tcW w:w="60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优</w:t>
            </w:r>
          </w:p>
        </w:tc>
        <w:tc>
          <w:tcPr>
            <w:tcW w:w="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中</w:t>
            </w:r>
          </w:p>
        </w:tc>
        <w:tc>
          <w:tcPr>
            <w:tcW w:w="825"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r>
              <w:rPr>
                <w:rFonts w:hint="eastAsia" w:ascii="方正书宋_GBK" w:eastAsia="方正书宋_GBK"/>
                <w:b/>
                <w:bCs/>
              </w:rPr>
              <w:t>维权服务</w:t>
            </w:r>
          </w:p>
        </w:tc>
        <w:tc>
          <w:tcPr>
            <w:tcW w:w="1417" w:type="dxa"/>
            <w:vAlign w:val="center"/>
          </w:tcPr>
          <w:p>
            <w:pPr>
              <w:spacing w:line="300" w:lineRule="exact"/>
              <w:jc w:val="center"/>
              <w:rPr>
                <w:rFonts w:ascii="方正书宋_GBK"/>
              </w:rPr>
            </w:pPr>
            <w:r>
              <w:rPr>
                <w:rFonts w:ascii="方正书宋_GBK"/>
              </w:rPr>
              <w:t>20</w:t>
            </w:r>
          </w:p>
        </w:tc>
        <w:tc>
          <w:tcPr>
            <w:tcW w:w="3686" w:type="dxa"/>
            <w:vAlign w:val="center"/>
          </w:tcPr>
          <w:p>
            <w:pPr>
              <w:spacing w:line="300" w:lineRule="exact"/>
              <w:jc w:val="left"/>
              <w:rPr>
                <w:rFonts w:ascii="方正书宋_GBK" w:eastAsia="方正书宋_GBK"/>
              </w:rPr>
            </w:pPr>
            <w:r>
              <w:rPr>
                <w:rFonts w:hint="eastAsia" w:ascii="方正书宋_GBK"/>
              </w:rPr>
              <w:t>参与涉及职工切身利益的法规和政策、措施的拟定；负责对工会兴办职工劳动福利事业的指导协调；承担职责范围内的职工安全生产培训；对在档管理的困难职工开展帮扶救助；对职工开展“一日捐”救助。维护女职工的特殊利益，并提出意见和建议；困难女职工重大疾病救助以及两癌筛查工作。</w:t>
            </w:r>
          </w:p>
        </w:tc>
        <w:tc>
          <w:tcPr>
            <w:tcW w:w="2982" w:type="dxa"/>
            <w:vAlign w:val="center"/>
          </w:tcPr>
          <w:p>
            <w:pPr>
              <w:spacing w:line="300" w:lineRule="exact"/>
              <w:jc w:val="left"/>
              <w:rPr>
                <w:rFonts w:ascii="方正书宋_GBK" w:eastAsia="方正书宋_GBK"/>
              </w:rPr>
            </w:pPr>
            <w:r>
              <w:rPr>
                <w:rFonts w:hint="eastAsia" w:ascii="方正书宋_GBK"/>
              </w:rPr>
              <w:t>维护好以工资为核心的各项劳动经济权益，让广大职工共享经济发展成果，全力维护职工队伍和谐稳定。对困难职工家庭发放生活补助，加强困难女职工帮扶工作力度</w:t>
            </w:r>
          </w:p>
        </w:tc>
        <w:tc>
          <w:tcPr>
            <w:tcW w:w="1095" w:type="dxa"/>
            <w:vAlign w:val="center"/>
          </w:tcPr>
          <w:p>
            <w:pPr>
              <w:jc w:val="left"/>
              <w:rPr>
                <w:rFonts w:ascii="宋体" w:cs="宋体"/>
                <w:sz w:val="18"/>
                <w:szCs w:val="18"/>
              </w:rPr>
            </w:pPr>
            <w:r>
              <w:rPr>
                <w:rFonts w:hint="eastAsia"/>
                <w:sz w:val="18"/>
                <w:szCs w:val="18"/>
              </w:rPr>
              <w:t>职工帮扶救助、一日捐救助（人次）</w:t>
            </w:r>
          </w:p>
          <w:p>
            <w:pPr>
              <w:spacing w:line="300" w:lineRule="exact"/>
              <w:jc w:val="left"/>
              <w:rPr>
                <w:rFonts w:ascii="方正书宋_GBK" w:eastAsia="方正书宋_GBK"/>
              </w:rPr>
            </w:pPr>
          </w:p>
        </w:tc>
        <w:tc>
          <w:tcPr>
            <w:tcW w:w="600" w:type="dxa"/>
            <w:vAlign w:val="center"/>
          </w:tcPr>
          <w:p>
            <w:pPr>
              <w:jc w:val="center"/>
              <w:rPr>
                <w:rFonts w:ascii="宋体" w:cs="宋体"/>
                <w:sz w:val="18"/>
                <w:szCs w:val="18"/>
              </w:rPr>
            </w:pPr>
            <w:r>
              <w:rPr>
                <w:rFonts w:hint="eastAsia"/>
                <w:sz w:val="18"/>
                <w:szCs w:val="18"/>
              </w:rPr>
              <w:t>≥</w:t>
            </w:r>
            <w:r>
              <w:rPr>
                <w:sz w:val="18"/>
                <w:szCs w:val="18"/>
              </w:rPr>
              <w:t>50</w:t>
            </w:r>
          </w:p>
          <w:p>
            <w:pPr>
              <w:spacing w:line="300" w:lineRule="exact"/>
              <w:jc w:val="center"/>
              <w:rPr>
                <w:rFonts w:ascii="方正书宋_GBK" w:eastAsia="方正书宋_GBK"/>
              </w:rPr>
            </w:pPr>
          </w:p>
        </w:tc>
        <w:tc>
          <w:tcPr>
            <w:tcW w:w="701" w:type="dxa"/>
            <w:vAlign w:val="center"/>
          </w:tcPr>
          <w:p>
            <w:pPr>
              <w:jc w:val="center"/>
              <w:rPr>
                <w:rFonts w:ascii="宋体" w:cs="宋体"/>
                <w:sz w:val="18"/>
                <w:szCs w:val="18"/>
              </w:rPr>
            </w:pPr>
            <w:r>
              <w:rPr>
                <w:rFonts w:hint="eastAsia"/>
                <w:sz w:val="18"/>
                <w:szCs w:val="18"/>
              </w:rPr>
              <w:t>≥</w:t>
            </w:r>
            <w:r>
              <w:rPr>
                <w:sz w:val="18"/>
                <w:szCs w:val="18"/>
              </w:rPr>
              <w:t>40</w:t>
            </w:r>
          </w:p>
          <w:p>
            <w:pPr>
              <w:spacing w:line="300" w:lineRule="exact"/>
              <w:jc w:val="center"/>
              <w:rPr>
                <w:rFonts w:ascii="方正书宋_GBK" w:eastAsia="方正书宋_GBK"/>
              </w:rPr>
            </w:pPr>
          </w:p>
        </w:tc>
        <w:tc>
          <w:tcPr>
            <w:tcW w:w="737" w:type="dxa"/>
            <w:vAlign w:val="center"/>
          </w:tcPr>
          <w:p>
            <w:pPr>
              <w:jc w:val="center"/>
              <w:rPr>
                <w:rFonts w:ascii="宋体" w:cs="宋体"/>
                <w:sz w:val="18"/>
                <w:szCs w:val="18"/>
              </w:rPr>
            </w:pPr>
            <w:r>
              <w:rPr>
                <w:rFonts w:hint="eastAsia"/>
                <w:sz w:val="18"/>
                <w:szCs w:val="18"/>
              </w:rPr>
              <w:t>≥</w:t>
            </w:r>
            <w:r>
              <w:rPr>
                <w:sz w:val="18"/>
                <w:szCs w:val="18"/>
              </w:rPr>
              <w:t>30</w:t>
            </w:r>
          </w:p>
          <w:p>
            <w:pPr>
              <w:spacing w:line="300" w:lineRule="exact"/>
              <w:jc w:val="center"/>
              <w:rPr>
                <w:rFonts w:ascii="方正书宋_GBK" w:eastAsia="方正书宋_GBK"/>
              </w:rPr>
            </w:pPr>
          </w:p>
        </w:tc>
        <w:tc>
          <w:tcPr>
            <w:tcW w:w="825" w:type="dxa"/>
            <w:vAlign w:val="center"/>
          </w:tcPr>
          <w:p>
            <w:pPr>
              <w:jc w:val="center"/>
              <w:rPr>
                <w:rFonts w:ascii="宋体" w:cs="宋体"/>
                <w:sz w:val="18"/>
                <w:szCs w:val="18"/>
              </w:rPr>
            </w:pPr>
            <w:r>
              <w:rPr>
                <w:rFonts w:hint="eastAsia"/>
                <w:sz w:val="18"/>
                <w:szCs w:val="18"/>
              </w:rPr>
              <w:t>＜</w:t>
            </w:r>
            <w:r>
              <w:rPr>
                <w:sz w:val="18"/>
                <w:szCs w:val="18"/>
              </w:rPr>
              <w:t>30</w:t>
            </w:r>
          </w:p>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r>
              <w:rPr>
                <w:rFonts w:hint="eastAsia" w:ascii="方正书宋_GBK" w:eastAsia="方正书宋_GBK"/>
                <w:b/>
                <w:bCs/>
              </w:rPr>
              <w:t>维权服务</w:t>
            </w:r>
          </w:p>
        </w:tc>
        <w:tc>
          <w:tcPr>
            <w:tcW w:w="1417" w:type="dxa"/>
            <w:vAlign w:val="center"/>
          </w:tcPr>
          <w:p>
            <w:pPr>
              <w:spacing w:line="300" w:lineRule="exact"/>
              <w:jc w:val="center"/>
              <w:rPr>
                <w:rFonts w:ascii="方正书宋_GBK"/>
              </w:rPr>
            </w:pPr>
            <w:r>
              <w:rPr>
                <w:rFonts w:ascii="方正书宋_GBK"/>
              </w:rPr>
              <w:t>1.5</w:t>
            </w:r>
          </w:p>
        </w:tc>
        <w:tc>
          <w:tcPr>
            <w:tcW w:w="3686" w:type="dxa"/>
            <w:vAlign w:val="center"/>
          </w:tcPr>
          <w:p>
            <w:pPr>
              <w:spacing w:line="300" w:lineRule="exact"/>
              <w:jc w:val="left"/>
              <w:rPr>
                <w:rFonts w:ascii="方正书宋_GBK"/>
              </w:rPr>
            </w:pPr>
            <w:r>
              <w:rPr>
                <w:rFonts w:hint="eastAsia" w:ascii="方正书宋_GBK"/>
              </w:rPr>
              <w:t>参与涉及职工切身利益的法规和政策、措施的拟定；负责对工会兴办职工劳动福利事业的指导协调；承担职责范围内的职工安全生产培训；对在档管理的困难职工开展帮扶救助；对职工开展“一日捐”救助。维护女职工的特殊利益，并提出意见和建议；困难女职工重大疾病救助以及两癌筛查工作。</w:t>
            </w:r>
          </w:p>
        </w:tc>
        <w:tc>
          <w:tcPr>
            <w:tcW w:w="2982" w:type="dxa"/>
            <w:vAlign w:val="center"/>
          </w:tcPr>
          <w:p>
            <w:pPr>
              <w:spacing w:line="300" w:lineRule="exact"/>
              <w:jc w:val="left"/>
              <w:rPr>
                <w:rFonts w:ascii="方正书宋_GBK"/>
              </w:rPr>
            </w:pPr>
            <w:r>
              <w:rPr>
                <w:rFonts w:hint="eastAsia" w:ascii="方正书宋_GBK"/>
              </w:rPr>
              <w:t>维护好以工资为核心的各项劳动经济权益，让广大职工共享经济发展成果，全力维护职工队伍和谐稳定。对困难职工家庭发放生活补助，加强困难女职工帮扶工作力度。</w:t>
            </w:r>
          </w:p>
        </w:tc>
        <w:tc>
          <w:tcPr>
            <w:tcW w:w="1095" w:type="dxa"/>
            <w:vAlign w:val="center"/>
          </w:tcPr>
          <w:p>
            <w:pPr>
              <w:spacing w:line="300" w:lineRule="exact"/>
              <w:jc w:val="left"/>
              <w:rPr>
                <w:rFonts w:ascii="方正书宋_GBK"/>
              </w:rPr>
            </w:pPr>
            <w:r>
              <w:rPr>
                <w:rFonts w:hint="eastAsia" w:ascii="方正书宋_GBK"/>
              </w:rPr>
              <w:t>帮扶困难职工覆盖率</w:t>
            </w:r>
          </w:p>
        </w:tc>
        <w:tc>
          <w:tcPr>
            <w:tcW w:w="600" w:type="dxa"/>
            <w:vAlign w:val="center"/>
          </w:tcPr>
          <w:p>
            <w:pPr>
              <w:jc w:val="center"/>
              <w:rPr>
                <w:rFonts w:ascii="宋体" w:cs="宋体"/>
                <w:sz w:val="18"/>
                <w:szCs w:val="18"/>
              </w:rPr>
            </w:pPr>
            <w:r>
              <w:rPr>
                <w:rFonts w:hint="eastAsia"/>
                <w:sz w:val="18"/>
                <w:szCs w:val="18"/>
              </w:rPr>
              <w:t>≥</w:t>
            </w:r>
            <w:r>
              <w:rPr>
                <w:sz w:val="18"/>
                <w:szCs w:val="18"/>
              </w:rPr>
              <w:t>95%</w:t>
            </w:r>
          </w:p>
          <w:p>
            <w:pPr>
              <w:spacing w:line="300" w:lineRule="exact"/>
              <w:jc w:val="center"/>
              <w:rPr>
                <w:rFonts w:ascii="方正书宋_GBK" w:eastAsia="方正书宋_GBK"/>
              </w:rPr>
            </w:pPr>
          </w:p>
        </w:tc>
        <w:tc>
          <w:tcPr>
            <w:tcW w:w="701" w:type="dxa"/>
            <w:vAlign w:val="center"/>
          </w:tcPr>
          <w:p>
            <w:pPr>
              <w:jc w:val="center"/>
              <w:rPr>
                <w:rFonts w:ascii="宋体" w:cs="宋体"/>
                <w:sz w:val="18"/>
                <w:szCs w:val="18"/>
              </w:rPr>
            </w:pPr>
            <w:r>
              <w:rPr>
                <w:rFonts w:hint="eastAsia"/>
                <w:sz w:val="18"/>
                <w:szCs w:val="18"/>
              </w:rPr>
              <w:t>≥</w:t>
            </w:r>
            <w:r>
              <w:rPr>
                <w:sz w:val="18"/>
                <w:szCs w:val="18"/>
              </w:rPr>
              <w:t>90%</w:t>
            </w:r>
          </w:p>
          <w:p>
            <w:pPr>
              <w:spacing w:line="300" w:lineRule="exact"/>
              <w:jc w:val="center"/>
              <w:rPr>
                <w:rFonts w:ascii="方正书宋_GBK" w:eastAsia="方正书宋_GBK"/>
              </w:rPr>
            </w:pPr>
          </w:p>
        </w:tc>
        <w:tc>
          <w:tcPr>
            <w:tcW w:w="737" w:type="dxa"/>
            <w:vAlign w:val="center"/>
          </w:tcPr>
          <w:p>
            <w:pPr>
              <w:jc w:val="center"/>
              <w:rPr>
                <w:rFonts w:ascii="宋体" w:cs="宋体"/>
                <w:sz w:val="18"/>
                <w:szCs w:val="18"/>
              </w:rPr>
            </w:pPr>
            <w:r>
              <w:rPr>
                <w:rFonts w:hint="eastAsia"/>
                <w:sz w:val="18"/>
                <w:szCs w:val="18"/>
              </w:rPr>
              <w:t>≥</w:t>
            </w:r>
            <w:r>
              <w:rPr>
                <w:sz w:val="18"/>
                <w:szCs w:val="18"/>
              </w:rPr>
              <w:t>85%</w:t>
            </w:r>
          </w:p>
          <w:p>
            <w:pPr>
              <w:spacing w:line="300" w:lineRule="exact"/>
              <w:jc w:val="center"/>
              <w:rPr>
                <w:rFonts w:ascii="方正书宋_GBK" w:eastAsia="方正书宋_GBK"/>
              </w:rPr>
            </w:pPr>
          </w:p>
        </w:tc>
        <w:tc>
          <w:tcPr>
            <w:tcW w:w="825" w:type="dxa"/>
            <w:vAlign w:val="center"/>
          </w:tcPr>
          <w:p>
            <w:pPr>
              <w:jc w:val="center"/>
              <w:rPr>
                <w:rFonts w:ascii="宋体" w:cs="宋体"/>
                <w:sz w:val="18"/>
                <w:szCs w:val="18"/>
              </w:rPr>
            </w:pPr>
            <w:r>
              <w:rPr>
                <w:rFonts w:hint="eastAsia"/>
                <w:sz w:val="18"/>
                <w:szCs w:val="18"/>
              </w:rPr>
              <w:t>＜</w:t>
            </w:r>
            <w:r>
              <w:rPr>
                <w:sz w:val="18"/>
                <w:szCs w:val="18"/>
              </w:rPr>
              <w:t>80%</w:t>
            </w:r>
          </w:p>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r>
              <w:rPr>
                <w:rFonts w:hint="eastAsia" w:ascii="方正书宋_GBK" w:eastAsia="方正书宋_GBK"/>
                <w:b/>
                <w:bCs/>
              </w:rPr>
              <w:t>职工事业发展</w:t>
            </w:r>
          </w:p>
        </w:tc>
        <w:tc>
          <w:tcPr>
            <w:tcW w:w="1417" w:type="dxa"/>
            <w:vAlign w:val="center"/>
          </w:tcPr>
          <w:p>
            <w:pPr>
              <w:spacing w:line="300" w:lineRule="exact"/>
              <w:jc w:val="center"/>
              <w:rPr>
                <w:rFonts w:ascii="方正书宋_GBK"/>
              </w:rPr>
            </w:pPr>
            <w:r>
              <w:rPr>
                <w:rFonts w:ascii="方正书宋_GBK"/>
              </w:rPr>
              <w:t>3</w:t>
            </w:r>
          </w:p>
        </w:tc>
        <w:tc>
          <w:tcPr>
            <w:tcW w:w="3686" w:type="dxa"/>
            <w:vAlign w:val="center"/>
          </w:tcPr>
          <w:p>
            <w:pPr>
              <w:spacing w:line="300" w:lineRule="exact"/>
              <w:jc w:val="left"/>
              <w:rPr>
                <w:rFonts w:ascii="方正书宋_GBK"/>
              </w:rPr>
            </w:pPr>
            <w:r>
              <w:rPr>
                <w:rFonts w:hint="eastAsia" w:ascii="方正书宋_GBK"/>
              </w:rPr>
              <w:t>指导基层工会开展群众性经济技术创新活动以及劳动竞赛、文体活动、岗位练兵和技能比赛等群众性活动。面向全国招生，努力改善劳动关系学院的软硬件条件，加强教师素质和能力的提升，创新人才培养模式，为社会培养急需人才。</w:t>
            </w:r>
          </w:p>
        </w:tc>
        <w:tc>
          <w:tcPr>
            <w:tcW w:w="2982" w:type="dxa"/>
            <w:vAlign w:val="center"/>
          </w:tcPr>
          <w:p>
            <w:pPr>
              <w:spacing w:line="300" w:lineRule="exact"/>
              <w:jc w:val="left"/>
              <w:rPr>
                <w:rFonts w:ascii="方正书宋_GBK"/>
              </w:rPr>
            </w:pPr>
            <w:r>
              <w:rPr>
                <w:rFonts w:hint="eastAsia" w:ascii="方正书宋_GBK"/>
              </w:rPr>
              <w:t>广大职工为全县科学发展、绿色崛起大局所作的贡献进一步凸显；广大职工在创新型企业建设中的作用进一步增强；广大职工技术技能素质进一步提升。保障教学和师资培养的资金投入。</w:t>
            </w:r>
          </w:p>
        </w:tc>
        <w:tc>
          <w:tcPr>
            <w:tcW w:w="1095" w:type="dxa"/>
            <w:vAlign w:val="center"/>
          </w:tcPr>
          <w:p>
            <w:pPr>
              <w:jc w:val="left"/>
              <w:rPr>
                <w:rFonts w:ascii="方正书宋_GBK"/>
              </w:rPr>
            </w:pPr>
            <w:r>
              <w:rPr>
                <w:rFonts w:hint="eastAsia" w:ascii="方正书宋_GBK"/>
              </w:rPr>
              <w:t>开展文体活动的单位占全县总量的比例</w:t>
            </w:r>
          </w:p>
        </w:tc>
        <w:tc>
          <w:tcPr>
            <w:tcW w:w="600" w:type="dxa"/>
            <w:vAlign w:val="center"/>
          </w:tcPr>
          <w:p>
            <w:pPr>
              <w:jc w:val="center"/>
              <w:rPr>
                <w:rFonts w:ascii="宋体" w:cs="宋体"/>
                <w:sz w:val="18"/>
                <w:szCs w:val="18"/>
              </w:rPr>
            </w:pPr>
            <w:r>
              <w:rPr>
                <w:rFonts w:hint="eastAsia"/>
                <w:sz w:val="18"/>
                <w:szCs w:val="18"/>
              </w:rPr>
              <w:t>≥</w:t>
            </w:r>
            <w:r>
              <w:rPr>
                <w:sz w:val="18"/>
                <w:szCs w:val="18"/>
              </w:rPr>
              <w:t>90%</w:t>
            </w:r>
          </w:p>
          <w:p>
            <w:pPr>
              <w:spacing w:line="300" w:lineRule="exact"/>
              <w:jc w:val="center"/>
              <w:rPr>
                <w:rFonts w:ascii="方正书宋_GBK" w:eastAsia="方正书宋_GBK"/>
              </w:rPr>
            </w:pPr>
          </w:p>
        </w:tc>
        <w:tc>
          <w:tcPr>
            <w:tcW w:w="701" w:type="dxa"/>
            <w:vAlign w:val="center"/>
          </w:tcPr>
          <w:p>
            <w:pPr>
              <w:jc w:val="center"/>
              <w:rPr>
                <w:rFonts w:ascii="宋体" w:cs="宋体"/>
                <w:sz w:val="18"/>
                <w:szCs w:val="18"/>
              </w:rPr>
            </w:pPr>
            <w:r>
              <w:rPr>
                <w:rFonts w:hint="eastAsia"/>
                <w:sz w:val="18"/>
                <w:szCs w:val="18"/>
              </w:rPr>
              <w:t>≥</w:t>
            </w:r>
            <w:r>
              <w:rPr>
                <w:sz w:val="18"/>
                <w:szCs w:val="18"/>
              </w:rPr>
              <w:t>85%</w:t>
            </w:r>
          </w:p>
          <w:p>
            <w:pPr>
              <w:spacing w:line="300" w:lineRule="exact"/>
              <w:jc w:val="center"/>
              <w:rPr>
                <w:rFonts w:ascii="方正书宋_GBK" w:eastAsia="方正书宋_GBK"/>
              </w:rPr>
            </w:pPr>
          </w:p>
        </w:tc>
        <w:tc>
          <w:tcPr>
            <w:tcW w:w="737" w:type="dxa"/>
            <w:vAlign w:val="center"/>
          </w:tcPr>
          <w:p>
            <w:pPr>
              <w:jc w:val="center"/>
              <w:rPr>
                <w:rFonts w:ascii="宋体" w:cs="宋体"/>
                <w:sz w:val="18"/>
                <w:szCs w:val="18"/>
              </w:rPr>
            </w:pPr>
            <w:r>
              <w:rPr>
                <w:rFonts w:hint="eastAsia"/>
                <w:sz w:val="18"/>
                <w:szCs w:val="18"/>
              </w:rPr>
              <w:t>≥</w:t>
            </w:r>
            <w:r>
              <w:rPr>
                <w:sz w:val="18"/>
                <w:szCs w:val="18"/>
              </w:rPr>
              <w:t>80%</w:t>
            </w:r>
          </w:p>
          <w:p>
            <w:pPr>
              <w:spacing w:line="300" w:lineRule="exact"/>
              <w:jc w:val="center"/>
              <w:rPr>
                <w:rFonts w:ascii="方正书宋_GBK" w:eastAsia="方正书宋_GBK"/>
              </w:rPr>
            </w:pPr>
          </w:p>
        </w:tc>
        <w:tc>
          <w:tcPr>
            <w:tcW w:w="825" w:type="dxa"/>
            <w:vAlign w:val="center"/>
          </w:tcPr>
          <w:p>
            <w:pPr>
              <w:jc w:val="center"/>
              <w:rPr>
                <w:rFonts w:ascii="宋体" w:cs="宋体"/>
                <w:sz w:val="18"/>
                <w:szCs w:val="18"/>
              </w:rPr>
            </w:pPr>
            <w:r>
              <w:rPr>
                <w:rFonts w:hint="eastAsia"/>
                <w:sz w:val="18"/>
                <w:szCs w:val="18"/>
              </w:rPr>
              <w:t>＜</w:t>
            </w:r>
            <w:r>
              <w:rPr>
                <w:sz w:val="18"/>
                <w:szCs w:val="18"/>
              </w:rPr>
              <w:t>80%</w:t>
            </w:r>
          </w:p>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r>
              <w:rPr>
                <w:rFonts w:hint="eastAsia" w:ascii="方正书宋_GBK" w:eastAsia="方正书宋_GBK"/>
                <w:b/>
                <w:bCs/>
              </w:rPr>
              <w:t>综合事务管理</w:t>
            </w:r>
          </w:p>
        </w:tc>
        <w:tc>
          <w:tcPr>
            <w:tcW w:w="1417" w:type="dxa"/>
            <w:vAlign w:val="center"/>
          </w:tcPr>
          <w:p>
            <w:pPr>
              <w:spacing w:line="300" w:lineRule="exact"/>
              <w:jc w:val="center"/>
              <w:rPr>
                <w:rFonts w:ascii="方正书宋_GBK"/>
              </w:rPr>
            </w:pPr>
            <w:r>
              <w:rPr>
                <w:rFonts w:ascii="方正书宋_GBK"/>
              </w:rPr>
              <w:t>18.61</w:t>
            </w:r>
          </w:p>
        </w:tc>
        <w:tc>
          <w:tcPr>
            <w:tcW w:w="3686" w:type="dxa"/>
            <w:vAlign w:val="center"/>
          </w:tcPr>
          <w:p>
            <w:pPr>
              <w:spacing w:line="300" w:lineRule="exact"/>
              <w:jc w:val="left"/>
              <w:rPr>
                <w:rFonts w:ascii="方正书宋_GBK"/>
              </w:rPr>
            </w:pPr>
            <w:r>
              <w:rPr>
                <w:rFonts w:hint="eastAsia" w:ascii="方正书宋_GBK"/>
              </w:rP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完成上级安排的上解经费任务</w:t>
            </w:r>
            <w:r>
              <w:rPr>
                <w:rFonts w:ascii="方正书宋_GBK"/>
              </w:rPr>
              <w:t>,</w:t>
            </w:r>
            <w:r>
              <w:rPr>
                <w:rFonts w:hint="eastAsia" w:ascii="方正书宋_GBK"/>
              </w:rPr>
              <w:t>招商引资任务。</w:t>
            </w:r>
          </w:p>
        </w:tc>
        <w:tc>
          <w:tcPr>
            <w:tcW w:w="2982" w:type="dxa"/>
            <w:vAlign w:val="center"/>
          </w:tcPr>
          <w:p>
            <w:pPr>
              <w:spacing w:line="300" w:lineRule="exact"/>
              <w:jc w:val="left"/>
              <w:rPr>
                <w:rFonts w:ascii="方正书宋_GBK"/>
              </w:rPr>
            </w:pPr>
            <w:r>
              <w:rPr>
                <w:rFonts w:hint="eastAsia" w:ascii="方正书宋_GBK"/>
              </w:rPr>
              <w:t>切实提高工会综合事务管理水平，保障单位的正常运转</w:t>
            </w:r>
          </w:p>
        </w:tc>
        <w:tc>
          <w:tcPr>
            <w:tcW w:w="1095" w:type="dxa"/>
            <w:vAlign w:val="center"/>
          </w:tcPr>
          <w:p>
            <w:pPr>
              <w:jc w:val="left"/>
              <w:rPr>
                <w:rFonts w:ascii="宋体" w:cs="宋体"/>
                <w:sz w:val="18"/>
                <w:szCs w:val="18"/>
              </w:rPr>
            </w:pPr>
            <w:r>
              <w:rPr>
                <w:rFonts w:hint="eastAsia"/>
                <w:sz w:val="18"/>
                <w:szCs w:val="18"/>
              </w:rPr>
              <w:t>上解经费任务完成率</w:t>
            </w:r>
          </w:p>
          <w:p>
            <w:pPr>
              <w:spacing w:line="300" w:lineRule="exact"/>
              <w:jc w:val="left"/>
              <w:rPr>
                <w:rFonts w:ascii="方正书宋_GBK" w:eastAsia="方正书宋_GBK"/>
              </w:rPr>
            </w:pPr>
          </w:p>
        </w:tc>
        <w:tc>
          <w:tcPr>
            <w:tcW w:w="60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01"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82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p>
        </w:tc>
        <w:tc>
          <w:tcPr>
            <w:tcW w:w="1417" w:type="dxa"/>
            <w:vAlign w:val="center"/>
          </w:tcPr>
          <w:p>
            <w:pPr>
              <w:spacing w:line="300" w:lineRule="exact"/>
              <w:jc w:val="center"/>
              <w:rPr>
                <w:rFonts w:ascii="方正书宋_GBK" w:eastAsia="方正书宋_GBK"/>
              </w:rPr>
            </w:pPr>
          </w:p>
        </w:tc>
        <w:tc>
          <w:tcPr>
            <w:tcW w:w="3686" w:type="dxa"/>
            <w:vAlign w:val="center"/>
          </w:tcPr>
          <w:p>
            <w:pPr>
              <w:spacing w:line="300" w:lineRule="exact"/>
              <w:jc w:val="left"/>
              <w:rPr>
                <w:rFonts w:ascii="方正书宋_GBK" w:eastAsia="方正书宋_GBK"/>
              </w:rPr>
            </w:pPr>
          </w:p>
        </w:tc>
        <w:tc>
          <w:tcPr>
            <w:tcW w:w="2982" w:type="dxa"/>
            <w:vAlign w:val="center"/>
          </w:tcPr>
          <w:p>
            <w:pPr>
              <w:spacing w:line="300" w:lineRule="exact"/>
              <w:jc w:val="left"/>
              <w:rPr>
                <w:rFonts w:ascii="方正书宋_GBK" w:eastAsia="方正书宋_GBK"/>
              </w:rPr>
            </w:pPr>
          </w:p>
        </w:tc>
        <w:tc>
          <w:tcPr>
            <w:tcW w:w="1095" w:type="dxa"/>
            <w:vAlign w:val="center"/>
          </w:tcPr>
          <w:p>
            <w:pPr>
              <w:spacing w:line="300" w:lineRule="exact"/>
              <w:jc w:val="left"/>
              <w:rPr>
                <w:rFonts w:ascii="方正书宋_GBK" w:eastAsia="方正书宋_GBK"/>
              </w:rPr>
            </w:pPr>
          </w:p>
        </w:tc>
        <w:tc>
          <w:tcPr>
            <w:tcW w:w="600" w:type="dxa"/>
            <w:vAlign w:val="center"/>
          </w:tcPr>
          <w:p>
            <w:pPr>
              <w:spacing w:line="300" w:lineRule="exact"/>
              <w:jc w:val="center"/>
              <w:rPr>
                <w:rFonts w:ascii="方正书宋_GBK" w:eastAsia="方正书宋_GBK"/>
              </w:rPr>
            </w:pPr>
          </w:p>
        </w:tc>
        <w:tc>
          <w:tcPr>
            <w:tcW w:w="701"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82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p>
        </w:tc>
        <w:tc>
          <w:tcPr>
            <w:tcW w:w="1417" w:type="dxa"/>
            <w:vAlign w:val="center"/>
          </w:tcPr>
          <w:p>
            <w:pPr>
              <w:spacing w:line="300" w:lineRule="exact"/>
              <w:jc w:val="center"/>
              <w:rPr>
                <w:rFonts w:ascii="方正书宋_GBK" w:eastAsia="方正书宋_GBK"/>
              </w:rPr>
            </w:pPr>
          </w:p>
        </w:tc>
        <w:tc>
          <w:tcPr>
            <w:tcW w:w="3686" w:type="dxa"/>
            <w:vAlign w:val="center"/>
          </w:tcPr>
          <w:p>
            <w:pPr>
              <w:spacing w:line="300" w:lineRule="exact"/>
              <w:jc w:val="left"/>
              <w:rPr>
                <w:rFonts w:ascii="方正书宋_GBK" w:eastAsia="方正书宋_GBK"/>
              </w:rPr>
            </w:pPr>
          </w:p>
        </w:tc>
        <w:tc>
          <w:tcPr>
            <w:tcW w:w="2982" w:type="dxa"/>
            <w:vAlign w:val="center"/>
          </w:tcPr>
          <w:p>
            <w:pPr>
              <w:spacing w:line="300" w:lineRule="exact"/>
              <w:jc w:val="left"/>
              <w:rPr>
                <w:rFonts w:ascii="方正书宋_GBK" w:eastAsia="方正书宋_GBK"/>
              </w:rPr>
            </w:pPr>
          </w:p>
        </w:tc>
        <w:tc>
          <w:tcPr>
            <w:tcW w:w="1095" w:type="dxa"/>
            <w:vAlign w:val="center"/>
          </w:tcPr>
          <w:p>
            <w:pPr>
              <w:spacing w:line="300" w:lineRule="exact"/>
              <w:jc w:val="left"/>
              <w:rPr>
                <w:rFonts w:ascii="方正书宋_GBK" w:eastAsia="方正书宋_GBK"/>
              </w:rPr>
            </w:pPr>
          </w:p>
        </w:tc>
        <w:tc>
          <w:tcPr>
            <w:tcW w:w="600" w:type="dxa"/>
            <w:vAlign w:val="center"/>
          </w:tcPr>
          <w:p>
            <w:pPr>
              <w:spacing w:line="300" w:lineRule="exact"/>
              <w:jc w:val="center"/>
              <w:rPr>
                <w:rFonts w:ascii="方正书宋_GBK" w:eastAsia="方正书宋_GBK"/>
              </w:rPr>
            </w:pPr>
          </w:p>
        </w:tc>
        <w:tc>
          <w:tcPr>
            <w:tcW w:w="701"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82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979" w:type="dxa"/>
            <w:vAlign w:val="center"/>
          </w:tcPr>
          <w:p>
            <w:pPr>
              <w:spacing w:line="300" w:lineRule="exact"/>
              <w:jc w:val="left"/>
              <w:rPr>
                <w:rFonts w:ascii="方正书宋_GBK" w:eastAsia="方正书宋_GBK"/>
                <w:b/>
                <w:bCs/>
              </w:rPr>
            </w:pPr>
          </w:p>
        </w:tc>
        <w:tc>
          <w:tcPr>
            <w:tcW w:w="1417" w:type="dxa"/>
            <w:vAlign w:val="center"/>
          </w:tcPr>
          <w:p>
            <w:pPr>
              <w:spacing w:line="300" w:lineRule="exact"/>
              <w:jc w:val="center"/>
              <w:rPr>
                <w:rFonts w:ascii="方正书宋_GBK" w:eastAsia="方正书宋_GBK"/>
              </w:rPr>
            </w:pPr>
          </w:p>
        </w:tc>
        <w:tc>
          <w:tcPr>
            <w:tcW w:w="3686" w:type="dxa"/>
            <w:vAlign w:val="center"/>
          </w:tcPr>
          <w:p>
            <w:pPr>
              <w:spacing w:line="300" w:lineRule="exact"/>
              <w:jc w:val="left"/>
              <w:rPr>
                <w:rFonts w:ascii="方正书宋_GBK" w:eastAsia="方正书宋_GBK"/>
              </w:rPr>
            </w:pPr>
          </w:p>
        </w:tc>
        <w:tc>
          <w:tcPr>
            <w:tcW w:w="2982" w:type="dxa"/>
            <w:vAlign w:val="center"/>
          </w:tcPr>
          <w:p>
            <w:pPr>
              <w:spacing w:line="300" w:lineRule="exact"/>
              <w:jc w:val="left"/>
              <w:rPr>
                <w:rFonts w:ascii="方正书宋_GBK" w:eastAsia="方正书宋_GBK"/>
              </w:rPr>
            </w:pPr>
          </w:p>
        </w:tc>
        <w:tc>
          <w:tcPr>
            <w:tcW w:w="1095" w:type="dxa"/>
            <w:vAlign w:val="center"/>
          </w:tcPr>
          <w:p>
            <w:pPr>
              <w:spacing w:line="300" w:lineRule="exact"/>
              <w:jc w:val="left"/>
              <w:rPr>
                <w:rFonts w:ascii="方正书宋_GBK" w:eastAsia="方正书宋_GBK"/>
              </w:rPr>
            </w:pPr>
          </w:p>
        </w:tc>
        <w:tc>
          <w:tcPr>
            <w:tcW w:w="600" w:type="dxa"/>
            <w:vAlign w:val="center"/>
          </w:tcPr>
          <w:p>
            <w:pPr>
              <w:spacing w:line="300" w:lineRule="exact"/>
              <w:jc w:val="center"/>
              <w:rPr>
                <w:rFonts w:ascii="方正书宋_GBK" w:eastAsia="方正书宋_GBK"/>
              </w:rPr>
            </w:pPr>
          </w:p>
        </w:tc>
        <w:tc>
          <w:tcPr>
            <w:tcW w:w="701"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825" w:type="dxa"/>
            <w:vAlign w:val="center"/>
          </w:tcPr>
          <w:p>
            <w:pPr>
              <w:spacing w:line="300" w:lineRule="exact"/>
              <w:jc w:val="center"/>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Times New Roman" w:hAnsi="Times New Roman" w:eastAsia="方正仿宋_GBK"/>
          <w:sz w:val="32"/>
          <w:szCs w:val="24"/>
        </w:rPr>
      </w:pPr>
      <w:bookmarkStart w:id="1"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2019</w:t>
      </w:r>
      <w:r>
        <w:rPr>
          <w:rFonts w:hint="eastAsia" w:ascii="Times New Roman" w:hAnsi="Times New Roman" w:eastAsia="方正仿宋_GBK"/>
          <w:sz w:val="32"/>
          <w:szCs w:val="24"/>
        </w:rPr>
        <w:t>年，我部门安排政府采购预算</w:t>
      </w:r>
      <w:r>
        <w:rPr>
          <w:rFonts w:ascii="Times New Roman" w:hAnsi="Times New Roman" w:eastAsia="方正仿宋_GBK"/>
          <w:sz w:val="32"/>
          <w:szCs w:val="24"/>
        </w:rPr>
        <w:t>0</w:t>
      </w:r>
      <w:r>
        <w:rPr>
          <w:rFonts w:hint="eastAsia" w:ascii="Times New Roman" w:hAnsi="Times New Roman" w:eastAsia="方正仿宋_GBK"/>
          <w:sz w:val="32"/>
          <w:szCs w:val="24"/>
        </w:rPr>
        <w:t>万元。</w:t>
      </w:r>
    </w:p>
    <w:bookmarkEnd w:id="1"/>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本部门上年末固定资产金额为</w:t>
      </w:r>
      <w:r>
        <w:rPr>
          <w:rFonts w:ascii="仿宋_GB2312" w:hAnsi="黑体" w:eastAsia="仿宋_GB2312" w:cs="仿宋_GB2312"/>
          <w:sz w:val="32"/>
          <w:szCs w:val="32"/>
        </w:rPr>
        <w:t>0</w:t>
      </w:r>
      <w:r>
        <w:rPr>
          <w:rFonts w:hint="eastAsia" w:ascii="仿宋_GB2312" w:hAnsi="黑体" w:eastAsia="仿宋_GB2312" w:cs="仿宋_GB2312"/>
          <w:sz w:val="32"/>
          <w:szCs w:val="32"/>
        </w:rPr>
        <w:t>万元（详见下表）。本年度无拟购置固定资产。</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宋体"/>
                <w:b/>
                <w:bCs/>
                <w:kern w:val="0"/>
                <w:sz w:val="32"/>
                <w:szCs w:val="32"/>
                <w:highlight w:val="yellow"/>
              </w:rPr>
            </w:pP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宋体"/>
                <w:color w:val="000000"/>
                <w:kern w:val="0"/>
                <w:sz w:val="22"/>
                <w:highlight w:val="yellow"/>
              </w:rPr>
            </w:pPr>
            <w:r>
              <w:rPr>
                <w:rFonts w:hint="eastAsia" w:ascii="宋体"/>
                <w:kern w:val="0"/>
                <w:sz w:val="22"/>
              </w:rPr>
              <w:t>编制部门：威县总工会</w:t>
            </w:r>
          </w:p>
        </w:tc>
        <w:tc>
          <w:tcPr>
            <w:tcW w:w="5103" w:type="dxa"/>
            <w:tcBorders>
              <w:top w:val="nil"/>
              <w:left w:val="nil"/>
              <w:bottom w:val="nil"/>
              <w:right w:val="nil"/>
            </w:tcBorders>
            <w:noWrap/>
            <w:vAlign w:val="center"/>
          </w:tcPr>
          <w:p>
            <w:pPr>
              <w:widowControl/>
              <w:ind w:firstLine="1760" w:firstLineChars="800"/>
              <w:jc w:val="left"/>
              <w:rPr>
                <w:rFonts w:ascii="宋体" w:cs="宋体"/>
                <w:kern w:val="0"/>
                <w:sz w:val="22"/>
                <w:highlight w:val="yellow"/>
              </w:rPr>
            </w:pPr>
            <w:r>
              <w:rPr>
                <w:rFonts w:hint="eastAsia" w:ascii="宋体" w:hAnsi="宋体" w:cs="宋体"/>
                <w:kern w:val="0"/>
                <w:sz w:val="22"/>
              </w:rPr>
              <w:t>截止时间：</w:t>
            </w:r>
            <w:r>
              <w:rPr>
                <w:rFonts w:ascii="宋体" w:hAnsi="宋体" w:cs="宋体"/>
                <w:kern w:val="0"/>
                <w:sz w:val="22"/>
              </w:rPr>
              <w:t>2018</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2"/>
                <w:highlight w:val="yellow"/>
              </w:rPr>
            </w:pPr>
            <w:r>
              <w:rPr>
                <w:rFonts w:ascii="Times New Roman" w:hAnsi="Times New Roman"/>
                <w:kern w:val="0"/>
                <w:sz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2"/>
                <w:highlight w:val="yellow"/>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c>
          <w:tcPr>
            <w:tcW w:w="5103"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c>
          <w:tcPr>
            <w:tcW w:w="5103"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c>
          <w:tcPr>
            <w:tcW w:w="5103"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c>
          <w:tcPr>
            <w:tcW w:w="5103"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ign w:val="center"/>
          </w:tcPr>
          <w:p>
            <w:pPr>
              <w:jc w:val="center"/>
              <w:rPr>
                <w:rFonts w:ascii="Times New Roman" w:hAnsi="Times New Roman"/>
                <w:sz w:val="22"/>
                <w:highlight w:val="yellow"/>
              </w:rPr>
            </w:pPr>
          </w:p>
        </w:tc>
        <w:tc>
          <w:tcPr>
            <w:tcW w:w="5103" w:type="dxa"/>
            <w:tcBorders>
              <w:top w:val="nil"/>
              <w:left w:val="nil"/>
              <w:bottom w:val="single" w:color="auto" w:sz="4" w:space="0"/>
              <w:right w:val="single" w:color="auto" w:sz="4" w:space="0"/>
            </w:tcBorders>
            <w:noWrap/>
            <w:vAlign w:val="center"/>
          </w:tcPr>
          <w:p>
            <w:pPr>
              <w:jc w:val="center"/>
              <w:rPr>
                <w:rFonts w:ascii="Times New Roman" w:hAnsi="Times New Roman"/>
                <w:sz w:val="22"/>
              </w:rPr>
            </w:pP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Times New Roman" w:hAnsi="Times New Roman" w:eastAsia="方正仿宋_GBK"/>
          <w:sz w:val="32"/>
          <w:szCs w:val="32"/>
        </w:rPr>
        <w:t>指县级财政当年拨付的资金。</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Times New Roman" w:hAnsi="Times New Roman" w:eastAsia="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b/>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Times New Roman" w:hAnsi="Times New Roman" w:eastAsia="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Times New Roman" w:hAnsi="Times New Roman" w:eastAsia="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Times New Roman" w:hAnsi="Times New Roman" w:eastAsia="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Times New Roman" w:hAnsi="Times New Roman" w:eastAsia="方正仿宋_GBK"/>
          <w:sz w:val="32"/>
          <w:szCs w:val="32"/>
        </w:rPr>
        <w:t>纳入省级财政预算管理的</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Times New Roman" w:hAnsi="Times New Roman"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Times New Roman" w:hAnsi="Times New Roman" w:eastAsia="方正仿宋_GBK"/>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26DB"/>
    <w:rsid w:val="00034786"/>
    <w:rsid w:val="00037AF6"/>
    <w:rsid w:val="00042F57"/>
    <w:rsid w:val="0006483E"/>
    <w:rsid w:val="00075D5F"/>
    <w:rsid w:val="0008102F"/>
    <w:rsid w:val="000B020B"/>
    <w:rsid w:val="000B529B"/>
    <w:rsid w:val="000C3A19"/>
    <w:rsid w:val="001245BB"/>
    <w:rsid w:val="001251A3"/>
    <w:rsid w:val="001427EB"/>
    <w:rsid w:val="001853ED"/>
    <w:rsid w:val="0019275C"/>
    <w:rsid w:val="00193383"/>
    <w:rsid w:val="001B4EF3"/>
    <w:rsid w:val="001F7873"/>
    <w:rsid w:val="00241FD4"/>
    <w:rsid w:val="00251B12"/>
    <w:rsid w:val="0028229E"/>
    <w:rsid w:val="00296113"/>
    <w:rsid w:val="002A673A"/>
    <w:rsid w:val="002C07BE"/>
    <w:rsid w:val="002C3600"/>
    <w:rsid w:val="002C5E13"/>
    <w:rsid w:val="002C62BC"/>
    <w:rsid w:val="002E0C44"/>
    <w:rsid w:val="002E0EB8"/>
    <w:rsid w:val="002F3E58"/>
    <w:rsid w:val="0030542C"/>
    <w:rsid w:val="00311B7A"/>
    <w:rsid w:val="0031427C"/>
    <w:rsid w:val="00372FA3"/>
    <w:rsid w:val="0039575F"/>
    <w:rsid w:val="003D417F"/>
    <w:rsid w:val="003F60E9"/>
    <w:rsid w:val="00410CFA"/>
    <w:rsid w:val="004248B8"/>
    <w:rsid w:val="00424943"/>
    <w:rsid w:val="0043175C"/>
    <w:rsid w:val="00437296"/>
    <w:rsid w:val="00451590"/>
    <w:rsid w:val="00451871"/>
    <w:rsid w:val="004631FC"/>
    <w:rsid w:val="004706DE"/>
    <w:rsid w:val="00472923"/>
    <w:rsid w:val="00473575"/>
    <w:rsid w:val="0048053F"/>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6F11CF"/>
    <w:rsid w:val="007013C8"/>
    <w:rsid w:val="00717B1E"/>
    <w:rsid w:val="00753836"/>
    <w:rsid w:val="0075393C"/>
    <w:rsid w:val="00754592"/>
    <w:rsid w:val="00776C08"/>
    <w:rsid w:val="007B4AEB"/>
    <w:rsid w:val="007C219A"/>
    <w:rsid w:val="007E1DA8"/>
    <w:rsid w:val="007E329E"/>
    <w:rsid w:val="007F6C26"/>
    <w:rsid w:val="00813208"/>
    <w:rsid w:val="008334AE"/>
    <w:rsid w:val="00836FED"/>
    <w:rsid w:val="0083724E"/>
    <w:rsid w:val="00845CD2"/>
    <w:rsid w:val="00852B0D"/>
    <w:rsid w:val="00871D69"/>
    <w:rsid w:val="00881692"/>
    <w:rsid w:val="00883D1A"/>
    <w:rsid w:val="00884E5F"/>
    <w:rsid w:val="008A25C2"/>
    <w:rsid w:val="008A6576"/>
    <w:rsid w:val="008B3CC5"/>
    <w:rsid w:val="008B52CD"/>
    <w:rsid w:val="008B53A2"/>
    <w:rsid w:val="008E4261"/>
    <w:rsid w:val="008F4662"/>
    <w:rsid w:val="00905D08"/>
    <w:rsid w:val="009252EF"/>
    <w:rsid w:val="00925753"/>
    <w:rsid w:val="009425F4"/>
    <w:rsid w:val="00966C5C"/>
    <w:rsid w:val="00973104"/>
    <w:rsid w:val="00994032"/>
    <w:rsid w:val="00995BF0"/>
    <w:rsid w:val="009A16D5"/>
    <w:rsid w:val="009A353D"/>
    <w:rsid w:val="009A447F"/>
    <w:rsid w:val="009B0B77"/>
    <w:rsid w:val="009B511E"/>
    <w:rsid w:val="009E58E4"/>
    <w:rsid w:val="00A3595B"/>
    <w:rsid w:val="00A44E3D"/>
    <w:rsid w:val="00A65EEE"/>
    <w:rsid w:val="00A72D2E"/>
    <w:rsid w:val="00A74447"/>
    <w:rsid w:val="00A74CE5"/>
    <w:rsid w:val="00A911E7"/>
    <w:rsid w:val="00A939D9"/>
    <w:rsid w:val="00AB1F23"/>
    <w:rsid w:val="00AE36A0"/>
    <w:rsid w:val="00B04DDA"/>
    <w:rsid w:val="00B07D9E"/>
    <w:rsid w:val="00B20712"/>
    <w:rsid w:val="00B43238"/>
    <w:rsid w:val="00B45DD3"/>
    <w:rsid w:val="00B52632"/>
    <w:rsid w:val="00B54F60"/>
    <w:rsid w:val="00B727A9"/>
    <w:rsid w:val="00B75216"/>
    <w:rsid w:val="00B8445E"/>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4E1B1F9B"/>
    <w:rsid w:val="4F974D7B"/>
    <w:rsid w:val="663B4996"/>
    <w:rsid w:val="740A7785"/>
    <w:rsid w:val="783C1F3C"/>
    <w:rsid w:val="7A3A3B76"/>
    <w:rsid w:val="7E9927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footnote text"/>
    <w:basedOn w:val="1"/>
    <w:link w:val="17"/>
    <w:semiHidden/>
    <w:qFormat/>
    <w:uiPriority w:val="99"/>
    <w:pPr>
      <w:snapToGrid w:val="0"/>
      <w:jc w:val="left"/>
    </w:pPr>
    <w:rPr>
      <w:sz w:val="18"/>
      <w:szCs w:val="18"/>
    </w:rPr>
  </w:style>
  <w:style w:type="paragraph" w:styleId="7">
    <w:name w:val="toc 2"/>
    <w:basedOn w:val="1"/>
    <w:next w:val="1"/>
    <w:uiPriority w:val="99"/>
    <w:pPr>
      <w:ind w:left="420" w:leftChars="200"/>
    </w:pPr>
    <w:rPr>
      <w:rFonts w:ascii="Times New Roman" w:hAnsi="Times New Roman"/>
      <w:szCs w:val="24"/>
    </w:rPr>
  </w:style>
  <w:style w:type="character" w:styleId="10">
    <w:name w:val="page number"/>
    <w:semiHidden/>
    <w:qFormat/>
    <w:uiPriority w:val="99"/>
    <w:rPr>
      <w:rFonts w:cs="Times New Roman"/>
    </w:rPr>
  </w:style>
  <w:style w:type="character" w:styleId="11">
    <w:name w:val="Hyperlink"/>
    <w:qFormat/>
    <w:uiPriority w:val="99"/>
    <w:rPr>
      <w:rFonts w:cs="Times New Roman"/>
      <w:color w:val="0000FF"/>
      <w:u w:val="single"/>
    </w:rPr>
  </w:style>
  <w:style w:type="character" w:styleId="12">
    <w:name w:val="footnote reference"/>
    <w:semiHidden/>
    <w:qFormat/>
    <w:uiPriority w:val="99"/>
    <w:rPr>
      <w:rFonts w:cs="Times New Roman"/>
      <w:vertAlign w:val="superscript"/>
    </w:rPr>
  </w:style>
  <w:style w:type="character" w:customStyle="1" w:styleId="13">
    <w:name w:val="页眉 Char"/>
    <w:link w:val="4"/>
    <w:qFormat/>
    <w:locked/>
    <w:uiPriority w:val="99"/>
    <w:rPr>
      <w:rFonts w:ascii="Times New Roman" w:hAnsi="Times New Roman" w:eastAsia="宋体" w:cs="Times New Roman"/>
      <w:sz w:val="18"/>
      <w:szCs w:val="18"/>
    </w:rPr>
  </w:style>
  <w:style w:type="character" w:customStyle="1" w:styleId="14">
    <w:name w:val="页脚 Char"/>
    <w:link w:val="3"/>
    <w:qFormat/>
    <w:locked/>
    <w:uiPriority w:val="99"/>
    <w:rPr>
      <w:rFonts w:ascii="Times New Roman" w:hAnsi="Times New Roman" w:eastAsia="宋体" w:cs="Times New Roman"/>
      <w:sz w:val="18"/>
      <w:szCs w:val="18"/>
    </w:rPr>
  </w:style>
  <w:style w:type="character" w:customStyle="1" w:styleId="15">
    <w:name w:val="批注框文本 Char"/>
    <w:link w:val="2"/>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link w:val="6"/>
    <w:semiHidden/>
    <w:qFormat/>
    <w:locked/>
    <w:uiPriority w:val="99"/>
    <w:rPr>
      <w:rFonts w:ascii="Calibri" w:hAnsi="Calibri" w:eastAsia="宋体" w:cs="Times New Roman"/>
      <w:sz w:val="18"/>
      <w:szCs w:val="18"/>
    </w:rPr>
  </w:style>
  <w:style w:type="paragraph" w:customStyle="1" w:styleId="1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19">
    <w:name w:val="p16"/>
    <w:basedOn w:val="1"/>
    <w:qFormat/>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622</Words>
  <Characters>3546</Characters>
  <Lines>29</Lines>
  <Paragraphs>8</Paragraphs>
  <TotalTime>1</TotalTime>
  <ScaleCrop>false</ScaleCrop>
  <LinksUpToDate>false</LinksUpToDate>
  <CharactersWithSpaces>4160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2019-02-21T08:58:00Z</dcterms:created>
  <dc:creator>guest</dc:creator>
  <cp:lastModifiedBy>冯长刚</cp:lastModifiedBy>
  <cp:lastPrinted>2017-11-09T01:12:00Z</cp:lastPrinted>
  <dcterms:modified xsi:type="dcterms:W3CDTF">2021-05-19T01:01:43Z</dcterms:modified>
  <dc:title>威县总工会2019年部门预算信息公开情况说明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