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bookmarkStart w:id="18" w:name="_GoBack"/>
      <w:bookmarkEnd w:id="18"/>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2999073.00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2999073.00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2999073.00</w:t>
            </w:r>
          </w:p>
        </w:tc>
        <w:tc>
          <w:tcPr>
            <w:tcW w:w="4535" w:type="dxa"/>
            <w:vAlign w:val="center"/>
          </w:tcPr>
          <w:p>
            <w:pPr>
              <w:pStyle w:val="16"/>
            </w:pPr>
            <w:r>
              <w:t>本年支出合计</w:t>
            </w:r>
          </w:p>
        </w:tc>
        <w:tc>
          <w:tcPr>
            <w:tcW w:w="2126" w:type="dxa"/>
            <w:vAlign w:val="center"/>
          </w:tcPr>
          <w:p>
            <w:pPr>
              <w:pStyle w:val="17"/>
            </w:pPr>
            <w:r>
              <w:t>2999073.00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2999073.00</w:t>
            </w:r>
          </w:p>
        </w:tc>
        <w:tc>
          <w:tcPr>
            <w:tcW w:w="4535" w:type="dxa"/>
            <w:vAlign w:val="center"/>
          </w:tcPr>
          <w:p>
            <w:pPr>
              <w:pStyle w:val="16"/>
            </w:pPr>
            <w:r>
              <w:t>支出总计</w:t>
            </w:r>
          </w:p>
        </w:tc>
        <w:tc>
          <w:tcPr>
            <w:tcW w:w="2126" w:type="dxa"/>
            <w:vAlign w:val="center"/>
          </w:tcPr>
          <w:p>
            <w:pPr>
              <w:pStyle w:val="17"/>
            </w:pPr>
            <w:r>
              <w:t>2999073.00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2999073.00</w:t>
            </w:r>
          </w:p>
        </w:tc>
        <w:tc>
          <w:tcPr>
            <w:tcW w:w="1134" w:type="dxa"/>
            <w:vAlign w:val="center"/>
          </w:tcPr>
          <w:p>
            <w:pPr>
              <w:pStyle w:val="17"/>
            </w:pPr>
            <w:r>
              <w:t>2999073.00</w:t>
            </w:r>
          </w:p>
        </w:tc>
        <w:tc>
          <w:tcPr>
            <w:tcW w:w="1134" w:type="dxa"/>
            <w:vAlign w:val="center"/>
          </w:tcPr>
          <w:p>
            <w:pPr>
              <w:pStyle w:val="17"/>
            </w:pPr>
            <w:r>
              <w:t>2999073.00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2257473.00</w:t>
            </w:r>
          </w:p>
        </w:tc>
        <w:tc>
          <w:tcPr>
            <w:tcW w:w="1134" w:type="dxa"/>
            <w:vAlign w:val="center"/>
          </w:tcPr>
          <w:p>
            <w:pPr>
              <w:pStyle w:val="13"/>
            </w:pPr>
            <w:r>
              <w:t>2257473.00</w:t>
            </w:r>
          </w:p>
        </w:tc>
        <w:tc>
          <w:tcPr>
            <w:tcW w:w="1134" w:type="dxa"/>
            <w:vAlign w:val="center"/>
          </w:tcPr>
          <w:p>
            <w:pPr>
              <w:pStyle w:val="13"/>
            </w:pPr>
            <w:r>
              <w:t>2257473.00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741600.00</w:t>
            </w:r>
          </w:p>
        </w:tc>
        <w:tc>
          <w:tcPr>
            <w:tcW w:w="1134" w:type="dxa"/>
            <w:vAlign w:val="center"/>
          </w:tcPr>
          <w:p>
            <w:pPr>
              <w:pStyle w:val="13"/>
            </w:pPr>
            <w:r>
              <w:t>741600.00</w:t>
            </w:r>
          </w:p>
        </w:tc>
        <w:tc>
          <w:tcPr>
            <w:tcW w:w="1134" w:type="dxa"/>
            <w:vAlign w:val="center"/>
          </w:tcPr>
          <w:p>
            <w:pPr>
              <w:pStyle w:val="13"/>
            </w:pPr>
            <w:r>
              <w:t>741600.00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2999073.00</w:t>
            </w:r>
          </w:p>
        </w:tc>
        <w:tc>
          <w:tcPr>
            <w:tcW w:w="1361" w:type="dxa"/>
            <w:vAlign w:val="center"/>
          </w:tcPr>
          <w:p>
            <w:pPr>
              <w:pStyle w:val="17"/>
            </w:pPr>
            <w:r>
              <w:t>2397873.00</w:t>
            </w:r>
          </w:p>
        </w:tc>
        <w:tc>
          <w:tcPr>
            <w:tcW w:w="1361" w:type="dxa"/>
            <w:vAlign w:val="center"/>
          </w:tcPr>
          <w:p>
            <w:pPr>
              <w:pStyle w:val="17"/>
            </w:pPr>
            <w:r>
              <w:t>601200.00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2999073.00</w:t>
            </w:r>
          </w:p>
        </w:tc>
        <w:tc>
          <w:tcPr>
            <w:tcW w:w="1361" w:type="dxa"/>
            <w:vAlign w:val="center"/>
          </w:tcPr>
          <w:p>
            <w:pPr>
              <w:pStyle w:val="13"/>
            </w:pPr>
            <w:r>
              <w:t>2397873.00</w:t>
            </w:r>
          </w:p>
        </w:tc>
        <w:tc>
          <w:tcPr>
            <w:tcW w:w="1361" w:type="dxa"/>
            <w:vAlign w:val="center"/>
          </w:tcPr>
          <w:p>
            <w:pPr>
              <w:pStyle w:val="13"/>
            </w:pPr>
            <w:r>
              <w:t>601200.00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2999073.00</w:t>
            </w:r>
          </w:p>
        </w:tc>
        <w:tc>
          <w:tcPr>
            <w:tcW w:w="1361" w:type="dxa"/>
            <w:vAlign w:val="center"/>
          </w:tcPr>
          <w:p>
            <w:pPr>
              <w:pStyle w:val="13"/>
            </w:pPr>
            <w:r>
              <w:t>2397873.00</w:t>
            </w:r>
          </w:p>
        </w:tc>
        <w:tc>
          <w:tcPr>
            <w:tcW w:w="1361" w:type="dxa"/>
            <w:vAlign w:val="center"/>
          </w:tcPr>
          <w:p>
            <w:pPr>
              <w:pStyle w:val="13"/>
            </w:pPr>
            <w:r>
              <w:t>601200.00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2257473.00</w:t>
            </w:r>
          </w:p>
        </w:tc>
        <w:tc>
          <w:tcPr>
            <w:tcW w:w="1361" w:type="dxa"/>
            <w:vAlign w:val="center"/>
          </w:tcPr>
          <w:p>
            <w:pPr>
              <w:pStyle w:val="13"/>
            </w:pPr>
            <w:r>
              <w:t>2237473.00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741600.00</w:t>
            </w:r>
          </w:p>
        </w:tc>
        <w:tc>
          <w:tcPr>
            <w:tcW w:w="1361" w:type="dxa"/>
            <w:vAlign w:val="center"/>
          </w:tcPr>
          <w:p>
            <w:pPr>
              <w:pStyle w:val="13"/>
            </w:pPr>
            <w:r>
              <w:t>160400.00</w:t>
            </w:r>
          </w:p>
        </w:tc>
        <w:tc>
          <w:tcPr>
            <w:tcW w:w="1361" w:type="dxa"/>
            <w:vAlign w:val="center"/>
          </w:tcPr>
          <w:p>
            <w:pPr>
              <w:pStyle w:val="13"/>
            </w:pPr>
            <w:r>
              <w:t>581200.00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2999073.00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2999073.00</w:t>
            </w:r>
          </w:p>
        </w:tc>
        <w:tc>
          <w:tcPr>
            <w:tcW w:w="1474" w:type="dxa"/>
            <w:vAlign w:val="center"/>
          </w:tcPr>
          <w:p>
            <w:pPr>
              <w:pStyle w:val="13"/>
            </w:pPr>
            <w:r>
              <w:t>2999073.00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2999073.00</w:t>
            </w:r>
          </w:p>
        </w:tc>
        <w:tc>
          <w:tcPr>
            <w:tcW w:w="3402" w:type="dxa"/>
            <w:vAlign w:val="center"/>
          </w:tcPr>
          <w:p>
            <w:pPr>
              <w:pStyle w:val="16"/>
            </w:pPr>
            <w:r>
              <w:t>本年支出合计</w:t>
            </w:r>
          </w:p>
        </w:tc>
        <w:tc>
          <w:tcPr>
            <w:tcW w:w="1474" w:type="dxa"/>
            <w:vAlign w:val="center"/>
          </w:tcPr>
          <w:p>
            <w:pPr>
              <w:pStyle w:val="17"/>
            </w:pPr>
            <w:r>
              <w:t>2999073.00</w:t>
            </w:r>
          </w:p>
        </w:tc>
        <w:tc>
          <w:tcPr>
            <w:tcW w:w="1474" w:type="dxa"/>
            <w:vAlign w:val="center"/>
          </w:tcPr>
          <w:p>
            <w:pPr>
              <w:pStyle w:val="17"/>
            </w:pPr>
            <w:r>
              <w:t>2999073.00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2999073.00</w:t>
            </w:r>
          </w:p>
        </w:tc>
        <w:tc>
          <w:tcPr>
            <w:tcW w:w="3402" w:type="dxa"/>
            <w:vAlign w:val="center"/>
          </w:tcPr>
          <w:p>
            <w:pPr>
              <w:pStyle w:val="16"/>
            </w:pPr>
            <w:r>
              <w:t>支出总计</w:t>
            </w:r>
          </w:p>
        </w:tc>
        <w:tc>
          <w:tcPr>
            <w:tcW w:w="1474" w:type="dxa"/>
            <w:vAlign w:val="center"/>
          </w:tcPr>
          <w:p>
            <w:pPr>
              <w:pStyle w:val="17"/>
            </w:pPr>
            <w:r>
              <w:t>2999073.00</w:t>
            </w:r>
          </w:p>
        </w:tc>
        <w:tc>
          <w:tcPr>
            <w:tcW w:w="1474" w:type="dxa"/>
            <w:vAlign w:val="center"/>
          </w:tcPr>
          <w:p>
            <w:pPr>
              <w:pStyle w:val="17"/>
            </w:pPr>
            <w:r>
              <w:t>2999073.00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2999073.00</w:t>
            </w:r>
          </w:p>
        </w:tc>
        <w:tc>
          <w:tcPr>
            <w:tcW w:w="2551" w:type="dxa"/>
            <w:vAlign w:val="center"/>
          </w:tcPr>
          <w:p>
            <w:pPr>
              <w:pStyle w:val="17"/>
            </w:pPr>
            <w:r>
              <w:t>2397873.00</w:t>
            </w:r>
          </w:p>
        </w:tc>
        <w:tc>
          <w:tcPr>
            <w:tcW w:w="2551" w:type="dxa"/>
            <w:vAlign w:val="center"/>
          </w:tcPr>
          <w:p>
            <w:pPr>
              <w:pStyle w:val="17"/>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2999073.00</w:t>
            </w:r>
          </w:p>
        </w:tc>
        <w:tc>
          <w:tcPr>
            <w:tcW w:w="2551" w:type="dxa"/>
            <w:vAlign w:val="center"/>
          </w:tcPr>
          <w:p>
            <w:pPr>
              <w:pStyle w:val="13"/>
            </w:pPr>
            <w:r>
              <w:t>2397873.00</w:t>
            </w:r>
          </w:p>
        </w:tc>
        <w:tc>
          <w:tcPr>
            <w:tcW w:w="2551" w:type="dxa"/>
            <w:vAlign w:val="center"/>
          </w:tcPr>
          <w:p>
            <w:pPr>
              <w:pStyle w:val="13"/>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2999073.00</w:t>
            </w:r>
          </w:p>
        </w:tc>
        <w:tc>
          <w:tcPr>
            <w:tcW w:w="2551" w:type="dxa"/>
            <w:vAlign w:val="center"/>
          </w:tcPr>
          <w:p>
            <w:pPr>
              <w:pStyle w:val="13"/>
            </w:pPr>
            <w:r>
              <w:t>2397873.00</w:t>
            </w:r>
          </w:p>
        </w:tc>
        <w:tc>
          <w:tcPr>
            <w:tcW w:w="2551" w:type="dxa"/>
            <w:vAlign w:val="center"/>
          </w:tcPr>
          <w:p>
            <w:pPr>
              <w:pStyle w:val="13"/>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2257473.00</w:t>
            </w:r>
          </w:p>
        </w:tc>
        <w:tc>
          <w:tcPr>
            <w:tcW w:w="2551" w:type="dxa"/>
            <w:vAlign w:val="center"/>
          </w:tcPr>
          <w:p>
            <w:pPr>
              <w:pStyle w:val="13"/>
            </w:pPr>
            <w:r>
              <w:t>2237473.00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741600.00</w:t>
            </w:r>
          </w:p>
        </w:tc>
        <w:tc>
          <w:tcPr>
            <w:tcW w:w="2551" w:type="dxa"/>
            <w:vAlign w:val="center"/>
          </w:tcPr>
          <w:p>
            <w:pPr>
              <w:pStyle w:val="13"/>
            </w:pPr>
            <w:r>
              <w:t>160400.00</w:t>
            </w:r>
          </w:p>
        </w:tc>
        <w:tc>
          <w:tcPr>
            <w:tcW w:w="2551" w:type="dxa"/>
            <w:vAlign w:val="center"/>
          </w:tcPr>
          <w:p>
            <w:pPr>
              <w:pStyle w:val="13"/>
            </w:pPr>
            <w:r>
              <w:t>581200.00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2397873.00</w:t>
            </w:r>
          </w:p>
        </w:tc>
        <w:tc>
          <w:tcPr>
            <w:tcW w:w="2551" w:type="dxa"/>
            <w:vAlign w:val="center"/>
          </w:tcPr>
          <w:p>
            <w:pPr>
              <w:pStyle w:val="17"/>
            </w:pPr>
            <w:r>
              <w:t>2237473.00</w:t>
            </w:r>
          </w:p>
        </w:tc>
        <w:tc>
          <w:tcPr>
            <w:tcW w:w="2551" w:type="dxa"/>
            <w:vAlign w:val="center"/>
          </w:tcPr>
          <w:p>
            <w:pPr>
              <w:pStyle w:val="17"/>
            </w:pPr>
            <w:r>
              <w:t>160400.00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2173897.00</w:t>
            </w:r>
          </w:p>
        </w:tc>
        <w:tc>
          <w:tcPr>
            <w:tcW w:w="2551" w:type="dxa"/>
            <w:vAlign w:val="center"/>
          </w:tcPr>
          <w:p>
            <w:pPr>
              <w:pStyle w:val="13"/>
            </w:pPr>
            <w:r>
              <w:t>2173897.00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920112.00</w:t>
            </w:r>
          </w:p>
        </w:tc>
        <w:tc>
          <w:tcPr>
            <w:tcW w:w="2551" w:type="dxa"/>
            <w:vAlign w:val="center"/>
          </w:tcPr>
          <w:p>
            <w:pPr>
              <w:pStyle w:val="13"/>
            </w:pPr>
            <w:r>
              <w:t>920112.00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507780.00</w:t>
            </w:r>
          </w:p>
        </w:tc>
        <w:tc>
          <w:tcPr>
            <w:tcW w:w="2551" w:type="dxa"/>
            <w:vAlign w:val="center"/>
          </w:tcPr>
          <w:p>
            <w:pPr>
              <w:pStyle w:val="13"/>
            </w:pPr>
            <w:r>
              <w:t>507780.00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51768.00</w:t>
            </w:r>
          </w:p>
        </w:tc>
        <w:tc>
          <w:tcPr>
            <w:tcW w:w="2551" w:type="dxa"/>
            <w:vAlign w:val="center"/>
          </w:tcPr>
          <w:p>
            <w:pPr>
              <w:pStyle w:val="13"/>
            </w:pPr>
            <w:r>
              <w:t>51768.00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46308.00</w:t>
            </w:r>
          </w:p>
        </w:tc>
        <w:tc>
          <w:tcPr>
            <w:tcW w:w="2551" w:type="dxa"/>
            <w:vAlign w:val="center"/>
          </w:tcPr>
          <w:p>
            <w:pPr>
              <w:pStyle w:val="13"/>
            </w:pPr>
            <w:r>
              <w:t>46308.00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205825.00</w:t>
            </w:r>
          </w:p>
        </w:tc>
        <w:tc>
          <w:tcPr>
            <w:tcW w:w="2551" w:type="dxa"/>
            <w:vAlign w:val="center"/>
          </w:tcPr>
          <w:p>
            <w:pPr>
              <w:pStyle w:val="13"/>
            </w:pPr>
            <w:r>
              <w:t>205825.00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11442.00</w:t>
            </w:r>
          </w:p>
        </w:tc>
        <w:tc>
          <w:tcPr>
            <w:tcW w:w="2551" w:type="dxa"/>
            <w:vAlign w:val="center"/>
          </w:tcPr>
          <w:p>
            <w:pPr>
              <w:pStyle w:val="13"/>
            </w:pPr>
            <w:r>
              <w:t>11442.00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103866.00</w:t>
            </w:r>
          </w:p>
        </w:tc>
        <w:tc>
          <w:tcPr>
            <w:tcW w:w="2551" w:type="dxa"/>
            <w:vAlign w:val="center"/>
          </w:tcPr>
          <w:p>
            <w:pPr>
              <w:pStyle w:val="13"/>
            </w:pPr>
            <w:r>
              <w:t>103866.00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1717.00</w:t>
            </w:r>
          </w:p>
        </w:tc>
        <w:tc>
          <w:tcPr>
            <w:tcW w:w="2551" w:type="dxa"/>
            <w:vAlign w:val="center"/>
          </w:tcPr>
          <w:p>
            <w:pPr>
              <w:pStyle w:val="13"/>
            </w:pPr>
            <w:r>
              <w:t>1717.00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167227.00</w:t>
            </w:r>
          </w:p>
        </w:tc>
        <w:tc>
          <w:tcPr>
            <w:tcW w:w="2551" w:type="dxa"/>
            <w:vAlign w:val="center"/>
          </w:tcPr>
          <w:p>
            <w:pPr>
              <w:pStyle w:val="13"/>
            </w:pPr>
            <w:r>
              <w:t>167227.00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157852.00</w:t>
            </w:r>
          </w:p>
        </w:tc>
        <w:tc>
          <w:tcPr>
            <w:tcW w:w="2551" w:type="dxa"/>
            <w:vAlign w:val="center"/>
          </w:tcPr>
          <w:p>
            <w:pPr>
              <w:pStyle w:val="13"/>
            </w:pPr>
            <w:r>
              <w:t>157852.00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150400.00</w:t>
            </w:r>
          </w:p>
        </w:tc>
        <w:tc>
          <w:tcPr>
            <w:tcW w:w="2551" w:type="dxa"/>
            <w:vAlign w:val="center"/>
          </w:tcPr>
          <w:p>
            <w:pPr>
              <w:pStyle w:val="13"/>
            </w:pPr>
          </w:p>
        </w:tc>
        <w:tc>
          <w:tcPr>
            <w:tcW w:w="2551" w:type="dxa"/>
            <w:vAlign w:val="center"/>
          </w:tcPr>
          <w:p>
            <w:pPr>
              <w:pStyle w:val="13"/>
            </w:pPr>
            <w:r>
              <w:t>150400.00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89400.00</w:t>
            </w:r>
          </w:p>
        </w:tc>
        <w:tc>
          <w:tcPr>
            <w:tcW w:w="2551" w:type="dxa"/>
            <w:vAlign w:val="center"/>
          </w:tcPr>
          <w:p>
            <w:pPr>
              <w:pStyle w:val="13"/>
            </w:pPr>
          </w:p>
        </w:tc>
        <w:tc>
          <w:tcPr>
            <w:tcW w:w="2551" w:type="dxa"/>
            <w:vAlign w:val="center"/>
          </w:tcPr>
          <w:p>
            <w:pPr>
              <w:pStyle w:val="13"/>
            </w:pPr>
            <w:r>
              <w:t>89400.00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63576.00</w:t>
            </w:r>
          </w:p>
        </w:tc>
        <w:tc>
          <w:tcPr>
            <w:tcW w:w="2551" w:type="dxa"/>
            <w:vAlign w:val="center"/>
          </w:tcPr>
          <w:p>
            <w:pPr>
              <w:pStyle w:val="13"/>
            </w:pPr>
            <w:r>
              <w:t>63576.00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30480.00</w:t>
            </w:r>
          </w:p>
        </w:tc>
        <w:tc>
          <w:tcPr>
            <w:tcW w:w="2551" w:type="dxa"/>
            <w:vAlign w:val="center"/>
          </w:tcPr>
          <w:p>
            <w:pPr>
              <w:pStyle w:val="13"/>
            </w:pPr>
            <w:r>
              <w:t>30480.00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33096.00</w:t>
            </w:r>
          </w:p>
        </w:tc>
        <w:tc>
          <w:tcPr>
            <w:tcW w:w="2551" w:type="dxa"/>
            <w:vAlign w:val="center"/>
          </w:tcPr>
          <w:p>
            <w:pPr>
              <w:pStyle w:val="13"/>
            </w:pPr>
            <w:r>
              <w:t>33096.00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中国共产党威县委员会政法委员会2023年部门预算信息公开情况说明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中国共产党威县委员会政法委员会2023年部门预算信息公开情况说明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深入贯彻习近平新时代中国特色社会主义思想，坚持党对政法工作的绝对领导，坚持维护习近平总书记在党中央的核心、全党的核心地位，坚持维护党中央权威和集中统一领导，深入贯彻党路线方针政策及中央和省、市、县委的决策部署，统一全县政法单位思想和行动，确保全县政法单位坚定政治方向。</w:t>
      </w:r>
    </w:p>
    <w:p>
      <w:pPr>
        <w:pStyle w:val="19"/>
      </w:pPr>
      <w:r>
        <w:t>（二）对全县政法工作研究提出全局性部署，推进平安威县、法治威县建设，加强过硬队伍建设，深化智能化建设，坚决维护国家政治安全、确保社会大局稳定、促进社会公开正文、保障人民安居乐业。</w:t>
      </w:r>
    </w:p>
    <w:p>
      <w:pPr>
        <w:pStyle w:val="19"/>
      </w:pPr>
      <w:r>
        <w:t>（三）了解掌握和分析研判政法工作情况动态，分析社会稳定形势，创新完善多部门参与的综治维稳工作机制，协调推动预防、化解影响稳定的社会矛盾和风险，协调应对和处置重大突发事件。</w:t>
      </w:r>
    </w:p>
    <w:p>
      <w:pPr>
        <w:pStyle w:val="19"/>
      </w:pPr>
      <w:r>
        <w:t>（四）加强对政法工作的督查，统筹协调社会治安综合治理、维护社会稳定、反邪教有关法律法规政策的实施工作。</w:t>
      </w:r>
    </w:p>
    <w:p>
      <w:pPr>
        <w:pStyle w:val="19"/>
      </w:pPr>
      <w:r>
        <w:t>（五）组织开展政法领域的调查研究，研究拟订政法工作的重大措施，及时向县委提出建议。</w:t>
      </w:r>
    </w:p>
    <w:p>
      <w:pPr>
        <w:pStyle w:val="19"/>
      </w:pPr>
      <w:r>
        <w:t>（六）掌握分析政法舆情动态，指导协调政法单位媒体网络宣传工作，指导政法单位做好涉及政法工作的重大宣传工作。</w:t>
      </w:r>
    </w:p>
    <w:p>
      <w:pPr>
        <w:pStyle w:val="19"/>
      </w:pPr>
      <w:r>
        <w:t>（七）监督和支持政法单位依法行使职权，指导和协调政法单位密切配合，研究和协调重大、疑难案件，指导政法单位涉法涉诉信访工作，推进严格执法、公正司法。</w:t>
      </w:r>
    </w:p>
    <w:p>
      <w:pPr>
        <w:pStyle w:val="19"/>
      </w:pPr>
      <w:r>
        <w:t>（八）组织研究政法改革中带有方向性、倾向性和普遍性的重大问题，深化政法改革，联系县委全面依法治县委员会办公室。</w:t>
      </w:r>
    </w:p>
    <w:p>
      <w:pPr>
        <w:pStyle w:val="19"/>
      </w:pPr>
      <w:r>
        <w:t>（九）指导推进政法系统党的建设和政法队伍建设，协调和指导全县见义勇为工作，代管市法学会。</w:t>
      </w:r>
    </w:p>
    <w:p>
      <w:pPr>
        <w:pStyle w:val="19"/>
      </w:pPr>
      <w:r>
        <w:t>（十）统筹推进全县政法系统信息化工作，指导政法智能化建设。</w:t>
      </w:r>
    </w:p>
    <w:p>
      <w:pPr>
        <w:pStyle w:val="19"/>
      </w:pPr>
      <w:r>
        <w:t>（十一）完成市委政法委员会和县委交办的其他任务。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部门预算的编制实行综合预算管理，即全部收入和支出都反映在预算中。中国共产党威县委员会政法委员会机关及所属事业单位的收支包含在部门预算中。</w:t>
      </w:r>
    </w:p>
    <w:p>
      <w:pPr>
        <w:pStyle w:val="20"/>
      </w:pPr>
      <w:r>
        <w:t>1、收入说明</w:t>
      </w:r>
    </w:p>
    <w:p>
      <w:pPr>
        <w:pStyle w:val="20"/>
      </w:pPr>
      <w:r>
        <w:t>本部门当年全部收入财政拨款预算收入299.9073万元。其中基本收入239.7873万元，项目收入60.12万元。</w:t>
      </w:r>
    </w:p>
    <w:p>
      <w:pPr>
        <w:pStyle w:val="20"/>
      </w:pPr>
      <w:r>
        <w:t>2、支出说明</w:t>
      </w:r>
    </w:p>
    <w:p>
      <w:pPr>
        <w:pStyle w:val="20"/>
      </w:pPr>
      <w:r>
        <w:t>收支预算总表支出栏、基本支出表、项目支出表按经济分类和支出功能分类科目编制，反映威县县委政法委年度部门预算中支出预算的总体情况。2023年支出预算299.9073万元，全部都是公共安全支出。其中基本支出239.7873万元，主要用于人员经费和日常公用经费。项目支出60.12万元，主要用于专项公用支出。</w:t>
      </w:r>
    </w:p>
    <w:p>
      <w:pPr>
        <w:pStyle w:val="20"/>
      </w:pPr>
      <w:r>
        <w:t>3、比上年增减情况</w:t>
      </w:r>
    </w:p>
    <w:p>
      <w:pPr>
        <w:pStyle w:val="20"/>
      </w:pPr>
      <w:r>
        <w:t>2023年预算收支安排299.9073万元，较2022年预算增加55.83万元，其中：基本支出增加57.83万元，主要原因是人员增加、工资调整；项目支出减少2万元，财政压减预算。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机关运行经费共计安排6.5万元，主要用于办公费等日常运行支出。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0.5万元，其中：未安排因公出国经费，公务用车购置及运维费0.5万元（公务用车购置费为0，公务用车运行费0.5万元)，公务接待费0万元。2、公务用车购置及运维费0.5万元（公务用车购置费为0，公务用车运行费0.5万元)，比2022年无增减变化，与上年预算一致。公务招待费0万元与上年预算一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贯彻党的二十大和中央政法工作会议，坚持党对政法工作的绝对领导，坚持以人民为中心的发展思想，以防控重大风险、维护社会稳定、扫黑除恶专项斗争、市域社会治理现代化工作为重点，深入推进平安威县、法治威县、过硬队伍和智慧政法建设，推进群众安全感提升、司法公信力提升和刑事发案下降、到北京重点地区涉访下降、进京集体访下降、赴省集体访下降，坚持科技引领，大力推进智慧政法建设。深化政法信息化及政法网建设。努力为新时代建设经济强县、美丽威县营造安全的政治环境、稳定的社会环境、公正的法治环境、优质的服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（一）有效防控风险，全力维护社会大局稳定</w:t>
      </w:r>
    </w:p>
    <w:p>
      <w:pPr>
        <w:pStyle w:val="24"/>
      </w:pPr>
      <w:r>
        <w:t>绩效目标：积极申报参加全国市域社会治理现代化第一期试点。整合调解资源，打造矛盾纠纷多元化调解新机制，推进领导干部下访接访和积案清零行动。聚焦重点领域、重点行业、重点部位，在全县不间断开展防范化解重大风险攻坚行动。开展非法集资类案件防治专项行动，妥善处置重大涉众型经济案件。做好全国“两会”及重要节点安全稳定工作，确保我县辖区内安全稳定。加大对邪教组织骨干人员依法打击和教育转化工作力度，确保社会大局稳定。</w:t>
      </w:r>
    </w:p>
    <w:p>
      <w:pPr>
        <w:pStyle w:val="24"/>
      </w:pPr>
      <w:r>
        <w:t>绩效指标：召开全县市域社会治理现代化工作会议，探索创新考核评价体系建设，科学引导，有序推进我县市域社会治理现代化试点工作；对全县特殊利益群体，进行全面核查、动态管理；加大维稳工作力度，确保实现“北京不能去，河北不能聚”的工作目标；深入开展对邪教人员的教育转化工作，确保完成年度转化率不低于 50%的目标。</w:t>
      </w:r>
    </w:p>
    <w:p>
      <w:pPr>
        <w:pStyle w:val="24"/>
      </w:pPr>
      <w:r>
        <w:t>（二）聚焦关键环节，全面加快法治威县建设。</w:t>
      </w:r>
    </w:p>
    <w:p>
      <w:pPr>
        <w:pStyle w:val="24"/>
      </w:pPr>
      <w:r>
        <w:t>绩效目标：坚持法治和德治相结合，大力褒奖善行义举，积极倡导见义勇为行为，推进法治和德治相得益彰。加强法治和执法监督，加大督办、指导、倒查力度，进一步提升我县执法司法质量和水平。</w:t>
      </w:r>
    </w:p>
    <w:p>
      <w:pPr>
        <w:pStyle w:val="24"/>
      </w:pPr>
      <w:r>
        <w:t>绩效指标：培树法治建设先进典型，努力在全社会营造浓厚的法治氛围；对申请国家赔偿、司法救助且符合政策、条件的人员实施100%赔偿、救助；对见义勇为人员依法依规进行表彰奖励；部署实施大要案及信访维稳案件评查工作，及时纠正执法司法错误和办案瑕疵。</w:t>
      </w:r>
    </w:p>
    <w:p>
      <w:pPr>
        <w:pStyle w:val="24"/>
      </w:pPr>
      <w:r>
        <w:t>（三）坚持科技引领，大力推进智慧政法建设。</w:t>
      </w:r>
    </w:p>
    <w:p>
      <w:pPr>
        <w:pStyle w:val="24"/>
      </w:pPr>
      <w:r>
        <w:t>绩效目标：深入推进“雪亮工程”建设，实现联网共享，提高视频监控在指挥调度、信访稳定、应急处突等领域的预测预警预防能力。深入开展政法信息化建设，推进政法四级网扩容改造和县综治中心规范化建设，不断提升我县政法综治维稳工作信息化、智能化水平。</w:t>
      </w:r>
    </w:p>
    <w:p>
      <w:pPr>
        <w:pStyle w:val="24"/>
      </w:pPr>
      <w:r>
        <w:t>绩效指标：按照合同约定，按时支付“县乡村综治视联网”建设，提升工作质量。抓实建强我县政法门户网站宣传平台，及时宣传我县在政法领域取得的新经验、新成绩、新典型，不断弘扬政法正能量，扩大政法工作的社会影响力。</w:t>
      </w:r>
    </w:p>
    <w:p>
      <w:pPr>
        <w:pStyle w:val="24"/>
      </w:pPr>
      <w:r>
        <w:t>（四）突出政治引领，努力打造过硬政法队伍。</w:t>
      </w:r>
    </w:p>
    <w:p>
      <w:pPr>
        <w:pStyle w:val="24"/>
      </w:pPr>
      <w:r>
        <w:t>绩效目标：深入学习</w:t>
      </w:r>
      <w:r>
        <w:rPr>
          <w:rFonts w:hint="eastAsia"/>
          <w:lang w:eastAsia="zh-CN"/>
        </w:rPr>
        <w:t>党的二十大精神</w:t>
      </w:r>
      <w:r>
        <w:t>，强化政法干部教育培训，加强实战锻炼，确保政法工作沿着正确方向前进。 建立政法系统纪律作风督查机制，定期组织督查活动，在全县政法系统营造风清气正的干事环境。</w:t>
      </w:r>
    </w:p>
    <w:p>
      <w:pPr>
        <w:pStyle w:val="24"/>
      </w:pPr>
      <w:r>
        <w:t>绩效指标：20223年，通过举办政法网络大讲堂、专题培训班等多种形式，对各乡镇政法委员等人员分批次开展培训，全面提升全县政法队伍的业务素质和履职能力。</w:t>
      </w:r>
    </w:p>
    <w:p>
      <w:pPr>
        <w:pStyle w:val="24"/>
      </w:pPr>
      <w:r>
        <w:t>（五）大力弘扬见义勇为英雄表彰，凝聚社会正能量</w:t>
      </w:r>
    </w:p>
    <w:p>
      <w:pPr>
        <w:pStyle w:val="24"/>
      </w:pPr>
      <w:r>
        <w:t>绩效目标：通过开展见义勇为宣传、加强见义勇为基层组织建设、表彰见义勇为，对见义勇为人员进行救助行为等措施，健全权益保障机制，激发广大群众见义勇为的积性，推动见义勇为工作不断取得新进展。</w:t>
      </w:r>
    </w:p>
    <w:p>
      <w:pPr>
        <w:pStyle w:val="24"/>
      </w:pPr>
      <w:r>
        <w:t>绩效指标：在县医院、中医院开设救治见义勇为者的绿色通道共计2个，根据见义勇为奖励条例，对授予见义勇为英雄模范人物，给予生活上的补助共计1万元。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（一）加强组织领导，完善工作机制。</w:t>
      </w:r>
    </w:p>
    <w:p>
      <w:pPr>
        <w:pStyle w:val="25"/>
      </w:pPr>
      <w:r>
        <w:t>年度预算绩效工作由常务副书记王怀谦牵总负责。办公室负责制定完善机关预算绩效管理制度、资金管理办法、工作保障制度等机制。机关其他科级领导，要加强分管科室预算和资金支出等工作的调度指导，督促抓好执行落实，确保工作有序开展。机关各科室要围绕任务目标，认真负责，分工协作、密切配合，高质高效地完成好承担的预算和支出事项。</w:t>
      </w:r>
    </w:p>
    <w:p>
      <w:pPr>
        <w:pStyle w:val="25"/>
      </w:pPr>
      <w:r>
        <w:t>（二）强化预算执行，严格支出管理。</w:t>
      </w:r>
    </w:p>
    <w:p>
      <w:pPr>
        <w:pStyle w:val="25"/>
      </w:pPr>
      <w:r>
        <w:t>强化财政预算执行，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5"/>
      </w:pPr>
      <w:r>
        <w:t>（三）聚焦重点工作，抓好创新管理。</w:t>
      </w:r>
    </w:p>
    <w:p>
      <w:pPr>
        <w:pStyle w:val="25"/>
      </w:pPr>
      <w:r>
        <w:t>各科室要强化大数据理念，充分利用信息化手段和创新思维，聚焦扫黑除恶专项斗争、法治威县建设、维护社会稳定等年度重点工作，定向抓好攻坚突破，着力培树一批具有威县特色的亮点工作。</w:t>
      </w:r>
    </w:p>
    <w:p>
      <w:pPr>
        <w:pStyle w:val="25"/>
      </w:pPr>
      <w:r>
        <w:t>（四）健全评价机制，狠抓工作落实。</w:t>
      </w:r>
    </w:p>
    <w:p>
      <w:pPr>
        <w:pStyle w:val="25"/>
      </w:pPr>
      <w:r>
        <w:t>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5"/>
      </w:pPr>
      <w:r>
        <w:t>（五）加强内部监督，规范财务管理。</w:t>
      </w:r>
    </w:p>
    <w:p>
      <w:pPr>
        <w:pStyle w:val="25"/>
      </w:pPr>
      <w:r>
        <w:t>办公室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pStyle w:val="25"/>
      </w:pPr>
      <w:r>
        <w:t>（六）强化业务培训，加大宣传力度。</w:t>
      </w:r>
    </w:p>
    <w:p>
      <w:pPr>
        <w:pStyle w:val="25"/>
      </w:pPr>
      <w:r>
        <w:t>办公室负责制定培训计划，加大对财务人员业务能力培训工作力度，每季度培训一次，使财务人员熟悉工作流程，掌握工作方法，提升工作能力。同时，加强宣传，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1、反邪教宣传教育工作经费绩效目标表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1.目标内容1：开展警示教育，进一步提高干部群众的反邪教知识水平和自觉抵制邪教的能力。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发布预警信息数量</w:t>
            </w:r>
          </w:p>
        </w:tc>
        <w:tc>
          <w:tcPr>
            <w:tcW w:w="2835" w:type="dxa"/>
            <w:vAlign w:val="center"/>
          </w:tcPr>
          <w:p>
            <w:pPr>
              <w:pStyle w:val="14"/>
            </w:pPr>
            <w:r>
              <w:t>发布预警信息数量</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情报信息数量增长率</w:t>
            </w:r>
          </w:p>
        </w:tc>
        <w:tc>
          <w:tcPr>
            <w:tcW w:w="2835" w:type="dxa"/>
            <w:vAlign w:val="center"/>
          </w:tcPr>
          <w:p>
            <w:pPr>
              <w:pStyle w:val="14"/>
            </w:pPr>
            <w:r>
              <w:t>情报信息数量增长率</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≥20000开展警示教育活动，提高反邪教知识和抵制邪教能力。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“转化”人员生活水平保持稳定</w:t>
            </w:r>
          </w:p>
        </w:tc>
        <w:tc>
          <w:tcPr>
            <w:tcW w:w="2835" w:type="dxa"/>
            <w:vAlign w:val="center"/>
          </w:tcPr>
          <w:p>
            <w:pPr>
              <w:pStyle w:val="14"/>
            </w:pPr>
            <w:r>
              <w:t>“转化”人员生活水平保持稳定率</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监测人员合格率</w:t>
            </w:r>
          </w:p>
        </w:tc>
        <w:tc>
          <w:tcPr>
            <w:tcW w:w="2835" w:type="dxa"/>
            <w:vAlign w:val="center"/>
          </w:tcPr>
          <w:p>
            <w:pPr>
              <w:pStyle w:val="14"/>
            </w:pPr>
            <w:r>
              <w:t>监测人员合格率</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以各种形式经媒体公开发表的新闻</w:t>
            </w:r>
          </w:p>
        </w:tc>
        <w:tc>
          <w:tcPr>
            <w:tcW w:w="2835" w:type="dxa"/>
            <w:vAlign w:val="center"/>
          </w:tcPr>
          <w:p>
            <w:pPr>
              <w:pStyle w:val="14"/>
            </w:pPr>
            <w:r>
              <w:t>以各种形式经媒体公开发表的新闻报导总数</w:t>
            </w:r>
          </w:p>
        </w:tc>
        <w:tc>
          <w:tcPr>
            <w:tcW w:w="2551" w:type="dxa"/>
            <w:vAlign w:val="center"/>
          </w:tcPr>
          <w:p>
            <w:pPr>
              <w:pStyle w:val="14"/>
            </w:pPr>
            <w:r>
              <w:t>≥10开展警示教育活动，提高反邪教知识和抵制邪教能力。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2、国家司法救助金绩效目标表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1.目标内容1由国家综合给与适当经济资助，帮助他们摆脱生活困难，既彰显党和政府的民生关怀，又利于实现社会公平正义，促进社会和谐稳定，维护司法权威和公信力。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司法救助率(%)</w:t>
            </w:r>
          </w:p>
        </w:tc>
        <w:tc>
          <w:tcPr>
            <w:tcW w:w="2835" w:type="dxa"/>
            <w:vAlign w:val="center"/>
          </w:tcPr>
          <w:p>
            <w:pPr>
              <w:pStyle w:val="14"/>
            </w:pPr>
            <w:r>
              <w:t>司法救助率(%)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上报及时率</w:t>
            </w:r>
          </w:p>
        </w:tc>
        <w:tc>
          <w:tcPr>
            <w:tcW w:w="2835" w:type="dxa"/>
            <w:vAlign w:val="center"/>
          </w:tcPr>
          <w:p>
            <w:pPr>
              <w:pStyle w:val="14"/>
            </w:pPr>
            <w:r>
              <w:t>收集、分析、上报司法救助数</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司法救助率</w:t>
            </w:r>
          </w:p>
        </w:tc>
        <w:tc>
          <w:tcPr>
            <w:tcW w:w="2835" w:type="dxa"/>
            <w:vAlign w:val="center"/>
          </w:tcPr>
          <w:p>
            <w:pPr>
              <w:pStyle w:val="14"/>
            </w:pPr>
            <w:r>
              <w:t>司法救助案件数</w:t>
            </w:r>
          </w:p>
        </w:tc>
        <w:tc>
          <w:tcPr>
            <w:tcW w:w="2551" w:type="dxa"/>
            <w:vAlign w:val="center"/>
          </w:tcPr>
          <w:p>
            <w:pPr>
              <w:pStyle w:val="14"/>
            </w:pPr>
            <w:r>
              <w:t>≥1对受到侵害无法获得有效赔偿的当事人，由国家综合给与适当及时资助，帮助他们摆脱生活困难。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社会维稳控制目标是否实现</w:t>
            </w:r>
          </w:p>
        </w:tc>
        <w:tc>
          <w:tcPr>
            <w:tcW w:w="2835" w:type="dxa"/>
            <w:vAlign w:val="center"/>
          </w:tcPr>
          <w:p>
            <w:pPr>
              <w:pStyle w:val="14"/>
            </w:pPr>
            <w:r>
              <w:t>社会维稳控制目标是否实现</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3、扫黑除恶专项斗争经费绩效目标表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1.目标内容1切实扫除黑恶势力，保障人民安居乐业。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网络违法有害信息处置率</w:t>
            </w:r>
          </w:p>
        </w:tc>
        <w:tc>
          <w:tcPr>
            <w:tcW w:w="2835" w:type="dxa"/>
            <w:vAlign w:val="center"/>
          </w:tcPr>
          <w:p>
            <w:pPr>
              <w:pStyle w:val="14"/>
            </w:pPr>
            <w:r>
              <w:t>网络违法有害信息处置率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以各种形式经媒体公开发表的新闻</w:t>
            </w:r>
          </w:p>
        </w:tc>
        <w:tc>
          <w:tcPr>
            <w:tcW w:w="2835" w:type="dxa"/>
            <w:vAlign w:val="center"/>
          </w:tcPr>
          <w:p>
            <w:pPr>
              <w:pStyle w:val="14"/>
            </w:pPr>
            <w:r>
              <w:t>以各种形式经媒体公开发表的新闻报导总数</w:t>
            </w:r>
          </w:p>
        </w:tc>
        <w:tc>
          <w:tcPr>
            <w:tcW w:w="2551" w:type="dxa"/>
            <w:vAlign w:val="center"/>
          </w:tcPr>
          <w:p>
            <w:pPr>
              <w:pStyle w:val="14"/>
            </w:pPr>
            <w:r>
              <w:t>≥10切实扫除黑恶势力，保障人民安居乐业、社会安定有序、国家长治久安，进一步巩固党的执政基础。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4、社会治安综合治理经费绩效目标表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1.目标内容1加强和创新社会治安综合治理基层基础工作既是贯彻落实十八届六中全会精神，也是提升综治工作成效、从更高层次推进平安建设的有力抓手。</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排查整治治安问题和安全隐患数量</w:t>
            </w:r>
          </w:p>
        </w:tc>
        <w:tc>
          <w:tcPr>
            <w:tcW w:w="2835" w:type="dxa"/>
            <w:vAlign w:val="center"/>
          </w:tcPr>
          <w:p>
            <w:pPr>
              <w:pStyle w:val="14"/>
            </w:pPr>
            <w:r>
              <w:t>排查整治治安问题和安全隐患数量</w:t>
            </w:r>
          </w:p>
        </w:tc>
        <w:tc>
          <w:tcPr>
            <w:tcW w:w="2551" w:type="dxa"/>
            <w:vAlign w:val="center"/>
          </w:tcPr>
          <w:p>
            <w:pPr>
              <w:pStyle w:val="14"/>
            </w:pPr>
            <w:r>
              <w:t>≥10加强和创新社会治安综合治理基层基础工作既是贯彻落实十八届六中全会精神，也是提升综治工作成效、从更高层次推进平安建设的有力抓手。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5、政法部门罚没收入提取3%经费（平安建设）绩效目标表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1.目标内容1开展政法、综治宣传工作，推广政法、综治工作的先进经验、表彰政法工作的先进单位和个人，组织政法各部门干部队伍的教育管理和培训工作。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培树治安防控工作先进典型</w:t>
            </w:r>
          </w:p>
        </w:tc>
        <w:tc>
          <w:tcPr>
            <w:tcW w:w="2835" w:type="dxa"/>
            <w:vAlign w:val="center"/>
          </w:tcPr>
          <w:p>
            <w:pPr>
              <w:pStyle w:val="14"/>
            </w:pPr>
            <w:r>
              <w:t>培树治安防控工作先进典型数量（个）</w:t>
            </w:r>
          </w:p>
        </w:tc>
        <w:tc>
          <w:tcPr>
            <w:tcW w:w="2551" w:type="dxa"/>
            <w:vAlign w:val="center"/>
          </w:tcPr>
          <w:p>
            <w:pPr>
              <w:pStyle w:val="14"/>
            </w:pPr>
            <w:r>
              <w:t>≥4政法、综治宣传推广，表彰先进单位和个人。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网络技术培训指导率</w:t>
            </w:r>
          </w:p>
        </w:tc>
        <w:tc>
          <w:tcPr>
            <w:tcW w:w="2835" w:type="dxa"/>
            <w:vAlign w:val="center"/>
          </w:tcPr>
          <w:p>
            <w:pPr>
              <w:pStyle w:val="14"/>
            </w:pPr>
            <w:r>
              <w:t>网络技术培训指导率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6、政法四级网光纤传输、维保费绩效目标表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1.目标内容1政法网承载着加快政法信息化建设，实现政法工作跨越式发展的重任，在政法机关数据、视频、语音等综合业务传输方面发挥了重大作用。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≥10政法网在政法机关数据、视频、语音等综合业务传输方面发挥了重大作用。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网络技术培训指导率</w:t>
            </w:r>
          </w:p>
        </w:tc>
        <w:tc>
          <w:tcPr>
            <w:tcW w:w="2835" w:type="dxa"/>
            <w:vAlign w:val="center"/>
          </w:tcPr>
          <w:p>
            <w:pPr>
              <w:pStyle w:val="14"/>
            </w:pPr>
            <w:r>
              <w:t>网络技术培训指导率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≥20政法网在政法机关数据、视频、语音等综合业务传输方面发挥了重大作用。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2023年，中国共产党威县委员会政法委员会安排政府采购预算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160400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政法部门罚没收入提取3%经费（平安建设）</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中国共产党威县委员会政法委员会（含所属单位）上年末固定资产金额为972136.00元（详见下表）。本年度拟购置固定资产总额为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972136.00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253</w:t>
            </w:r>
          </w:p>
        </w:tc>
        <w:tc>
          <w:tcPr>
            <w:tcW w:w="2835" w:type="dxa"/>
            <w:vAlign w:val="center"/>
          </w:tcPr>
          <w:p>
            <w:pPr>
              <w:pStyle w:val="13"/>
            </w:pPr>
            <w: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253</w:t>
            </w:r>
          </w:p>
        </w:tc>
        <w:tc>
          <w:tcPr>
            <w:tcW w:w="2835" w:type="dxa"/>
            <w:vAlign w:val="center"/>
          </w:tcPr>
          <w:p>
            <w:pPr>
              <w:pStyle w:val="13"/>
            </w:pPr>
            <w: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631136.00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kZTY5YjRkZDU0OWMxMzM2MjJjYjgzZWVkZTQ2OGQifQ=="/>
  </w:docVars>
  <w:rsids>
    <w:rsidRoot w:val="00000000"/>
    <w:rsid w:val="0018099E"/>
    <w:rsid w:val="20621A95"/>
    <w:rsid w:val="2E7C01C6"/>
    <w:rsid w:val="35301D0A"/>
    <w:rsid w:val="38922405"/>
    <w:rsid w:val="5D532445"/>
    <w:rsid w:val="64611A7A"/>
    <w:rsid w:val="6B7F6D74"/>
    <w:rsid w:val="7232049E"/>
    <w:rsid w:val="74687E72"/>
    <w:rsid w:val="788C2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2023-05-12T08:47:01Z</dcterms:created>
  <dcterms:modified xsi:type="dcterms:W3CDTF">2023-05-12T00:47:01Z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2023-05-12T08:47:04Z</dcterms:created>
  <dcterms:modified xsi:type="dcterms:W3CDTF">2023-05-12T00:47:04Z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2023-05-12T08:46:58Z</dcterms:created>
  <dcterms:modified xsi:type="dcterms:W3CDTF">2023-05-12T00:46:58Z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Props1.xml><?xml version="1.0" encoding="utf-8"?>
<ds:datastoreItem xmlns:ds="http://schemas.openxmlformats.org/officeDocument/2006/customXml" ds:itemID="{14d58dfe-f38d-4e4d-89c3-ba24360fc7d6}">
  <ds:schemaRefs/>
</ds:datastoreItem>
</file>

<file path=customXml/itemProps10.xml><?xml version="1.0" encoding="utf-8"?>
<ds:datastoreItem xmlns:ds="http://schemas.openxmlformats.org/officeDocument/2006/customXml" ds:itemID="{4c655d1a-df77-4522-bd4b-5a65c7a2b10c}">
  <ds:schemaRefs/>
</ds:datastoreItem>
</file>

<file path=customXml/itemProps11.xml><?xml version="1.0" encoding="utf-8"?>
<ds:datastoreItem xmlns:ds="http://schemas.openxmlformats.org/officeDocument/2006/customXml" ds:itemID="{84858619-bdd1-4dd0-bfdd-b47ba8d1ae63}">
  <ds:schemaRefs/>
</ds:datastoreItem>
</file>

<file path=customXml/itemProps12.xml><?xml version="1.0" encoding="utf-8"?>
<ds:datastoreItem xmlns:ds="http://schemas.openxmlformats.org/officeDocument/2006/customXml" ds:itemID="{2a294e5f-c9e1-44f7-8a46-cd9683a6c2d1}">
  <ds:schemaRefs/>
</ds:datastoreItem>
</file>

<file path=customXml/itemProps13.xml><?xml version="1.0" encoding="utf-8"?>
<ds:datastoreItem xmlns:ds="http://schemas.openxmlformats.org/officeDocument/2006/customXml" ds:itemID="{ee32edd9-d9d9-4263-b5a6-7e41b3134bb8}">
  <ds:schemaRefs/>
</ds:datastoreItem>
</file>

<file path=customXml/itemProps14.xml><?xml version="1.0" encoding="utf-8"?>
<ds:datastoreItem xmlns:ds="http://schemas.openxmlformats.org/officeDocument/2006/customXml" ds:itemID="{584f70d4-da3d-4d27-ab07-6108c6d25e58}">
  <ds:schemaRefs/>
</ds:datastoreItem>
</file>

<file path=customXml/itemProps15.xml><?xml version="1.0" encoding="utf-8"?>
<ds:datastoreItem xmlns:ds="http://schemas.openxmlformats.org/officeDocument/2006/customXml" ds:itemID="{dbcc5d7b-79ab-4815-85d5-27acf80afe7b}">
  <ds:schemaRefs/>
</ds:datastoreItem>
</file>

<file path=customXml/itemProps16.xml><?xml version="1.0" encoding="utf-8"?>
<ds:datastoreItem xmlns:ds="http://schemas.openxmlformats.org/officeDocument/2006/customXml" ds:itemID="{45cb86ea-a67e-4efc-ad02-1e89e35ec602}">
  <ds:schemaRefs/>
</ds:datastoreItem>
</file>

<file path=customXml/itemProps17.xml><?xml version="1.0" encoding="utf-8"?>
<ds:datastoreItem xmlns:ds="http://schemas.openxmlformats.org/officeDocument/2006/customXml" ds:itemID="{6dd3d9ae-a754-4a81-9070-151af777d29c}">
  <ds:schemaRefs/>
</ds:datastoreItem>
</file>

<file path=customXml/itemProps18.xml><?xml version="1.0" encoding="utf-8"?>
<ds:datastoreItem xmlns:ds="http://schemas.openxmlformats.org/officeDocument/2006/customXml" ds:itemID="{da02bdab-8eda-4d5a-a57a-877de8290bcd}">
  <ds:schemaRefs/>
</ds:datastoreItem>
</file>

<file path=customXml/itemProps19.xml><?xml version="1.0" encoding="utf-8"?>
<ds:datastoreItem xmlns:ds="http://schemas.openxmlformats.org/officeDocument/2006/customXml" ds:itemID="{152387c5-c9b3-4b83-b9f2-14d50ddaa72d}">
  <ds:schemaRefs/>
</ds:datastoreItem>
</file>

<file path=customXml/itemProps2.xml><?xml version="1.0" encoding="utf-8"?>
<ds:datastoreItem xmlns:ds="http://schemas.openxmlformats.org/officeDocument/2006/customXml" ds:itemID="{41750d98-2d64-4218-bd11-fcd1d1aa1fbf}">
  <ds:schemaRefs/>
</ds:datastoreItem>
</file>

<file path=customXml/itemProps20.xml><?xml version="1.0" encoding="utf-8"?>
<ds:datastoreItem xmlns:ds="http://schemas.openxmlformats.org/officeDocument/2006/customXml" ds:itemID="{44af83ad-4280-4546-8592-90b8cf2298d8}">
  <ds:schemaRefs/>
</ds:datastoreItem>
</file>

<file path=customXml/itemProps21.xml><?xml version="1.0" encoding="utf-8"?>
<ds:datastoreItem xmlns:ds="http://schemas.openxmlformats.org/officeDocument/2006/customXml" ds:itemID="{ca362a3b-c1ae-4912-9b2e-68013302a3a4}">
  <ds:schemaRefs/>
</ds:datastoreItem>
</file>

<file path=customXml/itemProps22.xml><?xml version="1.0" encoding="utf-8"?>
<ds:datastoreItem xmlns:ds="http://schemas.openxmlformats.org/officeDocument/2006/customXml" ds:itemID="{fe7aff7c-7b92-4f79-bd34-203600f80a17}">
  <ds:schemaRefs/>
</ds:datastoreItem>
</file>

<file path=customXml/itemProps23.xml><?xml version="1.0" encoding="utf-8"?>
<ds:datastoreItem xmlns:ds="http://schemas.openxmlformats.org/officeDocument/2006/customXml" ds:itemID="{1d6e592d-1a7b-44c3-a0a1-d102a2514d94}">
  <ds:schemaRefs/>
</ds:datastoreItem>
</file>

<file path=customXml/itemProps24.xml><?xml version="1.0" encoding="utf-8"?>
<ds:datastoreItem xmlns:ds="http://schemas.openxmlformats.org/officeDocument/2006/customXml" ds:itemID="{07d6a15e-0f65-4206-b3b1-4403439d2fda}">
  <ds:schemaRefs/>
</ds:datastoreItem>
</file>

<file path=customXml/itemProps25.xml><?xml version="1.0" encoding="utf-8"?>
<ds:datastoreItem xmlns:ds="http://schemas.openxmlformats.org/officeDocument/2006/customXml" ds:itemID="{95e8f04a-730b-48ac-b6e7-e4176f2d835a}">
  <ds:schemaRefs/>
</ds:datastoreItem>
</file>

<file path=customXml/itemProps26.xml><?xml version="1.0" encoding="utf-8"?>
<ds:datastoreItem xmlns:ds="http://schemas.openxmlformats.org/officeDocument/2006/customXml" ds:itemID="{b9d3eaab-f331-43fc-ab48-06b82cd7c165}">
  <ds:schemaRefs/>
</ds:datastoreItem>
</file>

<file path=customXml/itemProps27.xml><?xml version="1.0" encoding="utf-8"?>
<ds:datastoreItem xmlns:ds="http://schemas.openxmlformats.org/officeDocument/2006/customXml" ds:itemID="{30753131-adeb-4f77-bae2-338a2b4fb3f8}">
  <ds:schemaRefs/>
</ds:datastoreItem>
</file>

<file path=customXml/itemProps28.xml><?xml version="1.0" encoding="utf-8"?>
<ds:datastoreItem xmlns:ds="http://schemas.openxmlformats.org/officeDocument/2006/customXml" ds:itemID="{35ae6a0b-2a34-4d73-8baf-fa9475d3f35f}">
  <ds:schemaRefs/>
</ds:datastoreItem>
</file>

<file path=customXml/itemProps29.xml><?xml version="1.0" encoding="utf-8"?>
<ds:datastoreItem xmlns:ds="http://schemas.openxmlformats.org/officeDocument/2006/customXml" ds:itemID="{7164fab4-a938-478f-9fb0-c542d8470d4e}">
  <ds:schemaRefs/>
</ds:datastoreItem>
</file>

<file path=customXml/itemProps3.xml><?xml version="1.0" encoding="utf-8"?>
<ds:datastoreItem xmlns:ds="http://schemas.openxmlformats.org/officeDocument/2006/customXml" ds:itemID="{a9e4b703-d025-4ae4-8dcb-efd7e70fdd2d}">
  <ds:schemaRefs/>
</ds:datastoreItem>
</file>

<file path=customXml/itemProps30.xml><?xml version="1.0" encoding="utf-8"?>
<ds:datastoreItem xmlns:ds="http://schemas.openxmlformats.org/officeDocument/2006/customXml" ds:itemID="{50b6967d-5413-4da7-9152-792fd776f852}">
  <ds:schemaRefs/>
</ds:datastoreItem>
</file>

<file path=customXml/itemProps31.xml><?xml version="1.0" encoding="utf-8"?>
<ds:datastoreItem xmlns:ds="http://schemas.openxmlformats.org/officeDocument/2006/customXml" ds:itemID="{2636bf5a-145d-42fe-a730-6a4d003336cf}">
  <ds:schemaRefs/>
</ds:datastoreItem>
</file>

<file path=customXml/itemProps32.xml><?xml version="1.0" encoding="utf-8"?>
<ds:datastoreItem xmlns:ds="http://schemas.openxmlformats.org/officeDocument/2006/customXml" ds:itemID="{19cba7cf-1afd-4752-ae5f-9dcd209b761b}">
  <ds:schemaRefs/>
</ds:datastoreItem>
</file>

<file path=customXml/itemProps33.xml><?xml version="1.0" encoding="utf-8"?>
<ds:datastoreItem xmlns:ds="http://schemas.openxmlformats.org/officeDocument/2006/customXml" ds:itemID="{9b25c485-e0ec-4d1a-b8ca-2245f26be034}">
  <ds:schemaRefs/>
</ds:datastoreItem>
</file>

<file path=customXml/itemProps34.xml><?xml version="1.0" encoding="utf-8"?>
<ds:datastoreItem xmlns:ds="http://schemas.openxmlformats.org/officeDocument/2006/customXml" ds:itemID="{493dad82-690b-4fc5-8162-f100c4c7852a}">
  <ds:schemaRefs/>
</ds:datastoreItem>
</file>

<file path=customXml/itemProps4.xml><?xml version="1.0" encoding="utf-8"?>
<ds:datastoreItem xmlns:ds="http://schemas.openxmlformats.org/officeDocument/2006/customXml" ds:itemID="{6f296359-793f-4228-aaa9-2198211dee6b}">
  <ds:schemaRefs/>
</ds:datastoreItem>
</file>

<file path=customXml/itemProps5.xml><?xml version="1.0" encoding="utf-8"?>
<ds:datastoreItem xmlns:ds="http://schemas.openxmlformats.org/officeDocument/2006/customXml" ds:itemID="{5982645b-8141-4693-bd72-d4caf6f2d9c6}">
  <ds:schemaRefs/>
</ds:datastoreItem>
</file>

<file path=customXml/itemProps6.xml><?xml version="1.0" encoding="utf-8"?>
<ds:datastoreItem xmlns:ds="http://schemas.openxmlformats.org/officeDocument/2006/customXml" ds:itemID="{c1924957-9076-4faa-a521-6f1d90fadea1}">
  <ds:schemaRefs/>
</ds:datastoreItem>
</file>

<file path=customXml/itemProps7.xml><?xml version="1.0" encoding="utf-8"?>
<ds:datastoreItem xmlns:ds="http://schemas.openxmlformats.org/officeDocument/2006/customXml" ds:itemID="{cab31790-9f00-448b-b8a0-4e49c5a5da7b}">
  <ds:schemaRefs/>
</ds:datastoreItem>
</file>

<file path=customXml/itemProps8.xml><?xml version="1.0" encoding="utf-8"?>
<ds:datastoreItem xmlns:ds="http://schemas.openxmlformats.org/officeDocument/2006/customXml" ds:itemID="{c0e80b4b-cb68-43e4-be73-0de0c82717ee}">
  <ds:schemaRefs/>
</ds:datastoreItem>
</file>

<file path=customXml/itemProps9.xml><?xml version="1.0" encoding="utf-8"?>
<ds:datastoreItem xmlns:ds="http://schemas.openxmlformats.org/officeDocument/2006/customXml" ds:itemID="{ef8813d1-9439-4739-93aa-575cd4aef371}">
  <ds:schemaRefs/>
</ds:datastoreItem>
</file>

<file path=docProps/app.xml><?xml version="1.0" encoding="utf-8"?>
<Properties xmlns="http://schemas.openxmlformats.org/officeDocument/2006/extended-properties" xmlns:vt="http://schemas.openxmlformats.org/officeDocument/2006/docPropsVTypes">
  <Pages>87</Pages>
  <Words>22349</Words>
  <Characters>25345</Characters>
  <TotalTime>28</TotalTime>
  <ScaleCrop>false</ScaleCrop>
  <LinksUpToDate>false</LinksUpToDate>
  <CharactersWithSpaces>25675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2023-05-12T08:47:00Z</dcterms:created>
  <dc:creator>Administrator</dc:creator>
  <cp:lastModifiedBy>Administrator</cp:lastModifiedBy>
  <dcterms:modified xsi:type="dcterms:W3CDTF">2023-08-16T07:21:15Z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5D53118CE7D64A50B0BA6A467CE5554C</vt:lpwstr>
  </property>
</Properties>
</file>