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557A8A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default" w:ascii="方正小标宋简体" w:hAnsi="方正小标宋简体" w:eastAsia="方正小标宋简体" w:cs="方正小标宋简体"/>
          <w:kern w:val="2"/>
          <w:sz w:val="44"/>
          <w:szCs w:val="44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 w:bidi="ar-SA"/>
        </w:rPr>
        <w:t>威县电动汽车充换电基础设施建设运营暂行</w:t>
      </w:r>
    </w:p>
    <w:p w14:paraId="1520914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 w:bidi="ar-SA"/>
        </w:rPr>
        <w:t>管理办法</w:t>
      </w:r>
    </w:p>
    <w:p w14:paraId="0A9109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楷体_GB2312" w:hAnsi="楷体_GB2312" w:eastAsia="楷体_GB2312" w:cs="楷体_GB2312"/>
          <w:kern w:val="2"/>
          <w:sz w:val="32"/>
          <w:szCs w:val="32"/>
          <w:lang w:val="en-US" w:eastAsia="zh-CN" w:bidi="ar-SA"/>
        </w:rPr>
      </w:pPr>
      <w:bookmarkStart w:id="0" w:name="heading_0"/>
      <w:r>
        <w:rPr>
          <w:rFonts w:hint="eastAsia" w:ascii="楷体_GB2312" w:hAnsi="楷体_GB2312" w:eastAsia="楷体_GB2312" w:cs="楷体_GB2312"/>
          <w:kern w:val="2"/>
          <w:sz w:val="32"/>
          <w:szCs w:val="32"/>
          <w:lang w:val="en-US" w:eastAsia="zh-CN" w:bidi="ar-SA"/>
        </w:rPr>
        <w:t>（公开征求意见稿）</w:t>
      </w:r>
    </w:p>
    <w:p w14:paraId="074C561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楷体_GB2312" w:hAnsi="楷体_GB2312" w:eastAsia="楷体_GB2312" w:cs="楷体_GB2312"/>
          <w:kern w:val="2"/>
          <w:sz w:val="32"/>
          <w:szCs w:val="32"/>
          <w:lang w:val="en-US" w:eastAsia="zh-CN" w:bidi="ar-SA"/>
        </w:rPr>
      </w:pPr>
    </w:p>
    <w:p w14:paraId="4CD571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为规范我县电动汽车充换电基础设施（以下简称“充换电设施”）建设运营管理，加快构建覆盖广泛、规模适度、结构合理、功能完善的高质量充换电设施体系，促进电动汽车推广应用，助力实现“双碳”目标。根据《国务院办公厅关于进一步构建高质量充电基础设施体系的指导意见》（国办发〔2023〕19号）、《河北省电动汽车充电基础设施建设运营管理办法》、《河北省发展和改革委员会等九部门关于印发&lt;加强新能源汽车充电基础设施安全管理实施方案&gt;的通知》（冀发改能源〔2025〕758号）、《河北省发展和改革委员会等五部门关于印发&lt;进一步加快提升电动汽车充电设施服务能力工作方案&gt;的通知》（冀发改能源〔2025〕1385号）、《关于加快全市电动汽车充电基础设施建设实施方案》(邢政办发〔2016〕18号)等文件，结合我县实际，制定本办法。</w:t>
      </w:r>
    </w:p>
    <w:p w14:paraId="7E4D209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  <w:bookmarkStart w:id="28" w:name="_GoBack"/>
      <w:bookmarkEnd w:id="28"/>
    </w:p>
    <w:p w14:paraId="70849A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第一章 总则</w:t>
      </w:r>
      <w:bookmarkEnd w:id="0"/>
    </w:p>
    <w:p w14:paraId="28DCB8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bookmarkStart w:id="1" w:name="heading_2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第一条 </w:t>
      </w:r>
      <w:bookmarkEnd w:id="1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本办法适用于我县行政区域内充换电设施的规划、建设、运营、维护、监督管理及相关活动，包括公用充换电设施、专用充换电设施、集中式充换电站及个人自用充换电设施。</w:t>
      </w:r>
    </w:p>
    <w:p w14:paraId="3F31DB3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bookmarkStart w:id="2" w:name="heading_3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第二条 </w:t>
      </w:r>
      <w:bookmarkEnd w:id="2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本办法所称充换电基础设施，是指为电动汽车提供电能补给的相关设施总称，主要包括：</w:t>
      </w:r>
    </w:p>
    <w:p w14:paraId="02E9DF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公用充换电设施。面向社会车辆提供有偿充换电服务、开放经营的充换电设施，主要布局在公共停车场、高速公路服务区、文化旅游场所、加油加气站等区域。</w:t>
      </w:r>
    </w:p>
    <w:p w14:paraId="7A6797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专用充换电设施。为公交、客运、市政、环卫、出租、物流、公安巡逻等公共服务领域车辆提供专属充换电服务，以及在党政机关、企事业单位、社会团体、园区、居民区等场所建设，专为特定范围群体提供服务的充换电设施。</w:t>
      </w:r>
    </w:p>
    <w:p w14:paraId="345ABC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集中式充换电站。独立占地且符合用地规划，为特定型号或多个领域车辆提供集中充换电服务的设施。</w:t>
      </w:r>
    </w:p>
    <w:p w14:paraId="3DC573C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个人自用充换电设施。在个人拥有所有权或使用权的固定停车位上建设，专为个人电动汽车提供充换电服务的设施。</w:t>
      </w:r>
    </w:p>
    <w:p w14:paraId="3F89634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bookmarkStart w:id="3" w:name="heading_5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第三条 </w:t>
      </w:r>
      <w:bookmarkEnd w:id="3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建立县级统筹、部门协同、乡镇（园区）落实的工作机制，各相关部门按照职责分工，密切配合、协同推进充换电设施建设运营管理工作。</w:t>
      </w:r>
    </w:p>
    <w:p w14:paraId="0B39E77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县发展和改革局：负责研究制定充换电设施相关支持政策，统筹全县充换电设施布局，协调推进充换电设施及配套电网建设。</w:t>
      </w:r>
    </w:p>
    <w:p w14:paraId="06F8B4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县行政审批局：负责公用、专用充换电设施及集中式充换电站项目备案管理，办理建设用地规划许可证、建设工程规划许可证、施工许可证。</w:t>
      </w:r>
    </w:p>
    <w:p w14:paraId="12922E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县自然资源和规划局：负责充换电设施用地合规情况审核，保障充换电设施项目用地合规，依法查处违反用地规划的行为。</w:t>
      </w:r>
    </w:p>
    <w:p w14:paraId="7A2810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县住房和城乡建设局：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负责监督充换电设施按照建设基本程序办理相关手续，办理施工许可后的工程质量、施工安全、竣工验收等管理工作；指导督促物业服务企业落实安全主体责任，配合做好管理区域内的安全防范工作。</w:t>
      </w:r>
    </w:p>
    <w:p w14:paraId="689A7A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县城市管理综合行政执法局：负责城乡公共区域（道路两侧、公共场地、公园、广场、环卫场站）充换电设施的规划布局、点位审核与建设实施；参与充换电设施项目联合验收，确保合规后投用；将充换电设施纳入城乡公共管理体系，开展常态化巡查、环境卫生与秩序维护；依法查处公共区域内充换电设施建设、运营中的未经审批擅自建设、占用公共空间，破坏市容环境、违规设置广告等违法违规行为。</w:t>
      </w:r>
    </w:p>
    <w:p w14:paraId="0EE5C8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县交通运输局：负责交通道路和交通场站充换电设施安全监督管理，指导公交、出租、客运行业及高速公路、国省干道服务区充换电设施布局建设。</w:t>
      </w:r>
    </w:p>
    <w:p w14:paraId="5C8679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县市场监督管理局：负责规范充换电服务价格行为，依法查处明码标价不规范、价格欺诈等违法行为；监督充换电设施产品质量。</w:t>
      </w:r>
    </w:p>
    <w:p w14:paraId="17557C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县商务局：负责做好职责范围内充换电设施建设运营管理相关工作。</w:t>
      </w:r>
    </w:p>
    <w:p w14:paraId="1CAE0F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县应急管理局：负责充换电设施安全生产综合监督管理，指导督促相关单位落实安全生产主体责任，排查整治安全隐患；做好充换电设施应急处置，开展事故调查与善后处理。</w:t>
      </w:r>
    </w:p>
    <w:p w14:paraId="649071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县消防救援大队：负责对充换电设施运营主体履行消防安全职责情况进行监督抽查，督促运营主体定期开展消防培训和应急演练，依法查处消防安全违法行为。</w:t>
      </w:r>
    </w:p>
    <w:p w14:paraId="7C7646C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县供电公司：负责充换电设施电力接入保障，优化报装流程，加快配套电网建设改造，定期汇总充换电设施报装和使用数据，做好电力供应服务。</w:t>
      </w:r>
    </w:p>
    <w:p w14:paraId="499993C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各乡镇（园区）人民政府（管委会）：落实属地管理责任，协调解决辖区内充换电设施土地、建设、运营中的具体问题，做好安全风险防范和日常监管工作。</w:t>
      </w:r>
    </w:p>
    <w:p w14:paraId="7872D5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其他相关部门：按照各自职责，做好充换电设施建设运营相关支持和监管工作。</w:t>
      </w:r>
    </w:p>
    <w:p w14:paraId="3882989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1C277FC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  <w:bookmarkStart w:id="4" w:name="heading_6"/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第二章 规划管理</w:t>
      </w:r>
      <w:bookmarkEnd w:id="4"/>
    </w:p>
    <w:p w14:paraId="295C2D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bookmarkStart w:id="5" w:name="heading_7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第四条 </w:t>
      </w:r>
      <w:bookmarkEnd w:id="5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县发展和改革局会同县自然资源和规划局、县住房和城乡建设局、县城管局、县交通运输局等部门，编制全县充换电设施专项规划，报县政府批准后实施，并报上一级主管部门备案。专项规划应符合国土空间总体规划、上级充换电设施发展规划，与电力、交通、新能源汽车发展等专项规划充分衔接，明确建设目标、布局原则、建设规模和重点任务，主要内容纳入国土空间详细规划。</w:t>
      </w:r>
    </w:p>
    <w:p w14:paraId="160D059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专项规划组织编制部门应当定期对规划实施情况进行评估，根据电动汽车发展趋势、充电需求变化和评估结果，及时动态调整规划内容，确保规划的科学性和可操作性。</w:t>
      </w:r>
    </w:p>
    <w:p w14:paraId="2872E4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bookmarkStart w:id="6" w:name="heading_9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第五条 </w:t>
      </w:r>
      <w:bookmarkEnd w:id="6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充换电设施建设应严格执行《电动汽车充电站设计标准》（GB/T50966-2024）、《建筑设计防火规范》（GB50016）等国家、行业和地方标准，具体要求如下：</w:t>
      </w:r>
    </w:p>
    <w:p w14:paraId="1ED997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充电站选址应满足消防、防洪排涝等安全要求，一级、二级、三级充电站不宜布置在重要公共建筑物或民用建筑物内部，充电区不宜布置在建筑物四层及以上楼层，不得布置在半地下室或地下室；四级充电站充电区确需在地下室建设的，应布置在地下室一层且靠近车辆出入口，满足消防救援和安全疏散要求。</w:t>
      </w:r>
    </w:p>
    <w:p w14:paraId="6AC184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新建住宅项目固定车位建设充换电设施或预留安装条件，须满足直接装表接电需要，个人自用充换电设施单桩最大输出功率不宜超过8千瓦；居民区建设以慢充为主、快充为辅的充换电设施。</w:t>
      </w:r>
    </w:p>
    <w:p w14:paraId="4385F1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充换电设施建设应采用符合国家标准、行业标准且取得产品质量认证证书的设备。</w:t>
      </w:r>
    </w:p>
    <w:p w14:paraId="112DE6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6F509B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  <w:bookmarkStart w:id="7" w:name="heading_10"/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第三章 建设管理</w:t>
      </w:r>
      <w:bookmarkEnd w:id="7"/>
    </w:p>
    <w:p w14:paraId="6F8C8B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bookmarkStart w:id="8" w:name="heading_12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第六条 </w:t>
      </w:r>
      <w:bookmarkEnd w:id="8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充换电设施新建、改建、扩建投资项目实行备案制管理，具体要求如下：</w:t>
      </w:r>
    </w:p>
    <w:p w14:paraId="3DCA24F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公用、专用和集中式充换电设施及换电设施项目，建设单位应按规定在省投资项目在线审批监管平台申请备案，县行政审批局应定期将备案信息共享至县发展和改革局、县住房和城乡建设局、县供电公司等相关部门。</w:t>
      </w:r>
    </w:p>
    <w:p w14:paraId="781CB9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项目法人发生变化，或建设地点、规模、内容发生重大变更，以及放弃项目建设的，建设运营主体应通过省投资项目在线审批监管平台，及时变更相关信息。</w:t>
      </w:r>
    </w:p>
    <w:p w14:paraId="3ED296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充换电站的名称，应与投资备案、平台接入、对外运营时的名称保持一致。</w:t>
      </w:r>
    </w:p>
    <w:p w14:paraId="6DD9D3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个人自用充换电设施建设无需办理备案手续，业主可直接向县供电公司或转供电企业申请报装。</w:t>
      </w:r>
    </w:p>
    <w:p w14:paraId="344DFF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bookmarkStart w:id="9" w:name="heading_13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第七条 </w:t>
      </w:r>
      <w:bookmarkEnd w:id="9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充换电设施建设（含新建、改建、扩建）项目施工单位，应具备下列资质之一：</w:t>
      </w:r>
    </w:p>
    <w:p w14:paraId="46BE51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建筑机电安装工程资质；</w:t>
      </w:r>
    </w:p>
    <w:p w14:paraId="0B516D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输变电工程专业承包资质；</w:t>
      </w:r>
    </w:p>
    <w:p w14:paraId="15AF9DC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电力设施承装（修、试）资质；</w:t>
      </w:r>
    </w:p>
    <w:p w14:paraId="1FAC7B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电力工程施工总承包资质；</w:t>
      </w:r>
    </w:p>
    <w:p w14:paraId="339CAD6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法律、法规规定的其他充换电设施建设资质。</w:t>
      </w:r>
    </w:p>
    <w:p w14:paraId="720A182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建设单位应委托具备相应资质的设计单位进行施工图纸设计，委托具备相应资质的施工单位施工，委托监理单位对工程质量和安全进行监理。施工单位应严格按照施工图纸、相关标准和规范施工，做好施工安全管理，杜绝违规施工。</w:t>
      </w:r>
    </w:p>
    <w:p w14:paraId="010598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居民个人购置的自用充换电设施，应委托具备相应资质的单位施工；随车配送的个人自用充换电设施，由电动汽车生产（销售）企业委托具备相应资质的单位施工，施工完成后应进行安全确认。</w:t>
      </w:r>
    </w:p>
    <w:p w14:paraId="5D51727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在居民区安装充换电设施过程中，物业管理单位应当配合业主或其委托的建设单位，及时提供相关图纸资料，协助现场勘查、施工，不得无故阻挠合法合规的充换电设施建设。鼓励充电运营企业接受业主委托，开展居民区充换电设施“统建统服”，统一提供建设、运营、维护等服务。</w:t>
      </w:r>
    </w:p>
    <w:p w14:paraId="3446A5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bookmarkStart w:id="10" w:name="heading_14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第八条 </w:t>
      </w:r>
      <w:bookmarkEnd w:id="1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充换电设施建设应遵循以下基本程序：</w:t>
      </w:r>
    </w:p>
    <w:p w14:paraId="478CC9B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规划选址。项目选址需符合全县充换电设施专项规划，用地性质为建设用地，并取得属地乡镇（园区）人民政府（管委会）同意选址建设的证明文件。</w:t>
      </w:r>
    </w:p>
    <w:p w14:paraId="51EF08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项目备案。符合专项规划的，由建设单位向县行政审批局申请办理投资项目备案；不符合专项规划的，不予备案。</w:t>
      </w:r>
    </w:p>
    <w:p w14:paraId="10E7C0C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图纸设计与审查。项目需委托有资质的设计单位进行施工图纸设计，设计完成后按规定进行图纸审查，确保符合相关标准和规范。</w:t>
      </w:r>
    </w:p>
    <w:p w14:paraId="38D222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新建独立占地集中式充电站，建设单位向县行政审批局申请办理建设用地规划许可证、建设工程规划许可证、施工许可证等手续。</w:t>
      </w:r>
    </w:p>
    <w:p w14:paraId="690387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工程开工。项目符合施工条件后，建设单位应提交相关资料，办理施工许可证后，县住房和城乡建设局现场勘验后方可开工建设。</w:t>
      </w:r>
    </w:p>
    <w:p w14:paraId="68279D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竣工验收。工程完工后，建设单位组织施工、监理、设计等单位进行竣工验收，验收合格后，方可投入使用；验收不合格的，需限期整改，整改完成后重新验收。</w:t>
      </w:r>
    </w:p>
    <w:p w14:paraId="6863A0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bookmarkStart w:id="11" w:name="heading_15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第九条 </w:t>
      </w:r>
      <w:bookmarkEnd w:id="11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县供电公司应优化充换电设施电力接入流程，简化审批环节，压缩审批时限，为充换电设施建设提供高效便捷的电力接入服务。</w:t>
      </w:r>
    </w:p>
    <w:p w14:paraId="69EF861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新建、改建、扩建充换电设施，需要接入电网的，建设单位应提前与县供电公司沟通对接，县供电公司应根据电网规划和充换电设施建设需求，及时做好配套电网建设改造，保障电力供应。</w:t>
      </w:r>
    </w:p>
    <w:p w14:paraId="1CACBD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732C65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bookmarkStart w:id="12" w:name="heading_16"/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第四章 运营管理</w:t>
      </w:r>
      <w:bookmarkEnd w:id="12"/>
      <w:bookmarkStart w:id="13" w:name="heading_17"/>
    </w:p>
    <w:p w14:paraId="244B74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第十条 </w:t>
      </w:r>
      <w:bookmarkEnd w:id="13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充换电设施运营主体应具备相应的运营能力和条件，依法办理工商注册、税务登记等相关手续，建立健全运营管理制度和安全管理制度，配备专业的运营管理人员和维修维护人员，确保设施安全稳定运行。</w:t>
      </w:r>
    </w:p>
    <w:p w14:paraId="199F14E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运营主体应与县发展和改革局、县供电公司等相关部门建立沟通机制，及时反馈设施运营情况、存在的问题及改进建议。</w:t>
      </w:r>
    </w:p>
    <w:p w14:paraId="00696D6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bookmarkStart w:id="14" w:name="heading_18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第十一条 </w:t>
      </w:r>
      <w:bookmarkEnd w:id="14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充换电设施运营主体应严格遵守下列运营服务规范：</w:t>
      </w:r>
    </w:p>
    <w:p w14:paraId="3174AE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明码标价。在充换电设施现场显著位置，公示充电价格、服务时间、收费标准、联系方式、投诉渠道等信息，接受社会监督。</w:t>
      </w:r>
    </w:p>
    <w:p w14:paraId="720E13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服务质量。保障充换电设施正常运行，公用充换电设施平均可用率不低于95%；建立24小时服务热线，及时响应用户咨询、投诉和故障报修，故障处理时限不超过2小时（偏远地区不超过4小时）。</w:t>
      </w:r>
    </w:p>
    <w:p w14:paraId="46AA49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安全管理。定期对充换电设施进行巡检、维护和保养，建立巡检记录和维护档案；开展安全隐患排查整治，及时消除安全隐患；配备必要的消防器材和应急设备，制定应急预案，定期开展应急演练。</w:t>
      </w:r>
    </w:p>
    <w:p w14:paraId="3D8962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环境管理。保持充换电设施现场整洁有序，妥善处理设施运行产生的废弃物，避免对周边环境造成污染。</w:t>
      </w:r>
    </w:p>
    <w:p w14:paraId="46FD3F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bookmarkStart w:id="15" w:name="heading_19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第十二条 </w:t>
      </w:r>
      <w:bookmarkEnd w:id="15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个人自用充换电设施由业主自行负责运营管理，也可委托专业运营企业代为管理，做好日常巡检和维护，确保使用安全。</w:t>
      </w:r>
    </w:p>
    <w:p w14:paraId="233D340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专用充换电设施由产权单位或委托的运营企业负责运营管理，根据使用需求合理安排运营时间，保障专用车辆充换电需求，鼓励在满足自身需求的前提下，向社会公众开放。</w:t>
      </w:r>
    </w:p>
    <w:p w14:paraId="562EA7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bookmarkStart w:id="16" w:name="heading_2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第十三条 </w:t>
      </w:r>
      <w:bookmarkEnd w:id="16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充换电设施运营主体因停业、破产、设施老化等原因，需要停止运营或拆除设施的，应提前30日向县发展和改革局、县住房和城乡建设局报备，明确停止运营时间、设施处置方案和安全保障措施。</w:t>
      </w:r>
    </w:p>
    <w:p w14:paraId="404847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停止运营后，运营主体应妥善处置充换电设施，清理现场，消除安全隐患；涉及电网接入设备的，应与县供电公司协调做好设备拆除和电网恢复工作。</w:t>
      </w:r>
    </w:p>
    <w:p w14:paraId="39EC14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34C82A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bookmarkStart w:id="17" w:name="heading_21"/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第五章 安全管理</w:t>
      </w:r>
      <w:bookmarkEnd w:id="17"/>
      <w:bookmarkStart w:id="18" w:name="heading_22"/>
    </w:p>
    <w:p w14:paraId="5358F0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第十四条 </w:t>
      </w:r>
      <w:bookmarkEnd w:id="18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充换电设施建设单位、运营单位是充换电设施安全管理的责任主体，应切实履行安全生产主体责任，建立健全安全生产责任制，明确各级管理人员和岗位安全职责，加强安全培训和教育，提高安全管理水平和应急处置能力。</w:t>
      </w:r>
    </w:p>
    <w:p w14:paraId="5C9194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bookmarkStart w:id="19" w:name="heading_23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第十五条 </w:t>
      </w:r>
      <w:bookmarkEnd w:id="19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建设单位应加强施工期间的安全管理，严格落实施工安全防护措施，防止施工安全事故发生。</w:t>
      </w:r>
    </w:p>
    <w:p w14:paraId="2F9E9C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bookmarkStart w:id="20" w:name="heading_24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运营单位主要负责人应熟知《安全生产法》规定的七项职责及《河北省安全生产条例》规定的十二项职责，掌握常态化隐患排查整治的核心要求与工作流程。主要负责人及相关安全管理人员按规定接受行业安全警示教育培训，组织从业人员观看充电设施相关典型事故警示教育片。</w:t>
      </w:r>
    </w:p>
    <w:p w14:paraId="2A0854D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运营单位应落实日常安全巡检制度，建立并规范填写隐患排查、治理、销账的闭环管理清单（台账）。按要求建立安全风险分级管控和隐患排查治理双重预防工作机制，在醒目位置设置安全风险告知牌，如实公示主要风险点、风险类别、管控措施及应急措施。</w:t>
      </w:r>
    </w:p>
    <w:p w14:paraId="34AE99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运营单位应制定具有针对性、可操作性的生产安全事故应急预案和明确、具体的现场应急处置方案，应急响应流程与处置措施清晰、完备，并配备必要的应急救援设备和物资。</w:t>
      </w:r>
    </w:p>
    <w:p w14:paraId="35232A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高压配电柜等关键设备周边应按规定铺设绝缘胶垫，采取必要的安全隔离或防护栏等物理隔离措施，充电桩（枪）作业区域采取必要的防撞、隔离等防护措施。高低压配电柜、储能柜等设备区域周边不得存在影响安全运行的绿植、杂草或易燃杂物，确保及时清理，保持安全距离。高低压配电柜、储能柜、充电区域等存在安全风险的部位，规范、醒目地设置相应的安全警示标识。充电桩区域在明显位置设置事故应急处理卡，明确紧急情况下的操作步骤、联系方式及注意事项。</w:t>
      </w:r>
    </w:p>
    <w:p w14:paraId="266C0F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发生充换电设施安全事故时，运营单位应立即启动应急预案，组织开展应急处置工作，及时抢救人员、财产，防止事故扩大，并第一时间向县应急管理局、县消防救援大队等相关部门报告。</w:t>
      </w:r>
    </w:p>
    <w:p w14:paraId="4336A0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第十六条 </w:t>
      </w:r>
      <w:bookmarkEnd w:id="2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县应急管理局、县消防救援大队、县住房和城乡建设局等相关部门，应定期对充换电设施安全情况进行监督检查，对排查发现的安全隐患，责令相关单位限期整改；对拒不整改或整改不到位的，依法予以处罚。</w:t>
      </w:r>
    </w:p>
    <w:p w14:paraId="1CC805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bookmarkStart w:id="21" w:name="heading_25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第十七条 </w:t>
      </w:r>
      <w:bookmarkEnd w:id="21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严禁任何单位和个人从事下列行为：</w:t>
      </w:r>
    </w:p>
    <w:p w14:paraId="533604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擅自建设、改装、拆除充换电设施，或改变充换电设施用途；</w:t>
      </w:r>
    </w:p>
    <w:p w14:paraId="60F56E4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在充换电设施周围堆放易燃易爆物品、杂物，或占用消防通道、疏散通道；</w:t>
      </w:r>
    </w:p>
    <w:p w14:paraId="1FFD92D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使用不符合国家标准、行业标准的充换电设备，或擅自改装充换电设备；</w:t>
      </w:r>
    </w:p>
    <w:p w14:paraId="4065DF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私拉乱接电线为电动汽车充电，或违规充电；</w:t>
      </w:r>
    </w:p>
    <w:p w14:paraId="3272F3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篡改、伪造充换电设施运营数据，或隐瞒设施故障信息；</w:t>
      </w:r>
    </w:p>
    <w:p w14:paraId="6E4D52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其他危害充换电设施安全运行的行为。</w:t>
      </w:r>
    </w:p>
    <w:p w14:paraId="30762E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761F128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256F9E9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bookmarkStart w:id="22" w:name="heading_30"/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第六章 监督管理与法律责任</w:t>
      </w:r>
      <w:bookmarkEnd w:id="22"/>
      <w:bookmarkStart w:id="23" w:name="heading_31"/>
    </w:p>
    <w:p w14:paraId="6FEE1F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第十八条 </w:t>
      </w:r>
      <w:bookmarkEnd w:id="23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县发展和改革局牵头，会同县自然资源和规划局、县住房和城乡建设局、县市场监管局、县应急管理局等相关部门，建立充换电设施建设运营监督管理机制，定期开展联合检查，及时发现和解决建设运营中的问题，规范行业发展。</w:t>
      </w:r>
    </w:p>
    <w:p w14:paraId="545358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bookmarkStart w:id="24" w:name="heading_33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第十九条 </w:t>
      </w:r>
      <w:bookmarkEnd w:id="24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违反本办法规定，有下列行为之一的，由相关部门依法予以处罚；构成犯罪的，依法追究刑事责任。</w:t>
      </w:r>
    </w:p>
    <w:p w14:paraId="1F767C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未按规定办理充换电设施项目备案手续，擅自开工建设的，由县发展和改革局责令停止建设，限期整改；逾期未整改的，依法予以处罚。</w:t>
      </w:r>
    </w:p>
    <w:p w14:paraId="74D35E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施工单位不具备相应资质，或未按相关标准和规范施工的，由县住房和城乡建设局责令停止施工，限期整改；情节严重的，依法吊销资质证书，并予以处罚。</w:t>
      </w:r>
    </w:p>
    <w:p w14:paraId="3CB56C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运营主体存在价格违法行为的，由县市场监管局责令改正，没收违法所得，并予以处罚。</w:t>
      </w:r>
    </w:p>
    <w:p w14:paraId="7844A29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违反安全管理规定，存在安全隐患未及时整改，或发生安全事故的，由县应急管理局、县消防救援大队等相关部门依法予以处罚；构成犯罪的，依法追究刑事责任。</w:t>
      </w:r>
    </w:p>
    <w:p w14:paraId="623BB9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违反本办法其他规定的，由相关部门按照各自职责，依法予以处罚。</w:t>
      </w:r>
    </w:p>
    <w:p w14:paraId="1BA52E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73FDB0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bookmarkStart w:id="25" w:name="heading_35"/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第七章 附则</w:t>
      </w:r>
      <w:bookmarkEnd w:id="25"/>
      <w:bookmarkStart w:id="26" w:name="heading_36"/>
    </w:p>
    <w:p w14:paraId="055259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第二十条 </w:t>
      </w:r>
      <w:bookmarkEnd w:id="26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本办法由县发展和改革局负责解释。</w:t>
      </w:r>
    </w:p>
    <w:p w14:paraId="5A9729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bookmarkStart w:id="27" w:name="heading_37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第二十一条 </w:t>
      </w:r>
      <w:bookmarkEnd w:id="27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本办法自发布之日起施行。此前我县有关充换电设施建设运营管理的规定，与本办法不一致的，以本办法为准。</w:t>
      </w:r>
    </w:p>
    <w:sectPr>
      <w:footerReference r:id="rId3" w:type="default"/>
      <w:pgSz w:w="11905" w:h="16840"/>
      <w:pgMar w:top="1871" w:right="1531" w:bottom="1757" w:left="1531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A27F3EA">
    <w:r>
      <w:rPr>
        <w:sz w:val="21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B8D4CDD"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B8D4CDD"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421CB7"/>
    <w:rsid w:val="01AD1056"/>
    <w:rsid w:val="020B3037"/>
    <w:rsid w:val="0D7511DD"/>
    <w:rsid w:val="1B89616E"/>
    <w:rsid w:val="1BC04C54"/>
    <w:rsid w:val="24A36F1A"/>
    <w:rsid w:val="378A3CAE"/>
    <w:rsid w:val="3E507E73"/>
    <w:rsid w:val="4F8D0B91"/>
    <w:rsid w:val="4FB26921"/>
    <w:rsid w:val="6CB07537"/>
    <w:rsid w:val="798D1C8F"/>
    <w:rsid w:val="7BB104F0"/>
    <w:rsid w:val="7E4B402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2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13</Pages>
  <Words>5824</Words>
  <Characters>5866</Characters>
  <TotalTime>10</TotalTime>
  <ScaleCrop>false</ScaleCrop>
  <LinksUpToDate>false</LinksUpToDate>
  <CharactersWithSpaces>5894</CharactersWithSpaces>
  <Application>WPS Office_12.1.0.25225_F1E327BC-269C-435d-A152-05C5408002CA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2026-03-05T02:51:00Z</dcterms:created>
  <dc:creator>Apache POI</dc:creator>
  <cp:lastModifiedBy>实事求是</cp:lastModifiedBy>
  <cp:lastPrinted>2026-04-14T01:53:00Z</cp:lastPrinted>
  <dcterms:modified xsi:type="dcterms:W3CDTF">2026-04-15T02:05:31Z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eyJoZGlkIjoiNWE1MmU3ZDcxNzRkNTdiYmNhNmFlOTRmNjZkN2ZiOWYiLCJ1c2VySWQiOiIzOTQ5NTY4NzYifQ==</vt:lpwstr>
  </property>
  <property fmtid="{D5CDD505-2E9C-101B-9397-08002B2CF9AE}" pid="3" name="KSOProductBuildVer">
    <vt:lpwstr>2052-12.1.0.25225</vt:lpwstr>
  </property>
  <property fmtid="{D5CDD505-2E9C-101B-9397-08002B2CF9AE}" pid="4" name="ICV">
    <vt:lpwstr>B382F584472B4360BA9D86A20F37B785_13</vt:lpwstr>
  </property>
</Properties>
</file>