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1F62D8">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威县发展和改革</w:t>
      </w:r>
      <w:r>
        <w:rPr>
          <w:rFonts w:hint="eastAsia" w:ascii="方正小标宋简体" w:hAnsi="方正小标宋简体" w:eastAsia="方正小标宋简体" w:cs="方正小标宋简体"/>
          <w:sz w:val="44"/>
          <w:szCs w:val="44"/>
        </w:rPr>
        <w:t>局</w:t>
      </w:r>
    </w:p>
    <w:p w14:paraId="6FDFAF8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2025年度法治政府建设情况报告</w:t>
      </w:r>
    </w:p>
    <w:p w14:paraId="392CA6B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楷体_GB2312" w:hAnsi="楷体_GB2312" w:eastAsia="楷体_GB2312" w:cs="楷体_GB2312"/>
          <w:sz w:val="32"/>
          <w:szCs w:val="32"/>
        </w:rPr>
      </w:pPr>
    </w:p>
    <w:p w14:paraId="5508C7F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2025年，</w:t>
      </w:r>
      <w:r>
        <w:rPr>
          <w:rFonts w:hint="eastAsia" w:ascii="仿宋_GB2312" w:hAnsi="仿宋_GB2312" w:eastAsia="仿宋_GB2312" w:cs="仿宋_GB2312"/>
          <w:sz w:val="32"/>
          <w:szCs w:val="32"/>
          <w:lang w:val="en-US" w:eastAsia="zh-CN"/>
        </w:rPr>
        <w:t>威县</w:t>
      </w:r>
      <w:r>
        <w:rPr>
          <w:rFonts w:hint="eastAsia" w:ascii="仿宋_GB2312" w:hAnsi="仿宋_GB2312" w:eastAsia="仿宋_GB2312" w:cs="仿宋_GB2312"/>
          <w:sz w:val="32"/>
          <w:szCs w:val="32"/>
        </w:rPr>
        <w:t>发改局坚持以习近平新时代中国特色社会主义思想为指导，深入学习践行习近平法治思想，全面贯彻党的二十大和二十届历次全会精神，立足发改部门宏观调控、</w:t>
      </w:r>
      <w:r>
        <w:rPr>
          <w:rFonts w:hint="eastAsia" w:ascii="仿宋_GB2312" w:hAnsi="仿宋_GB2312" w:eastAsia="仿宋_GB2312" w:cs="仿宋_GB2312"/>
          <w:sz w:val="32"/>
          <w:szCs w:val="32"/>
        </w:rPr>
        <w:t>营商环境优化、</w:t>
      </w:r>
      <w:r>
        <w:rPr>
          <w:rFonts w:hint="eastAsia" w:ascii="仿宋_GB2312" w:hAnsi="仿宋_GB2312" w:eastAsia="仿宋_GB2312" w:cs="仿宋_GB2312"/>
          <w:sz w:val="32"/>
          <w:szCs w:val="32"/>
          <w:lang w:val="en-US" w:eastAsia="zh-CN"/>
        </w:rPr>
        <w:t>经济运行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t>价格</w:t>
      </w:r>
      <w:r>
        <w:rPr>
          <w:rFonts w:hint="eastAsia" w:ascii="仿宋_GB2312" w:hAnsi="仿宋_GB2312" w:eastAsia="仿宋_GB2312" w:cs="仿宋_GB2312"/>
          <w:sz w:val="32"/>
          <w:szCs w:val="32"/>
          <w:lang w:val="en-US" w:eastAsia="zh-CN"/>
        </w:rPr>
        <w:t>管理</w:t>
      </w:r>
      <w:r>
        <w:rPr>
          <w:rFonts w:hint="eastAsia" w:ascii="仿宋_GB2312" w:hAnsi="仿宋_GB2312" w:eastAsia="仿宋_GB2312" w:cs="仿宋_GB2312"/>
          <w:sz w:val="32"/>
          <w:szCs w:val="32"/>
        </w:rPr>
        <w:t>等核心职能，将法治政府建设贯穿发展改革工作全过程、各环节，持续提升依法行政能力和水平，以高水平法治保障县域经济社会高质量发展。现将本年度法治政府建设情况报告如下</w:t>
      </w:r>
      <w:r>
        <w:rPr>
          <w:rFonts w:hint="eastAsia" w:ascii="仿宋_GB2312" w:hAnsi="仿宋_GB2312" w:eastAsia="仿宋_GB2312" w:cs="仿宋_GB2312"/>
          <w:sz w:val="32"/>
          <w:szCs w:val="32"/>
          <w:lang w:eastAsia="zh-CN"/>
        </w:rPr>
        <w:t>。</w:t>
      </w:r>
    </w:p>
    <w:p w14:paraId="5F50EFA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bookmarkStart w:id="0" w:name="heading_0"/>
      <w:r>
        <w:rPr>
          <w:rFonts w:hint="eastAsia" w:ascii="黑体" w:hAnsi="黑体" w:eastAsia="黑体" w:cs="黑体"/>
          <w:sz w:val="32"/>
          <w:szCs w:val="32"/>
        </w:rPr>
        <w:t>一、2025年度法治政府建设主要工作及成效</w:t>
      </w:r>
      <w:bookmarkEnd w:id="0"/>
    </w:p>
    <w:p w14:paraId="220D32A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bookmarkStart w:id="1" w:name="heading_1"/>
      <w:r>
        <w:rPr>
          <w:rFonts w:hint="eastAsia" w:ascii="楷体_GB2312" w:hAnsi="楷体_GB2312" w:eastAsia="楷体_GB2312" w:cs="楷体_GB2312"/>
          <w:sz w:val="32"/>
          <w:szCs w:val="32"/>
        </w:rPr>
        <w:t>（一）强化政治引领，筑牢法治建设思想根基</w:t>
      </w:r>
      <w:bookmarkEnd w:id="1"/>
    </w:p>
    <w:p w14:paraId="40BD4CA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始终坚持党对法治政府建设的全面领导，将法治建设作为重要政治任务纳入全局工作总体规划，与发改中心工作同谋划、同部署、同推进、同考核。</w:t>
      </w:r>
    </w:p>
    <w:p w14:paraId="6C0D7774">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深化理论武装。</w:t>
      </w:r>
      <w:r>
        <w:rPr>
          <w:rFonts w:hint="eastAsia" w:ascii="仿宋_GB2312" w:hAnsi="仿宋_GB2312" w:eastAsia="仿宋_GB2312" w:cs="仿宋_GB2312"/>
          <w:sz w:val="32"/>
          <w:szCs w:val="32"/>
        </w:rPr>
        <w:t>严格落实党组理论学习中心组学法制度，将习近平法治思想与党中央关于经济社会发展的决策部署一体研学，开展党组法治专题学习，引导领导干部深刻领悟核心要义，切实把习近平法治思想贯彻落实到发改工作各领域。同时，组织全体干部职工系统学习《行政处罚法》《行政许可法》《行政复议法》等通用法律法规，以及民营经济促进法、节能降</w:t>
      </w:r>
      <w:r>
        <w:rPr>
          <w:rFonts w:hint="eastAsia" w:ascii="仿宋_GB2312" w:hAnsi="仿宋_GB2312" w:eastAsia="仿宋_GB2312" w:cs="仿宋_GB2312"/>
          <w:sz w:val="32"/>
          <w:szCs w:val="32"/>
          <w:lang w:eastAsia="zh-CN"/>
        </w:rPr>
        <w:t>碳等</w:t>
      </w:r>
      <w:r>
        <w:rPr>
          <w:rFonts w:hint="eastAsia" w:ascii="仿宋_GB2312" w:hAnsi="仿宋_GB2312" w:eastAsia="仿宋_GB2312" w:cs="仿宋_GB2312"/>
          <w:sz w:val="32"/>
          <w:szCs w:val="32"/>
        </w:rPr>
        <w:t>相关法规政策，不断夯实法治理论基础。</w:t>
      </w:r>
    </w:p>
    <w:p w14:paraId="2F1FDCFA">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强化考核督导。</w:t>
      </w:r>
      <w:r>
        <w:rPr>
          <w:rFonts w:hint="eastAsia" w:ascii="仿宋_GB2312" w:hAnsi="仿宋_GB2312" w:eastAsia="仿宋_GB2312" w:cs="仿宋_GB2312"/>
          <w:sz w:val="32"/>
          <w:szCs w:val="32"/>
        </w:rPr>
        <w:t>将法治政府建设工作成效纳入干部职工年度绩效考核和评优评先重要依据，建立常态化督查机制，定期开展自查自纠和专项督查，对学法不到位、制度执行不严格、行政行为不规范等问题，建立“三张清单”限期整改销号，切实以督查倒逼责任落实、以考评促进工作提升。</w:t>
      </w:r>
    </w:p>
    <w:p w14:paraId="7250805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bookmarkStart w:id="2" w:name="heading_2"/>
      <w:r>
        <w:rPr>
          <w:rFonts w:hint="eastAsia" w:ascii="楷体_GB2312" w:hAnsi="楷体_GB2312" w:eastAsia="楷体_GB2312" w:cs="楷体_GB2312"/>
          <w:sz w:val="32"/>
          <w:szCs w:val="32"/>
        </w:rPr>
        <w:t>（二）健全制度体系，规范依法行政决策行为</w:t>
      </w:r>
      <w:bookmarkEnd w:id="2"/>
    </w:p>
    <w:p w14:paraId="5955C5F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坚持以制度建设为抓手，不断完善依法行政制度体系，规范行政决策流程，从源头上防范法律风险。</w:t>
      </w:r>
    </w:p>
    <w:p w14:paraId="2429EDAD">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规范重大行政决策。</w:t>
      </w:r>
      <w:r>
        <w:rPr>
          <w:rFonts w:hint="eastAsia" w:ascii="仿宋_GB2312" w:hAnsi="仿宋_GB2312" w:eastAsia="仿宋_GB2312" w:cs="仿宋_GB2312"/>
          <w:sz w:val="32"/>
          <w:szCs w:val="32"/>
        </w:rPr>
        <w:t>严格落实重大行政决策程序规定，健全“公众参与、风险评估、合法性审查、集体讨论决定”的决策机制，对涉及县域经济社会发展全局、社会涉及面广、与群众利益密切相关的规划编制、重大项目</w:t>
      </w:r>
      <w:r>
        <w:rPr>
          <w:rFonts w:hint="eastAsia" w:ascii="仿宋_GB2312" w:hAnsi="仿宋_GB2312" w:eastAsia="仿宋_GB2312" w:cs="仿宋_GB2312"/>
          <w:sz w:val="32"/>
          <w:szCs w:val="32"/>
          <w:lang w:val="en-US" w:eastAsia="zh-CN"/>
        </w:rPr>
        <w:t>申报</w:t>
      </w:r>
      <w:r>
        <w:rPr>
          <w:rFonts w:hint="eastAsia" w:ascii="仿宋_GB2312" w:hAnsi="仿宋_GB2312" w:eastAsia="仿宋_GB2312" w:cs="仿宋_GB2312"/>
          <w:sz w:val="32"/>
          <w:szCs w:val="32"/>
        </w:rPr>
        <w:t>、资金安排等事项，一律履行合法性审查和集体讨论程序。</w:t>
      </w:r>
    </w:p>
    <w:p w14:paraId="67B581B9">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完善权责清单管理。</w:t>
      </w:r>
      <w:r>
        <w:rPr>
          <w:rFonts w:hint="eastAsia" w:ascii="仿宋_GB2312" w:hAnsi="仿宋_GB2312" w:eastAsia="仿宋_GB2312" w:cs="仿宋_GB2312"/>
          <w:sz w:val="32"/>
          <w:szCs w:val="32"/>
        </w:rPr>
        <w:t>严格落实“法定职责必须为、法无授权不可为”原则，根据上级部署和职能调整，及时梳理修订本局权责清单，明确行政许可、行政处罚、行政服务等各类职权事项的办理依据、流程和时限，做到清单之外无职权、履职尽责有依据。将权责清单向社会公开，主动接受群众监督，理清与乡镇及县直相关部门的职责边界，推动审批服务权限合理下放，提升行政效能。</w:t>
      </w:r>
    </w:p>
    <w:p w14:paraId="5E74803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bookmarkStart w:id="3" w:name="heading_3"/>
      <w:r>
        <w:rPr>
          <w:rFonts w:hint="eastAsia" w:ascii="楷体_GB2312" w:hAnsi="楷体_GB2312" w:eastAsia="楷体_GB2312" w:cs="楷体_GB2312"/>
          <w:sz w:val="32"/>
          <w:szCs w:val="32"/>
        </w:rPr>
        <w:t>（三）规范执法行为，提升行政执法质效</w:t>
      </w:r>
      <w:bookmarkEnd w:id="3"/>
    </w:p>
    <w:p w14:paraId="3F0ECF8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立足发改行政执法职能，持续推进执法规范化建设，严格规范公正文明执法，切实维护群众和企业合法权益。</w:t>
      </w:r>
    </w:p>
    <w:p w14:paraId="107EDE09">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强化执法队伍建设。</w:t>
      </w:r>
      <w:r>
        <w:rPr>
          <w:rFonts w:hint="eastAsia" w:ascii="仿宋_GB2312" w:hAnsi="仿宋_GB2312" w:eastAsia="仿宋_GB2312" w:cs="仿宋_GB2312"/>
          <w:sz w:val="32"/>
          <w:szCs w:val="32"/>
        </w:rPr>
        <w:t>健全执法人员培训机制，组织全局执法人员参加培训，重点学习发改领域专业法律法规和执法流程，实现执法人员培训全覆盖。组织执法人员参加行政执法资格考试，2025年新增执法资格</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人，目前全局拥有执法资格6人，有效满足各领域执法需求。定期开展行政执法案卷评查，以评查促规范，提升执法办案质效。</w:t>
      </w:r>
    </w:p>
    <w:p w14:paraId="3E156BFD">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严格落实执法制度。</w:t>
      </w:r>
      <w:r>
        <w:rPr>
          <w:rFonts w:hint="eastAsia" w:ascii="仿宋_GB2312" w:hAnsi="仿宋_GB2312" w:eastAsia="仿宋_GB2312" w:cs="仿宋_GB2312"/>
          <w:sz w:val="32"/>
          <w:szCs w:val="32"/>
        </w:rPr>
        <w:t>严格执行行政执法“三项制度”和“一基准三清单制度”，坚决遏制乱检查、乱执法，切实规范涉企行政检查行为。规范行政处罚裁量权行使，明确裁量标准，确保执法公平公正。所有行政执法事项一律在政务公开平台公示执法主体、依据、流程和结果，执法全过程做好文字、影像记录，重大执法决定必须经法制审核后方可作出。2025年，全局未发生行政执法投诉、行政复议和行政诉讼案件。</w:t>
      </w:r>
    </w:p>
    <w:p w14:paraId="458CFD1A">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聚焦重点领域执法。</w:t>
      </w:r>
      <w:r>
        <w:rPr>
          <w:rFonts w:hint="eastAsia" w:ascii="仿宋_GB2312" w:hAnsi="仿宋_GB2312" w:eastAsia="仿宋_GB2312" w:cs="仿宋_GB2312"/>
          <w:sz w:val="32"/>
          <w:szCs w:val="32"/>
        </w:rPr>
        <w:t>围绕重点领域开展专项执法行动，严厉打击违法违规行为。牵头组织开展招标投标领域突出问题系统整治，健全招标投标政策制度，防范招标投标领域廉政风险。加强价格监测预警，做好重要民生商品保供稳价，开展民生领域价格专项检查，切实维护市场价格秩序。深化节能降碳执法，开展节能宣传周系列活动，查处违规用能行为，推动绿色低碳发展。</w:t>
      </w:r>
    </w:p>
    <w:p w14:paraId="197E670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bookmarkStart w:id="4" w:name="heading_6"/>
      <w:r>
        <w:rPr>
          <w:rFonts w:hint="eastAsia" w:ascii="黑体" w:hAnsi="黑体" w:eastAsia="黑体" w:cs="黑体"/>
          <w:sz w:val="32"/>
          <w:szCs w:val="32"/>
        </w:rPr>
        <w:t>二、存在的问题与不足</w:t>
      </w:r>
      <w:bookmarkEnd w:id="4"/>
    </w:p>
    <w:p w14:paraId="6326268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2025年，县发改局法治政府建设工作取得了一定成效，但对照法治政府建设的更高要求和发展改革工作的实际需要，仍存在一些薄弱环节</w:t>
      </w:r>
      <w:r>
        <w:rPr>
          <w:rFonts w:hint="eastAsia" w:ascii="仿宋_GB2312" w:hAnsi="仿宋_GB2312" w:eastAsia="仿宋_GB2312" w:cs="仿宋_GB2312"/>
          <w:sz w:val="32"/>
          <w:szCs w:val="32"/>
          <w:lang w:eastAsia="zh-CN"/>
        </w:rPr>
        <w:t>。</w:t>
      </w:r>
    </w:p>
    <w:p w14:paraId="3249BCD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法治专业能力仍有差距</w:t>
      </w:r>
    </w:p>
    <w:p w14:paraId="135A2C8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部分干部职工法治思维和依法行政能力有待提升，尤其是在复杂项目</w:t>
      </w:r>
      <w:r>
        <w:rPr>
          <w:rFonts w:hint="eastAsia" w:ascii="仿宋_GB2312" w:hAnsi="仿宋_GB2312" w:eastAsia="仿宋_GB2312" w:cs="仿宋_GB2312"/>
          <w:sz w:val="32"/>
          <w:szCs w:val="32"/>
          <w:lang w:val="en-US" w:eastAsia="zh-CN"/>
        </w:rPr>
        <w:t>申报</w:t>
      </w:r>
      <w:r>
        <w:rPr>
          <w:rFonts w:hint="eastAsia" w:ascii="仿宋_GB2312" w:hAnsi="仿宋_GB2312" w:eastAsia="仿宋_GB2312" w:cs="仿宋_GB2312"/>
          <w:sz w:val="32"/>
          <w:szCs w:val="32"/>
        </w:rPr>
        <w:t>、新型执法领域，运用法治方式解决问题的能力不足，专业执法人才储备不够充足。</w:t>
      </w:r>
    </w:p>
    <w:p w14:paraId="089DEC9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（二）执法规范化水平仍需提高</w:t>
      </w:r>
    </w:p>
    <w:p w14:paraId="12EED47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执法全过程记录的完整性和规范性有待提升，跨部门执法协同机制不够健全，执法合力尚未充分发挥。</w:t>
      </w:r>
    </w:p>
    <w:p w14:paraId="6C0A977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bookmarkStart w:id="5" w:name="heading_7"/>
      <w:r>
        <w:rPr>
          <w:rFonts w:hint="eastAsia" w:ascii="黑体" w:hAnsi="黑体" w:eastAsia="黑体" w:cs="黑体"/>
          <w:sz w:val="32"/>
          <w:szCs w:val="32"/>
        </w:rPr>
        <w:t>三、2026年度工作计划</w:t>
      </w:r>
      <w:bookmarkEnd w:id="5"/>
    </w:p>
    <w:p w14:paraId="6D65DEA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2026年，县发改局将以问题为导向，聚焦短板弱项，强化举措、补齐短板，持续推进法治政府建设提质增效，为县域经济社会高质量发展提供更有力的法治保障。</w:t>
      </w:r>
    </w:p>
    <w:p w14:paraId="6233B27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深化理论武装，提升法治素养</w:t>
      </w:r>
    </w:p>
    <w:p w14:paraId="2BFF14E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深入学习贯彻习近平法治思想，完善党组理论学习中心组学法制度和干部职工常态化学习机制，创新学习形式，通过专题培训、案例研讨、法治党课等形式，提升干部职工法治思维和依法行政能力。加大专业执法人才培养力度，鼓励干部职工参加法律职业资格考试和行政执法培训，充实法治工作力量。</w:t>
      </w:r>
    </w:p>
    <w:p w14:paraId="24C9E24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（二）完善制度体系，规范行政行为</w:t>
      </w:r>
    </w:p>
    <w:p w14:paraId="4CCD774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进一步健全重大行政决策机制，提高决策的科学性和合法性。完善行政执法“三项制度”，规范执法流程和案卷制作，加强执法监督和案卷评查，提升执法规范化水平。</w:t>
      </w:r>
    </w:p>
    <w:p w14:paraId="117E1C8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14:paraId="236C7743">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2025年12月</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bookmarkStart w:id="6" w:name="_GoBack"/>
      <w:bookmarkEnd w:id="6"/>
    </w:p>
    <w:sectPr>
      <w:headerReference r:id="rId3" w:type="default"/>
      <w:footerReference r:id="rId4" w:type="default"/>
      <w:pgSz w:w="11905" w:h="16840"/>
      <w:pgMar w:top="1984" w:right="1531" w:bottom="1871" w:left="153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C4935"/>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1150CE"/>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compat>
    <w:useFELayout/>
    <w:splitPgBreakAndParaMark/>
    <w:compatSetting w:name="compatibilityMode" w:uri="http://schemas.microsoft.com/office/word" w:val="12"/>
  </w:compat>
  <w:rsids>
    <w:rsidRoot w:val="00000000"/>
    <w:rsid w:val="0D5435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sz w:val="21"/>
      <w:szCs w:val="22"/>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4481</Words>
  <Characters>4562</Characters>
  <TotalTime>18</TotalTime>
  <ScaleCrop>false</ScaleCrop>
  <LinksUpToDate>false</LinksUpToDate>
  <CharactersWithSpaces>4564</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2026-04-01T00:57:00Z</dcterms:created>
  <dc:creator>Apache POI</dc:creator>
  <cp:lastModifiedBy>实事求是</cp:lastModifiedBy>
  <dcterms:modified xsi:type="dcterms:W3CDTF">2026-04-01T01:28:17Z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eyJoZGlkIjoiNWE1MmU3ZDcxNzRkNTdiYmNhNmFlOTRmNjZkN2ZiOWYiLCJ1c2VySWQiOiIzOTQ5NTY4NzYifQ==</vt:lpwstr>
  </property>
  <property fmtid="{D5CDD505-2E9C-101B-9397-08002B2CF9AE}" pid="3" name="KSOProductBuildVer">
    <vt:lpwstr>2052-12.1.0.25225</vt:lpwstr>
  </property>
  <property fmtid="{D5CDD505-2E9C-101B-9397-08002B2CF9AE}" pid="4" name="ICV">
    <vt:lpwstr>D3F3D3BFA7944A79B3F7B841967C0096_12</vt:lpwstr>
  </property>
</Properties>
</file>