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400" w:lineRule="exact"/>
        <w:jc w:val="distribute"/>
        <w:textAlignment w:val="baseline"/>
        <w:outlineLvl w:val="0"/>
        <w:rPr>
          <w:rFonts w:hint="eastAsia" w:ascii="方正小标宋简体" w:hAnsi="方正小标宋简体" w:eastAsia="方正小标宋简体" w:cs="方正小标宋简体"/>
          <w:b w:val="0"/>
          <w:bCs w:val="0"/>
          <w:color w:val="FF3D00"/>
          <w:spacing w:val="0"/>
          <w:sz w:val="84"/>
          <w:szCs w:val="84"/>
          <w:u w:val="none" w:color="auto"/>
          <w:lang w:eastAsia="zh-CN"/>
        </w:rPr>
      </w:pPr>
    </w:p>
    <w:p>
      <w:pPr>
        <w:spacing w:before="299" w:line="219" w:lineRule="auto"/>
        <w:jc w:val="distribute"/>
        <w:outlineLvl w:val="0"/>
        <w:rPr>
          <w:rFonts w:hint="eastAsia" w:ascii="方正小标宋简体" w:hAnsi="方正小标宋简体" w:eastAsia="方正小标宋简体" w:cs="方正小标宋简体"/>
          <w:b w:val="0"/>
          <w:bCs w:val="0"/>
          <w:color w:val="FF3D00"/>
          <w:spacing w:val="0"/>
          <w:sz w:val="84"/>
          <w:szCs w:val="84"/>
          <w:u w:val="none" w:color="auto"/>
        </w:rPr>
      </w:pPr>
      <w:r>
        <w:rPr>
          <w:rFonts w:hint="eastAsia" w:ascii="方正小标宋简体" w:hAnsi="方正小标宋简体" w:eastAsia="方正小标宋简体" w:cs="方正小标宋简体"/>
          <w:b w:val="0"/>
          <w:bCs w:val="0"/>
          <w:color w:val="FF3D00"/>
          <w:spacing w:val="0"/>
          <w:sz w:val="84"/>
          <w:szCs w:val="84"/>
          <w:u w:val="none" w:color="auto"/>
          <w:lang w:eastAsia="zh-CN"/>
        </w:rPr>
        <w:t>威</w:t>
      </w:r>
      <w:r>
        <w:rPr>
          <w:rFonts w:hint="eastAsia" w:ascii="方正小标宋简体" w:hAnsi="方正小标宋简体" w:eastAsia="方正小标宋简体" w:cs="方正小标宋简体"/>
          <w:b w:val="0"/>
          <w:bCs w:val="0"/>
          <w:color w:val="FF3D00"/>
          <w:spacing w:val="0"/>
          <w:sz w:val="84"/>
          <w:szCs w:val="84"/>
          <w:u w:val="none" w:color="auto"/>
        </w:rPr>
        <w:t>县民族宗教事务局</w:t>
      </w:r>
    </w:p>
    <w:p>
      <w:pPr>
        <w:spacing w:line="373" w:lineRule="auto"/>
        <w:rPr>
          <w:rFonts w:ascii="Arial"/>
          <w:sz w:val="21"/>
        </w:rPr>
      </w:pPr>
      <w:r>
        <w:rPr>
          <w:sz w:val="21"/>
        </w:rPr>
        <mc:AlternateContent>
          <mc:Choice Requires="wps">
            <w:drawing>
              <wp:anchor distT="0" distB="0" distL="114300" distR="114300" simplePos="0" relativeHeight="251659264" behindDoc="0" locked="0" layoutInCell="1" allowOverlap="1">
                <wp:simplePos x="0" y="0"/>
                <wp:positionH relativeFrom="column">
                  <wp:posOffset>-73660</wp:posOffset>
                </wp:positionH>
                <wp:positionV relativeFrom="paragraph">
                  <wp:posOffset>198755</wp:posOffset>
                </wp:positionV>
                <wp:extent cx="5760085" cy="0"/>
                <wp:effectExtent l="0" t="9525" r="12065" b="9525"/>
                <wp:wrapNone/>
                <wp:docPr id="1" name="直接连接符 1"/>
                <wp:cNvGraphicFramePr/>
                <a:graphic xmlns:a="http://schemas.openxmlformats.org/drawingml/2006/main">
                  <a:graphicData uri="http://schemas.microsoft.com/office/word/2010/wordprocessingShape">
                    <wps:wsp>
                      <wps:cNvCnPr/>
                      <wps:spPr>
                        <a:xfrm>
                          <a:off x="1137285" y="2192655"/>
                          <a:ext cx="5760085" cy="0"/>
                        </a:xfrm>
                        <a:prstGeom prst="line">
                          <a:avLst/>
                        </a:prstGeom>
                        <a:ln w="19050">
                          <a:solidFill>
                            <a:srgbClr val="FF3D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5.8pt;margin-top:15.65pt;height:0pt;width:453.55pt;z-index:251659264;mso-width-relative:page;mso-height-relative:page;" filled="f" stroked="t" coordsize="21600,21600" o:gfxdata="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vg&#10;cBvZAAAACQEAAA8AAAAAAAAAAQAgAAAAIgAAAGRycy9kb3ducmV2LnhtbFBLAQIUABQAAAAIAIdO&#10;4kAq1gJ96QEAAKcDAAAOAAAAAAAAAAEAIAAAACgBAABkcnMvZTJvRG9jLnhtbFBLBQYAAAAABgAG&#10;AFkBAACDBQAAAAA=&#10;">
                <v:fill on="f" focussize="0,0"/>
                <v:stroke weight="1.5pt" color="#FF3D00 [3204]" joinstyle="round"/>
                <v:imagedata o:title=""/>
                <o:lock v:ext="edit" aspectratio="f"/>
              </v:line>
            </w:pict>
          </mc:Fallback>
        </mc:AlternateContent>
      </w:r>
    </w:p>
    <w:p>
      <w:pPr>
        <w:keepNext w:val="0"/>
        <w:keepLines w:val="0"/>
        <w:pageBreakBefore w:val="0"/>
        <w:widowControl w:val="0"/>
        <w:kinsoku/>
        <w:wordWrap/>
        <w:overflowPunct/>
        <w:topLinePunct/>
        <w:autoSpaceDE/>
        <w:autoSpaceDN/>
        <w:bidi w:val="0"/>
        <w:adjustRightInd w:val="0"/>
        <w:snapToGrid w:val="0"/>
        <w:spacing w:line="600" w:lineRule="exact"/>
        <w:ind w:right="0"/>
        <w:jc w:val="both"/>
        <w:textAlignment w:val="baseline"/>
        <w:outlineLvl w:val="9"/>
        <w:rPr>
          <w:rFonts w:hint="eastAsia" w:ascii="方正小标宋简体" w:hAnsi="方正小标宋简体" w:eastAsia="方正小标宋简体" w:cs="方正小标宋简体"/>
          <w:b w:val="0"/>
          <w:bCs w:val="0"/>
          <w:spacing w:val="-1"/>
          <w:sz w:val="44"/>
          <w:szCs w:val="44"/>
          <w:lang w:eastAsia="zh-CN"/>
        </w:rPr>
      </w:pPr>
    </w:p>
    <w:p>
      <w:pPr>
        <w:keepNext w:val="0"/>
        <w:keepLines w:val="0"/>
        <w:pageBreakBefore w:val="0"/>
        <w:widowControl w:val="0"/>
        <w:kinsoku/>
        <w:wordWrap/>
        <w:overflowPunct/>
        <w:topLinePunct/>
        <w:autoSpaceDE/>
        <w:autoSpaceDN/>
        <w:bidi w:val="0"/>
        <w:adjustRightInd w:val="0"/>
        <w:snapToGrid w:val="0"/>
        <w:spacing w:line="600" w:lineRule="exact"/>
        <w:ind w:right="0"/>
        <w:jc w:val="center"/>
        <w:textAlignment w:val="baseline"/>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1"/>
          <w:sz w:val="44"/>
          <w:szCs w:val="44"/>
          <w:lang w:eastAsia="zh-CN"/>
        </w:rPr>
        <w:t>威县</w:t>
      </w:r>
      <w:r>
        <w:rPr>
          <w:rFonts w:hint="eastAsia" w:ascii="方正小标宋简体" w:hAnsi="方正小标宋简体" w:eastAsia="方正小标宋简体" w:cs="方正小标宋简体"/>
          <w:b w:val="0"/>
          <w:bCs w:val="0"/>
          <w:spacing w:val="-1"/>
          <w:sz w:val="44"/>
          <w:szCs w:val="44"/>
        </w:rPr>
        <w:t>民族宗教事务局</w:t>
      </w:r>
    </w:p>
    <w:p>
      <w:pPr>
        <w:keepNext w:val="0"/>
        <w:keepLines w:val="0"/>
        <w:pageBreakBefore w:val="0"/>
        <w:widowControl w:val="0"/>
        <w:kinsoku/>
        <w:wordWrap/>
        <w:overflowPunct/>
        <w:topLinePunct/>
        <w:autoSpaceDE/>
        <w:autoSpaceDN/>
        <w:bidi w:val="0"/>
        <w:adjustRightInd w:val="0"/>
        <w:snapToGrid w:val="0"/>
        <w:spacing w:line="600" w:lineRule="exact"/>
        <w:ind w:right="0"/>
        <w:jc w:val="center"/>
        <w:textAlignment w:val="baseline"/>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7"/>
          <w:sz w:val="44"/>
          <w:szCs w:val="44"/>
        </w:rPr>
        <w:t>2025年度法治政府建设情况报告</w:t>
      </w: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今年以来，</w:t>
      </w:r>
      <w:r>
        <w:rPr>
          <w:rFonts w:hint="eastAsia" w:ascii="仿宋_GB2312" w:hAnsi="仿宋_GB2312" w:eastAsia="仿宋_GB2312" w:cs="仿宋_GB2312"/>
          <w:spacing w:val="0"/>
          <w:sz w:val="32"/>
          <w:szCs w:val="32"/>
          <w:lang w:eastAsia="zh-CN"/>
        </w:rPr>
        <w:t>威县</w:t>
      </w:r>
      <w:r>
        <w:rPr>
          <w:rFonts w:hint="eastAsia" w:ascii="仿宋_GB2312" w:hAnsi="仿宋_GB2312" w:eastAsia="仿宋_GB2312" w:cs="仿宋_GB2312"/>
          <w:spacing w:val="0"/>
          <w:sz w:val="32"/>
          <w:szCs w:val="32"/>
        </w:rPr>
        <w:t>民族宗教事务局坚持以习近平法治思想为指导，全面贯彻党的二十大和二十届全会精神，深入</w:t>
      </w:r>
      <w:r>
        <w:rPr>
          <w:rFonts w:hint="eastAsia" w:ascii="仿宋_GB2312" w:hAnsi="仿宋_GB2312" w:eastAsia="仿宋_GB2312" w:cs="仿宋_GB2312"/>
          <w:spacing w:val="0"/>
          <w:sz w:val="32"/>
          <w:szCs w:val="32"/>
          <w:lang w:eastAsia="zh-CN"/>
        </w:rPr>
        <w:t>贯彻</w:t>
      </w:r>
      <w:r>
        <w:rPr>
          <w:rFonts w:hint="eastAsia" w:ascii="仿宋_GB2312" w:hAnsi="仿宋_GB2312" w:eastAsia="仿宋_GB2312" w:cs="仿宋_GB2312"/>
          <w:spacing w:val="0"/>
          <w:sz w:val="32"/>
          <w:szCs w:val="32"/>
        </w:rPr>
        <w:t>落实法治建设“一规划两纲要”要求，严格执行省</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spacing w:val="0"/>
          <w:sz w:val="32"/>
          <w:szCs w:val="32"/>
        </w:rPr>
        <w:t>市</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spacing w:val="0"/>
          <w:sz w:val="32"/>
          <w:szCs w:val="32"/>
        </w:rPr>
        <w:t>县法治政府建设决策部署，坚持依法行政，扎实推进各项工作，</w:t>
      </w:r>
      <w:r>
        <w:rPr>
          <w:rFonts w:hint="eastAsia" w:ascii="仿宋_GB2312" w:hAnsi="仿宋_GB2312" w:eastAsia="仿宋_GB2312" w:cs="仿宋_GB2312"/>
          <w:spacing w:val="0"/>
          <w:sz w:val="32"/>
          <w:szCs w:val="32"/>
          <w:lang w:eastAsia="zh-CN"/>
        </w:rPr>
        <w:t>具体</w:t>
      </w:r>
      <w:r>
        <w:rPr>
          <w:rFonts w:hint="eastAsia" w:ascii="仿宋_GB2312" w:hAnsi="仿宋_GB2312" w:eastAsia="仿宋_GB2312" w:cs="仿宋_GB2312"/>
          <w:spacing w:val="0"/>
          <w:sz w:val="32"/>
          <w:szCs w:val="32"/>
        </w:rPr>
        <w:t>情况报告如下：</w:t>
      </w: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0" w:firstLineChars="200"/>
        <w:jc w:val="both"/>
        <w:textAlignment w:val="baseline"/>
        <w:outlineLvl w:val="9"/>
        <w:rPr>
          <w:rFonts w:hint="eastAsia" w:ascii="黑体" w:hAnsi="黑体" w:eastAsia="黑体" w:cs="黑体"/>
          <w:b w:val="0"/>
          <w:bCs w:val="0"/>
          <w:spacing w:val="0"/>
          <w:sz w:val="32"/>
          <w:szCs w:val="32"/>
        </w:rPr>
      </w:pPr>
      <w:r>
        <w:rPr>
          <w:rFonts w:hint="eastAsia" w:ascii="黑体" w:hAnsi="黑体" w:eastAsia="黑体" w:cs="黑体"/>
          <w:b w:val="0"/>
          <w:bCs w:val="0"/>
          <w:spacing w:val="0"/>
          <w:sz w:val="32"/>
          <w:szCs w:val="32"/>
        </w:rPr>
        <w:t>一、主要</w:t>
      </w:r>
      <w:r>
        <w:rPr>
          <w:rFonts w:hint="eastAsia" w:ascii="黑体" w:hAnsi="黑体" w:eastAsia="黑体" w:cs="黑体"/>
          <w:b w:val="0"/>
          <w:bCs w:val="0"/>
          <w:spacing w:val="0"/>
          <w:sz w:val="32"/>
          <w:szCs w:val="32"/>
          <w:lang w:eastAsia="zh-CN"/>
        </w:rPr>
        <w:t>措施</w:t>
      </w:r>
      <w:r>
        <w:rPr>
          <w:rFonts w:hint="eastAsia" w:ascii="黑体" w:hAnsi="黑体" w:eastAsia="黑体" w:cs="黑体"/>
          <w:b w:val="0"/>
          <w:bCs w:val="0"/>
          <w:spacing w:val="0"/>
          <w:sz w:val="32"/>
          <w:szCs w:val="32"/>
        </w:rPr>
        <w:t>与成效</w:t>
      </w: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0" w:firstLineChars="200"/>
        <w:jc w:val="both"/>
        <w:textAlignment w:val="baseline"/>
        <w:outlineLvl w:val="9"/>
        <w:rPr>
          <w:rFonts w:hint="eastAsia" w:ascii="仿宋_GB2312" w:hAnsi="仿宋_GB2312" w:eastAsia="仿宋_GB2312" w:cs="仿宋_GB2312"/>
          <w:b w:val="0"/>
          <w:bCs w:val="0"/>
          <w:spacing w:val="0"/>
          <w:sz w:val="32"/>
          <w:szCs w:val="32"/>
        </w:rPr>
      </w:pPr>
      <w:r>
        <w:rPr>
          <w:rFonts w:hint="eastAsia" w:ascii="仿宋_GB2312" w:hAnsi="仿宋_GB2312" w:eastAsia="仿宋_GB2312" w:cs="仿宋_GB2312"/>
          <w:b w:val="0"/>
          <w:bCs w:val="0"/>
          <w:spacing w:val="0"/>
          <w:sz w:val="32"/>
          <w:szCs w:val="32"/>
          <w:lang w:val="en-US" w:eastAsia="zh-CN"/>
        </w:rPr>
        <w:t>1.</w:t>
      </w:r>
      <w:r>
        <w:rPr>
          <w:rFonts w:hint="eastAsia" w:ascii="仿宋_GB2312" w:hAnsi="仿宋_GB2312" w:eastAsia="仿宋_GB2312" w:cs="仿宋_GB2312"/>
          <w:b w:val="0"/>
          <w:bCs w:val="0"/>
          <w:spacing w:val="0"/>
          <w:sz w:val="32"/>
          <w:szCs w:val="32"/>
        </w:rPr>
        <w:t>将习近平法治思想及《</w:t>
      </w:r>
      <w:r>
        <w:rPr>
          <w:rFonts w:hint="eastAsia" w:ascii="仿宋_GB2312" w:hAnsi="仿宋_GB2312" w:eastAsia="仿宋_GB2312" w:cs="仿宋_GB2312"/>
          <w:b w:val="0"/>
          <w:bCs w:val="0"/>
          <w:spacing w:val="0"/>
          <w:sz w:val="32"/>
          <w:szCs w:val="32"/>
          <w:lang w:eastAsia="zh-CN"/>
        </w:rPr>
        <w:t>河北省</w:t>
      </w:r>
      <w:r>
        <w:rPr>
          <w:rFonts w:hint="eastAsia" w:ascii="仿宋_GB2312" w:hAnsi="仿宋_GB2312" w:eastAsia="仿宋_GB2312" w:cs="仿宋_GB2312"/>
          <w:b w:val="0"/>
          <w:bCs w:val="0"/>
          <w:spacing w:val="0"/>
          <w:sz w:val="32"/>
          <w:szCs w:val="32"/>
        </w:rPr>
        <w:t>宗教事务条例》</w:t>
      </w:r>
      <w:r>
        <w:rPr>
          <w:rFonts w:hint="eastAsia" w:ascii="仿宋_GB2312" w:hAnsi="仿宋_GB2312" w:eastAsia="仿宋_GB2312" w:cs="仿宋_GB2312"/>
          <w:b w:val="0"/>
          <w:bCs w:val="0"/>
          <w:spacing w:val="0"/>
          <w:sz w:val="32"/>
          <w:szCs w:val="32"/>
          <w:lang w:eastAsia="zh-CN"/>
        </w:rPr>
        <w:t>、</w:t>
      </w:r>
      <w:r>
        <w:rPr>
          <w:rFonts w:hint="eastAsia" w:ascii="仿宋_GB2312" w:hAnsi="仿宋_GB2312" w:eastAsia="仿宋_GB2312" w:cs="仿宋_GB2312"/>
          <w:b w:val="0"/>
          <w:bCs w:val="0"/>
          <w:spacing w:val="0"/>
          <w:sz w:val="32"/>
          <w:szCs w:val="32"/>
        </w:rPr>
        <w:t>《</w:t>
      </w:r>
      <w:r>
        <w:rPr>
          <w:rFonts w:hint="eastAsia" w:ascii="仿宋_GB2312" w:hAnsi="仿宋_GB2312" w:eastAsia="仿宋_GB2312" w:cs="仿宋_GB2312"/>
          <w:b w:val="0"/>
          <w:bCs w:val="0"/>
          <w:spacing w:val="0"/>
          <w:sz w:val="32"/>
          <w:szCs w:val="32"/>
          <w:lang w:eastAsia="zh-CN"/>
        </w:rPr>
        <w:t>河北省清真食品管理条例</w:t>
      </w:r>
      <w:r>
        <w:rPr>
          <w:rFonts w:hint="eastAsia" w:ascii="仿宋_GB2312" w:hAnsi="仿宋_GB2312" w:eastAsia="仿宋_GB2312" w:cs="仿宋_GB2312"/>
          <w:b w:val="0"/>
          <w:bCs w:val="0"/>
          <w:spacing w:val="0"/>
          <w:sz w:val="32"/>
          <w:szCs w:val="32"/>
        </w:rPr>
        <w:t>》等民族宗教领域</w:t>
      </w:r>
      <w:r>
        <w:rPr>
          <w:rFonts w:hint="eastAsia" w:ascii="仿宋_GB2312" w:hAnsi="仿宋_GB2312" w:eastAsia="仿宋_GB2312" w:cs="仿宋_GB2312"/>
          <w:b w:val="0"/>
          <w:bCs w:val="0"/>
          <w:spacing w:val="0"/>
          <w:sz w:val="32"/>
          <w:szCs w:val="32"/>
          <w:lang w:eastAsia="zh-CN"/>
        </w:rPr>
        <w:t>政策</w:t>
      </w:r>
      <w:r>
        <w:rPr>
          <w:rFonts w:hint="eastAsia" w:ascii="仿宋_GB2312" w:hAnsi="仿宋_GB2312" w:eastAsia="仿宋_GB2312" w:cs="仿宋_GB2312"/>
          <w:b w:val="0"/>
          <w:bCs w:val="0"/>
          <w:spacing w:val="0"/>
          <w:sz w:val="32"/>
          <w:szCs w:val="32"/>
        </w:rPr>
        <w:t>法规，纳入党组理论学习中心组、干部职工日常学习重点，全年组织专题学习</w:t>
      </w:r>
      <w:r>
        <w:rPr>
          <w:rFonts w:hint="eastAsia" w:ascii="仿宋_GB2312" w:hAnsi="仿宋_GB2312" w:eastAsia="仿宋_GB2312" w:cs="仿宋_GB2312"/>
          <w:b w:val="0"/>
          <w:bCs w:val="0"/>
          <w:spacing w:val="0"/>
          <w:sz w:val="32"/>
          <w:szCs w:val="32"/>
          <w:lang w:val="en-US" w:eastAsia="zh-CN"/>
        </w:rPr>
        <w:t>15</w:t>
      </w:r>
      <w:r>
        <w:rPr>
          <w:rFonts w:hint="eastAsia" w:ascii="仿宋_GB2312" w:hAnsi="仿宋_GB2312" w:eastAsia="仿宋_GB2312" w:cs="仿宋_GB2312"/>
          <w:b w:val="0"/>
          <w:bCs w:val="0"/>
          <w:spacing w:val="0"/>
          <w:sz w:val="32"/>
          <w:szCs w:val="32"/>
        </w:rPr>
        <w:t>次，切实提升干部职工运用法治思维和法治方式管理民族宗教事务的能力。</w:t>
      </w: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0" w:firstLineChars="200"/>
        <w:jc w:val="both"/>
        <w:textAlignment w:val="baseline"/>
        <w:outlineLvl w:val="9"/>
        <w:rPr>
          <w:rFonts w:hint="eastAsia" w:ascii="仿宋_GB2312" w:hAnsi="仿宋_GB2312" w:eastAsia="仿宋_GB2312" w:cs="仿宋_GB2312"/>
          <w:b w:val="0"/>
          <w:bCs w:val="0"/>
          <w:spacing w:val="0"/>
          <w:sz w:val="32"/>
          <w:szCs w:val="32"/>
        </w:rPr>
      </w:pPr>
      <w:r>
        <w:rPr>
          <w:rFonts w:hint="eastAsia" w:ascii="仿宋_GB2312" w:hAnsi="仿宋_GB2312" w:eastAsia="仿宋_GB2312" w:cs="仿宋_GB2312"/>
          <w:b w:val="0"/>
          <w:bCs w:val="0"/>
          <w:spacing w:val="0"/>
          <w:sz w:val="32"/>
          <w:szCs w:val="32"/>
          <w:lang w:val="en-US" w:eastAsia="zh-CN"/>
        </w:rPr>
        <w:t>2.</w:t>
      </w:r>
      <w:r>
        <w:rPr>
          <w:rFonts w:hint="eastAsia" w:ascii="仿宋_GB2312" w:hAnsi="仿宋_GB2312" w:eastAsia="仿宋_GB2312" w:cs="仿宋_GB2312"/>
          <w:b w:val="0"/>
          <w:bCs w:val="0"/>
          <w:spacing w:val="0"/>
          <w:sz w:val="32"/>
          <w:szCs w:val="32"/>
        </w:rPr>
        <w:t>严格落实行政执法“三项制度”,对宗教活动场所检查</w:t>
      </w:r>
      <w:r>
        <w:rPr>
          <w:rFonts w:hint="eastAsia" w:ascii="仿宋_GB2312" w:hAnsi="仿宋_GB2312" w:eastAsia="仿宋_GB2312" w:cs="仿宋_GB2312"/>
          <w:b w:val="0"/>
          <w:bCs w:val="0"/>
          <w:spacing w:val="0"/>
          <w:sz w:val="32"/>
          <w:szCs w:val="32"/>
          <w:lang w:eastAsia="zh-CN"/>
        </w:rPr>
        <w:t>、</w:t>
      </w:r>
      <w:r>
        <w:rPr>
          <w:rFonts w:hint="eastAsia" w:ascii="仿宋_GB2312" w:hAnsi="仿宋_GB2312" w:eastAsia="仿宋_GB2312" w:cs="仿宋_GB2312"/>
          <w:b w:val="0"/>
          <w:bCs w:val="0"/>
          <w:spacing w:val="0"/>
          <w:sz w:val="32"/>
          <w:szCs w:val="32"/>
        </w:rPr>
        <w:t>矛盾纠纷调处等工作全程记录、规范流程，重大事项均按程序集体研究、合法性审查，全年未发生行政复议或行政</w:t>
      </w:r>
      <w:r>
        <w:rPr>
          <w:rFonts w:hint="eastAsia" w:ascii="仿宋_GB2312" w:hAnsi="仿宋_GB2312" w:eastAsia="仿宋_GB2312" w:cs="仿宋_GB2312"/>
          <w:b w:val="0"/>
          <w:bCs w:val="0"/>
          <w:spacing w:val="0"/>
          <w:sz w:val="32"/>
          <w:szCs w:val="32"/>
          <w:lang w:eastAsia="zh-CN"/>
        </w:rPr>
        <w:t>诉讼</w:t>
      </w:r>
      <w:r>
        <w:rPr>
          <w:rFonts w:hint="eastAsia" w:ascii="仿宋_GB2312" w:hAnsi="仿宋_GB2312" w:eastAsia="仿宋_GB2312" w:cs="仿宋_GB2312"/>
          <w:b w:val="0"/>
          <w:bCs w:val="0"/>
          <w:spacing w:val="0"/>
          <w:sz w:val="32"/>
          <w:szCs w:val="32"/>
        </w:rPr>
        <w:t>案件，确保行政行为依法合规。</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仿宋_GB2312" w:hAnsi="仿宋_GB2312" w:eastAsia="仿宋_GB2312" w:cs="仿宋_GB2312"/>
          <w:b w:val="0"/>
          <w:bCs w:val="0"/>
          <w:spacing w:val="0"/>
          <w:sz w:val="32"/>
          <w:szCs w:val="32"/>
        </w:rPr>
      </w:pPr>
      <w:r>
        <w:rPr>
          <w:rFonts w:hint="eastAsia" w:ascii="仿宋_GB2312" w:hAnsi="仿宋_GB2312" w:eastAsia="仿宋_GB2312" w:cs="仿宋_GB2312"/>
          <w:b w:val="0"/>
          <w:bCs w:val="0"/>
          <w:spacing w:val="0"/>
          <w:sz w:val="32"/>
          <w:szCs w:val="32"/>
          <w:lang w:val="en-US" w:eastAsia="zh-CN"/>
        </w:rPr>
        <w:t>3.</w:t>
      </w:r>
      <w:r>
        <w:rPr>
          <w:rFonts w:hint="eastAsia" w:ascii="仿宋_GB2312" w:hAnsi="仿宋_GB2312" w:eastAsia="仿宋_GB2312" w:cs="仿宋_GB2312"/>
          <w:b w:val="0"/>
          <w:bCs w:val="0"/>
          <w:spacing w:val="0"/>
          <w:sz w:val="32"/>
          <w:szCs w:val="32"/>
        </w:rPr>
        <w:t>依法办理民族成份变更等事项</w:t>
      </w:r>
      <w:r>
        <w:rPr>
          <w:rFonts w:hint="eastAsia" w:ascii="仿宋_GB2312" w:hAnsi="仿宋_GB2312" w:eastAsia="仿宋_GB2312" w:cs="仿宋_GB2312"/>
          <w:b w:val="0"/>
          <w:bCs w:val="0"/>
          <w:spacing w:val="0"/>
          <w:sz w:val="32"/>
          <w:szCs w:val="32"/>
          <w:lang w:val="en-US" w:eastAsia="zh-CN"/>
        </w:rPr>
        <w:t>1</w:t>
      </w:r>
      <w:r>
        <w:rPr>
          <w:rFonts w:hint="eastAsia" w:ascii="仿宋_GB2312" w:hAnsi="仿宋_GB2312" w:eastAsia="仿宋_GB2312" w:cs="仿宋_GB2312"/>
          <w:b w:val="0"/>
          <w:bCs w:val="0"/>
          <w:spacing w:val="0"/>
          <w:sz w:val="32"/>
          <w:szCs w:val="32"/>
        </w:rPr>
        <w:t>件</w:t>
      </w:r>
      <w:r>
        <w:rPr>
          <w:rFonts w:hint="eastAsia" w:ascii="仿宋_GB2312" w:hAnsi="仿宋_GB2312" w:eastAsia="仿宋_GB2312" w:cs="仿宋_GB2312"/>
          <w:b w:val="0"/>
          <w:bCs w:val="0"/>
          <w:spacing w:val="0"/>
          <w:sz w:val="32"/>
          <w:szCs w:val="32"/>
          <w:lang w:eastAsia="zh-CN"/>
        </w:rPr>
        <w:t>；</w:t>
      </w:r>
      <w:r>
        <w:rPr>
          <w:rFonts w:hint="eastAsia" w:ascii="仿宋_GB2312" w:hAnsi="仿宋_GB2312" w:eastAsia="仿宋_GB2312" w:cs="仿宋_GB2312"/>
          <w:b w:val="0"/>
          <w:bCs w:val="0"/>
          <w:spacing w:val="0"/>
          <w:sz w:val="32"/>
          <w:szCs w:val="32"/>
        </w:rPr>
        <w:t>常态化开展宗教活动场所安全检查</w:t>
      </w:r>
      <w:r>
        <w:rPr>
          <w:rFonts w:hint="eastAsia" w:ascii="仿宋_GB2312" w:hAnsi="仿宋_GB2312" w:eastAsia="仿宋_GB2312" w:cs="仿宋_GB2312"/>
          <w:b w:val="0"/>
          <w:bCs w:val="0"/>
          <w:spacing w:val="0"/>
          <w:sz w:val="32"/>
          <w:szCs w:val="32"/>
          <w:lang w:val="en-US" w:eastAsia="zh-CN"/>
        </w:rPr>
        <w:t>5</w:t>
      </w:r>
      <w:r>
        <w:rPr>
          <w:rFonts w:hint="eastAsia" w:ascii="仿宋_GB2312" w:hAnsi="仿宋_GB2312" w:eastAsia="仿宋_GB2312" w:cs="仿宋_GB2312"/>
          <w:b w:val="0"/>
          <w:bCs w:val="0"/>
          <w:spacing w:val="0"/>
          <w:sz w:val="32"/>
          <w:szCs w:val="32"/>
        </w:rPr>
        <w:t>0余次，整改安全隐患1</w:t>
      </w:r>
      <w:r>
        <w:rPr>
          <w:rFonts w:hint="eastAsia" w:ascii="仿宋_GB2312" w:hAnsi="仿宋_GB2312" w:eastAsia="仿宋_GB2312" w:cs="仿宋_GB2312"/>
          <w:b w:val="0"/>
          <w:bCs w:val="0"/>
          <w:spacing w:val="0"/>
          <w:sz w:val="32"/>
          <w:szCs w:val="32"/>
          <w:lang w:val="en-US" w:eastAsia="zh-CN"/>
        </w:rPr>
        <w:t>1</w:t>
      </w:r>
      <w:r>
        <w:rPr>
          <w:rFonts w:hint="eastAsia" w:ascii="仿宋_GB2312" w:hAnsi="仿宋_GB2312" w:eastAsia="仿宋_GB2312" w:cs="仿宋_GB2312"/>
          <w:b w:val="0"/>
          <w:bCs w:val="0"/>
          <w:spacing w:val="0"/>
          <w:sz w:val="32"/>
          <w:szCs w:val="32"/>
        </w:rPr>
        <w:t>处，依法规范宗教活动秩序；优化涉民族宗教政务服务，提升办事效率，切实保障群众合法权益。</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b w:val="0"/>
          <w:bCs w:val="0"/>
          <w:spacing w:val="0"/>
          <w:sz w:val="32"/>
          <w:szCs w:val="32"/>
          <w:lang w:val="en-US" w:eastAsia="zh-CN"/>
        </w:rPr>
        <w:t>4.</w:t>
      </w:r>
      <w:r>
        <w:rPr>
          <w:rFonts w:hint="eastAsia" w:ascii="仿宋_GB2312" w:hAnsi="仿宋_GB2312" w:eastAsia="仿宋_GB2312" w:cs="仿宋_GB2312"/>
          <w:b w:val="0"/>
          <w:bCs w:val="0"/>
          <w:spacing w:val="0"/>
          <w:sz w:val="32"/>
          <w:szCs w:val="32"/>
        </w:rPr>
        <w:t>开展</w:t>
      </w:r>
      <w:r>
        <w:rPr>
          <w:rFonts w:hint="eastAsia" w:ascii="仿宋_GB2312" w:hAnsi="仿宋_GB2312" w:eastAsia="仿宋_GB2312" w:cs="仿宋_GB2312"/>
          <w:b w:val="0"/>
          <w:bCs w:val="0"/>
          <w:spacing w:val="0"/>
          <w:sz w:val="32"/>
          <w:szCs w:val="32"/>
          <w:lang w:eastAsia="zh-CN"/>
        </w:rPr>
        <w:t>民族、宗教政策法规专项</w:t>
      </w:r>
      <w:r>
        <w:rPr>
          <w:rFonts w:hint="eastAsia" w:ascii="仿宋_GB2312" w:hAnsi="仿宋_GB2312" w:eastAsia="仿宋_GB2312" w:cs="仿宋_GB2312"/>
          <w:b w:val="0"/>
          <w:bCs w:val="0"/>
          <w:spacing w:val="0"/>
          <w:sz w:val="32"/>
          <w:szCs w:val="32"/>
        </w:rPr>
        <w:t>学习活动</w:t>
      </w:r>
      <w:r>
        <w:rPr>
          <w:rFonts w:hint="eastAsia" w:ascii="仿宋_GB2312" w:hAnsi="仿宋_GB2312" w:eastAsia="仿宋_GB2312" w:cs="仿宋_GB2312"/>
          <w:b w:val="0"/>
          <w:bCs w:val="0"/>
          <w:spacing w:val="0"/>
          <w:sz w:val="32"/>
          <w:szCs w:val="32"/>
          <w:lang w:val="en-US" w:eastAsia="zh-CN"/>
        </w:rPr>
        <w:t>4</w:t>
      </w:r>
      <w:r>
        <w:rPr>
          <w:rFonts w:hint="eastAsia" w:ascii="仿宋_GB2312" w:hAnsi="仿宋_GB2312" w:eastAsia="仿宋_GB2312" w:cs="仿宋_GB2312"/>
          <w:b w:val="0"/>
          <w:bCs w:val="0"/>
          <w:spacing w:val="0"/>
          <w:sz w:val="32"/>
          <w:szCs w:val="32"/>
        </w:rPr>
        <w:t>次，结合民族团结进步宣传月、宪法宣传周等节点，通过发放资</w:t>
      </w:r>
      <w:r>
        <w:rPr>
          <w:rFonts w:hint="eastAsia" w:ascii="仿宋_GB2312" w:hAnsi="仿宋_GB2312" w:eastAsia="仿宋_GB2312" w:cs="仿宋_GB2312"/>
          <w:spacing w:val="0"/>
          <w:sz w:val="32"/>
          <w:szCs w:val="32"/>
        </w:rPr>
        <w:t>料、现场</w:t>
      </w:r>
      <w:r>
        <w:rPr>
          <w:rFonts w:hint="eastAsia" w:ascii="仿宋_GB2312" w:hAnsi="仿宋_GB2312" w:eastAsia="仿宋_GB2312" w:cs="仿宋_GB2312"/>
          <w:spacing w:val="0"/>
          <w:sz w:val="32"/>
          <w:szCs w:val="32"/>
          <w:lang w:eastAsia="zh-CN"/>
        </w:rPr>
        <w:t>释义</w:t>
      </w:r>
      <w:r>
        <w:rPr>
          <w:rFonts w:hint="eastAsia" w:ascii="仿宋_GB2312" w:hAnsi="仿宋_GB2312" w:eastAsia="仿宋_GB2312" w:cs="仿宋_GB2312"/>
          <w:spacing w:val="0"/>
          <w:sz w:val="32"/>
          <w:szCs w:val="32"/>
        </w:rPr>
        <w:t>等方式开展普法宣传</w:t>
      </w:r>
      <w:r>
        <w:rPr>
          <w:rFonts w:hint="eastAsia" w:ascii="仿宋_GB2312" w:hAnsi="仿宋_GB2312" w:eastAsia="仿宋_GB2312" w:cs="仿宋_GB2312"/>
          <w:spacing w:val="0"/>
          <w:sz w:val="32"/>
          <w:szCs w:val="32"/>
          <w:lang w:val="en-US" w:eastAsia="zh-CN"/>
        </w:rPr>
        <w:t>3</w:t>
      </w:r>
      <w:r>
        <w:rPr>
          <w:rFonts w:hint="eastAsia" w:ascii="仿宋_GB2312" w:hAnsi="仿宋_GB2312" w:eastAsia="仿宋_GB2312" w:cs="仿宋_GB2312"/>
          <w:spacing w:val="0"/>
          <w:sz w:val="32"/>
          <w:szCs w:val="32"/>
        </w:rPr>
        <w:t>次，覆盖群众</w:t>
      </w:r>
      <w:r>
        <w:rPr>
          <w:rFonts w:hint="eastAsia" w:ascii="仿宋_GB2312" w:hAnsi="仿宋_GB2312" w:eastAsia="仿宋_GB2312" w:cs="仿宋_GB2312"/>
          <w:spacing w:val="0"/>
          <w:sz w:val="32"/>
          <w:szCs w:val="32"/>
          <w:lang w:val="en-US" w:eastAsia="zh-CN"/>
        </w:rPr>
        <w:t>150</w:t>
      </w:r>
      <w:r>
        <w:rPr>
          <w:rFonts w:hint="eastAsia" w:ascii="仿宋_GB2312" w:hAnsi="仿宋_GB2312" w:eastAsia="仿宋_GB2312" w:cs="仿宋_GB2312"/>
          <w:spacing w:val="0"/>
          <w:sz w:val="32"/>
          <w:szCs w:val="32"/>
        </w:rPr>
        <w:t>余人次，营造尊法学法守法用法的良好氛围。</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黑体" w:hAnsi="黑体" w:eastAsia="黑体" w:cs="黑体"/>
          <w:b w:val="0"/>
          <w:bCs w:val="0"/>
          <w:spacing w:val="0"/>
          <w:sz w:val="32"/>
          <w:szCs w:val="32"/>
        </w:rPr>
      </w:pPr>
      <w:r>
        <w:rPr>
          <w:rFonts w:hint="eastAsia" w:ascii="黑体" w:hAnsi="黑体" w:eastAsia="黑体" w:cs="黑体"/>
          <w:b w:val="0"/>
          <w:bCs w:val="0"/>
          <w:spacing w:val="0"/>
          <w:sz w:val="32"/>
          <w:szCs w:val="32"/>
        </w:rPr>
        <w:t>二、</w:t>
      </w:r>
      <w:r>
        <w:rPr>
          <w:rFonts w:hint="eastAsia" w:ascii="黑体" w:hAnsi="黑体" w:eastAsia="黑体" w:cs="黑体"/>
          <w:b w:val="0"/>
          <w:bCs w:val="0"/>
          <w:spacing w:val="0"/>
          <w:sz w:val="32"/>
          <w:szCs w:val="32"/>
        </w:rPr>
        <w:t>法治建设履行职责情况</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局主要负责人切实履行第一责任人职责，将法治政府建设与业务工作同部署、同推进、同考核：</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主持召开党</w:t>
      </w:r>
      <w:r>
        <w:rPr>
          <w:rFonts w:hint="eastAsia" w:ascii="仿宋_GB2312" w:hAnsi="仿宋_GB2312" w:eastAsia="仿宋_GB2312" w:cs="仿宋_GB2312"/>
          <w:spacing w:val="0"/>
          <w:sz w:val="32"/>
          <w:szCs w:val="32"/>
          <w:lang w:eastAsia="zh-CN"/>
        </w:rPr>
        <w:t>支部</w:t>
      </w:r>
      <w:r>
        <w:rPr>
          <w:rFonts w:hint="eastAsia" w:ascii="仿宋_GB2312" w:hAnsi="仿宋_GB2312" w:eastAsia="仿宋_GB2312" w:cs="仿宋_GB2312"/>
          <w:spacing w:val="0"/>
          <w:sz w:val="32"/>
          <w:szCs w:val="32"/>
        </w:rPr>
        <w:t>会议12次，专题研究法治工作，明确目标任务与责任分工；</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统筹推进法治建设，健全工作推进机制，协调解决宗教场所管理、民族权益保障等重点问题；</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spacing w:val="0"/>
          <w:sz w:val="32"/>
          <w:szCs w:val="32"/>
        </w:rPr>
        <w:t>定期听取法治工作汇报，将法治建设成效纳入科室及个人年度考核，督促任务落实。</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0" w:firstLineChars="200"/>
        <w:jc w:val="both"/>
        <w:textAlignment w:val="baseline"/>
        <w:outlineLvl w:val="9"/>
        <w:rPr>
          <w:rFonts w:hint="eastAsia" w:ascii="黑体" w:hAnsi="黑体" w:eastAsia="黑体" w:cs="黑体"/>
          <w:b w:val="0"/>
          <w:bCs w:val="0"/>
          <w:spacing w:val="0"/>
          <w:sz w:val="32"/>
          <w:szCs w:val="32"/>
        </w:rPr>
      </w:pPr>
      <w:r>
        <w:rPr>
          <w:rFonts w:hint="eastAsia" w:ascii="黑体" w:hAnsi="黑体" w:eastAsia="黑体" w:cs="黑体"/>
          <w:b w:val="0"/>
          <w:bCs w:val="0"/>
          <w:spacing w:val="0"/>
          <w:sz w:val="32"/>
          <w:szCs w:val="32"/>
        </w:rPr>
        <w:t>三、</w:t>
      </w:r>
      <w:r>
        <w:rPr>
          <w:rFonts w:hint="eastAsia" w:ascii="黑体" w:hAnsi="黑体" w:eastAsia="黑体" w:cs="黑体"/>
          <w:b w:val="0"/>
          <w:bCs w:val="0"/>
          <w:spacing w:val="0"/>
          <w:sz w:val="32"/>
          <w:szCs w:val="32"/>
        </w:rPr>
        <w:t>存在问题与分析</w:t>
      </w:r>
    </w:p>
    <w:p>
      <w:pPr>
        <w:pStyle w:val="2"/>
        <w:keepNext w:val="0"/>
        <w:keepLines w:val="0"/>
        <w:pageBreakBefore w:val="0"/>
        <w:widowControl w:val="0"/>
        <w:kinsoku/>
        <w:wordWrap/>
        <w:overflowPunct/>
        <w:topLinePunct/>
        <w:autoSpaceDE/>
        <w:autoSpaceDN/>
        <w:bidi w:val="0"/>
        <w:adjustRightInd w:val="0"/>
        <w:snapToGrid w:val="0"/>
        <w:spacing w:line="620" w:lineRule="exact"/>
        <w:ind w:left="0" w:right="0" w:firstLine="643"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b/>
          <w:bCs/>
          <w:spacing w:val="0"/>
          <w:sz w:val="32"/>
          <w:szCs w:val="32"/>
          <w:lang w:eastAsia="zh-CN"/>
        </w:rPr>
        <w:t>一是</w:t>
      </w:r>
      <w:r>
        <w:rPr>
          <w:rFonts w:hint="eastAsia" w:ascii="仿宋_GB2312" w:hAnsi="仿宋_GB2312" w:eastAsia="仿宋_GB2312" w:cs="仿宋_GB2312"/>
          <w:spacing w:val="0"/>
          <w:sz w:val="32"/>
          <w:szCs w:val="32"/>
        </w:rPr>
        <w:t>缺乏专业法律人才，部分干部对复杂法律问题的研判和处置能力有待提升。</w:t>
      </w:r>
      <w:r>
        <w:rPr>
          <w:rFonts w:hint="eastAsia" w:ascii="仿宋_GB2312" w:hAnsi="仿宋_GB2312" w:eastAsia="仿宋_GB2312" w:cs="仿宋_GB2312"/>
          <w:b/>
          <w:bCs/>
          <w:spacing w:val="0"/>
          <w:sz w:val="32"/>
          <w:szCs w:val="32"/>
          <w:lang w:eastAsia="zh-CN"/>
        </w:rPr>
        <w:t>二是</w:t>
      </w:r>
      <w:r>
        <w:rPr>
          <w:rFonts w:hint="eastAsia" w:ascii="仿宋_GB2312" w:hAnsi="仿宋_GB2312" w:eastAsia="仿宋_GB2312" w:cs="仿宋_GB2312"/>
          <w:spacing w:val="0"/>
          <w:sz w:val="32"/>
          <w:szCs w:val="32"/>
        </w:rPr>
        <w:t>以传统线下宣传为主，新媒体运用不足，针对不同群体的精准化宣传效果有待加强</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b/>
          <w:bCs/>
          <w:spacing w:val="0"/>
          <w:sz w:val="32"/>
          <w:szCs w:val="32"/>
          <w:lang w:eastAsia="zh-CN"/>
        </w:rPr>
        <w:t>三是</w:t>
      </w:r>
      <w:r>
        <w:rPr>
          <w:rFonts w:hint="eastAsia" w:ascii="仿宋_GB2312" w:hAnsi="仿宋_GB2312" w:eastAsia="仿宋_GB2312" w:cs="仿宋_GB2312"/>
          <w:spacing w:val="0"/>
          <w:sz w:val="32"/>
          <w:szCs w:val="32"/>
        </w:rPr>
        <w:t>部分工作流程仍需</w:t>
      </w:r>
      <w:bookmarkStart w:id="0" w:name="_GoBack"/>
      <w:bookmarkEnd w:id="0"/>
      <w:r>
        <w:rPr>
          <w:rFonts w:hint="eastAsia" w:ascii="仿宋_GB2312" w:hAnsi="仿宋_GB2312" w:eastAsia="仿宋_GB2312" w:cs="仿宋_GB2312"/>
          <w:spacing w:val="0"/>
          <w:sz w:val="32"/>
          <w:szCs w:val="32"/>
        </w:rPr>
        <w:t>进一步规范，法治约束的刚性有待强化。</w:t>
      </w: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0" w:firstLineChars="200"/>
        <w:jc w:val="both"/>
        <w:textAlignment w:val="baseline"/>
        <w:outlineLvl w:val="9"/>
        <w:rPr>
          <w:rFonts w:hint="eastAsia" w:ascii="黑体" w:hAnsi="黑体" w:eastAsia="黑体" w:cs="黑体"/>
          <w:b w:val="0"/>
          <w:bCs w:val="0"/>
          <w:spacing w:val="0"/>
          <w:sz w:val="32"/>
          <w:szCs w:val="32"/>
          <w:lang w:val="en-US" w:eastAsia="zh-CN"/>
        </w:rPr>
      </w:pPr>
      <w:r>
        <w:rPr>
          <w:rFonts w:hint="eastAsia" w:ascii="黑体" w:hAnsi="黑体" w:eastAsia="黑体" w:cs="黑体"/>
          <w:b w:val="0"/>
          <w:bCs w:val="0"/>
          <w:spacing w:val="0"/>
          <w:sz w:val="32"/>
          <w:szCs w:val="32"/>
        </w:rPr>
        <w:t>四、</w:t>
      </w:r>
      <w:r>
        <w:rPr>
          <w:rFonts w:hint="eastAsia" w:ascii="黑体" w:hAnsi="黑体" w:eastAsia="黑体" w:cs="黑体"/>
          <w:b w:val="0"/>
          <w:bCs w:val="0"/>
          <w:spacing w:val="0"/>
          <w:sz w:val="32"/>
          <w:szCs w:val="32"/>
          <w:lang w:val="en-US" w:eastAsia="zh-CN"/>
        </w:rPr>
        <w:t>2026年工作计划</w:t>
      </w:r>
    </w:p>
    <w:p>
      <w:pPr>
        <w:pStyle w:val="2"/>
        <w:keepNext w:val="0"/>
        <w:keepLines w:val="0"/>
        <w:pageBreakBefore w:val="0"/>
        <w:widowControl w:val="0"/>
        <w:kinsoku/>
        <w:wordWrap/>
        <w:overflowPunct/>
        <w:topLinePunct/>
        <w:autoSpaceDE/>
        <w:autoSpaceDN/>
        <w:bidi w:val="0"/>
        <w:adjustRightInd w:val="0"/>
        <w:snapToGrid w:val="0"/>
        <w:spacing w:line="600" w:lineRule="exact"/>
        <w:ind w:left="0" w:right="0" w:firstLine="643" w:firstLineChars="200"/>
        <w:jc w:val="both"/>
        <w:textAlignment w:val="baseline"/>
        <w:outlineLvl w:val="9"/>
        <w:rPr>
          <w:rFonts w:hint="eastAsia" w:ascii="仿宋_GB2312" w:hAnsi="仿宋_GB2312" w:eastAsia="仿宋_GB2312" w:cs="仿宋_GB2312"/>
          <w:spacing w:val="0"/>
          <w:sz w:val="32"/>
          <w:szCs w:val="32"/>
        </w:rPr>
      </w:pPr>
      <w:r>
        <w:rPr>
          <w:rFonts w:hint="eastAsia" w:ascii="仿宋_GB2312" w:hAnsi="仿宋_GB2312" w:eastAsia="仿宋_GB2312" w:cs="仿宋_GB2312"/>
          <w:b/>
          <w:bCs/>
          <w:spacing w:val="0"/>
          <w:sz w:val="32"/>
          <w:szCs w:val="32"/>
          <w:lang w:eastAsia="zh-CN"/>
        </w:rPr>
        <w:t>一是</w:t>
      </w:r>
      <w:r>
        <w:rPr>
          <w:rFonts w:hint="eastAsia" w:ascii="仿宋_GB2312" w:hAnsi="仿宋_GB2312" w:eastAsia="仿宋_GB2312" w:cs="仿宋_GB2312"/>
          <w:spacing w:val="0"/>
          <w:sz w:val="32"/>
          <w:szCs w:val="32"/>
          <w:lang w:eastAsia="zh-CN"/>
        </w:rPr>
        <w:t>积极</w:t>
      </w:r>
      <w:r>
        <w:rPr>
          <w:rFonts w:hint="eastAsia" w:ascii="仿宋_GB2312" w:hAnsi="仿宋_GB2312" w:eastAsia="仿宋_GB2312" w:cs="仿宋_GB2312"/>
          <w:spacing w:val="0"/>
          <w:sz w:val="32"/>
          <w:szCs w:val="32"/>
        </w:rPr>
        <w:t>参加上级</w:t>
      </w:r>
      <w:r>
        <w:rPr>
          <w:rFonts w:hint="eastAsia" w:ascii="仿宋_GB2312" w:hAnsi="仿宋_GB2312" w:eastAsia="仿宋_GB2312" w:cs="仿宋_GB2312"/>
          <w:spacing w:val="0"/>
          <w:sz w:val="32"/>
          <w:szCs w:val="32"/>
          <w:lang w:eastAsia="zh-CN"/>
        </w:rPr>
        <w:t>以及组织基层</w:t>
      </w:r>
      <w:r>
        <w:rPr>
          <w:rFonts w:hint="eastAsia" w:ascii="仿宋_GB2312" w:hAnsi="仿宋_GB2312" w:eastAsia="仿宋_GB2312" w:cs="仿宋_GB2312"/>
          <w:spacing w:val="0"/>
          <w:sz w:val="32"/>
          <w:szCs w:val="32"/>
        </w:rPr>
        <w:t>法治培训</w:t>
      </w:r>
      <w:r>
        <w:rPr>
          <w:rFonts w:hint="eastAsia" w:ascii="仿宋_GB2312" w:hAnsi="仿宋_GB2312" w:eastAsia="仿宋_GB2312" w:cs="仿宋_GB2312"/>
          <w:spacing w:val="0"/>
          <w:sz w:val="32"/>
          <w:szCs w:val="32"/>
          <w:lang w:eastAsia="zh-CN"/>
        </w:rPr>
        <w:t>，</w:t>
      </w:r>
      <w:r>
        <w:rPr>
          <w:rFonts w:hint="eastAsia" w:ascii="仿宋_GB2312" w:hAnsi="仿宋_GB2312" w:eastAsia="仿宋_GB2312" w:cs="仿宋_GB2312"/>
          <w:spacing w:val="0"/>
          <w:sz w:val="32"/>
          <w:szCs w:val="32"/>
        </w:rPr>
        <w:t>加强业务学习，提升依法履职能力。</w:t>
      </w:r>
      <w:r>
        <w:rPr>
          <w:rFonts w:hint="eastAsia" w:ascii="仿宋_GB2312" w:hAnsi="仿宋_GB2312" w:eastAsia="仿宋_GB2312" w:cs="仿宋_GB2312"/>
          <w:b/>
          <w:bCs/>
          <w:spacing w:val="0"/>
          <w:sz w:val="32"/>
          <w:szCs w:val="32"/>
          <w:lang w:eastAsia="zh-CN"/>
        </w:rPr>
        <w:t>二是</w:t>
      </w:r>
      <w:r>
        <w:rPr>
          <w:rFonts w:hint="eastAsia" w:ascii="仿宋_GB2312" w:hAnsi="仿宋_GB2312" w:eastAsia="仿宋_GB2312" w:cs="仿宋_GB2312"/>
          <w:spacing w:val="0"/>
          <w:sz w:val="32"/>
          <w:szCs w:val="32"/>
        </w:rPr>
        <w:t>探索运用短视频、</w:t>
      </w:r>
      <w:r>
        <w:rPr>
          <w:rFonts w:hint="eastAsia" w:ascii="仿宋_GB2312" w:hAnsi="仿宋_GB2312" w:eastAsia="仿宋_GB2312" w:cs="仿宋_GB2312"/>
          <w:spacing w:val="0"/>
          <w:sz w:val="32"/>
          <w:szCs w:val="32"/>
          <w:lang w:eastAsia="zh-CN"/>
        </w:rPr>
        <w:t>微信、</w:t>
      </w:r>
      <w:r>
        <w:rPr>
          <w:rFonts w:hint="eastAsia" w:ascii="仿宋_GB2312" w:hAnsi="仿宋_GB2312" w:eastAsia="仿宋_GB2312" w:cs="仿宋_GB2312"/>
          <w:spacing w:val="0"/>
          <w:sz w:val="32"/>
          <w:szCs w:val="32"/>
          <w:lang w:val="en-US" w:eastAsia="zh-CN"/>
        </w:rPr>
        <w:t>AI</w:t>
      </w:r>
      <w:r>
        <w:rPr>
          <w:rFonts w:hint="eastAsia" w:ascii="仿宋_GB2312" w:hAnsi="仿宋_GB2312" w:eastAsia="仿宋_GB2312" w:cs="仿宋_GB2312"/>
          <w:spacing w:val="0"/>
          <w:sz w:val="32"/>
          <w:szCs w:val="32"/>
        </w:rPr>
        <w:t>等载体，开展</w:t>
      </w:r>
      <w:r>
        <w:rPr>
          <w:rFonts w:hint="eastAsia" w:ascii="仿宋_GB2312" w:hAnsi="仿宋_GB2312" w:eastAsia="仿宋_GB2312" w:cs="仿宋_GB2312"/>
          <w:spacing w:val="0"/>
          <w:sz w:val="32"/>
          <w:szCs w:val="32"/>
          <w:lang w:eastAsia="zh-CN"/>
        </w:rPr>
        <w:t>差异化、个性化、定制</w:t>
      </w:r>
      <w:r>
        <w:rPr>
          <w:rFonts w:hint="eastAsia" w:ascii="仿宋_GB2312" w:hAnsi="仿宋_GB2312" w:eastAsia="仿宋_GB2312" w:cs="仿宋_GB2312"/>
          <w:spacing w:val="0"/>
          <w:sz w:val="32"/>
          <w:szCs w:val="32"/>
        </w:rPr>
        <w:t>化普法，提升宣传实效。</w:t>
      </w:r>
      <w:r>
        <w:rPr>
          <w:rFonts w:hint="eastAsia" w:ascii="仿宋_GB2312" w:hAnsi="仿宋_GB2312" w:eastAsia="仿宋_GB2312" w:cs="仿宋_GB2312"/>
          <w:b/>
          <w:bCs/>
          <w:spacing w:val="0"/>
          <w:sz w:val="32"/>
          <w:szCs w:val="32"/>
          <w:lang w:eastAsia="zh-CN"/>
        </w:rPr>
        <w:t>三是</w:t>
      </w:r>
      <w:r>
        <w:rPr>
          <w:rFonts w:hint="eastAsia" w:ascii="仿宋_GB2312" w:hAnsi="仿宋_GB2312" w:eastAsia="仿宋_GB2312" w:cs="仿宋_GB2312"/>
          <w:spacing w:val="0"/>
          <w:sz w:val="32"/>
          <w:szCs w:val="32"/>
        </w:rPr>
        <w:t>细化工作流程，强化执法监督，确保民族宗教事务管理始终在法治轨道上运行。</w:t>
      </w:r>
      <w:r>
        <w:rPr>
          <w:rFonts w:hint="eastAsia" w:ascii="仿宋_GB2312" w:hAnsi="仿宋_GB2312" w:eastAsia="仿宋_GB2312" w:cs="仿宋_GB2312"/>
          <w:b/>
          <w:bCs/>
          <w:spacing w:val="0"/>
          <w:sz w:val="32"/>
          <w:szCs w:val="32"/>
          <w:lang w:eastAsia="zh-CN"/>
        </w:rPr>
        <w:t>四是</w:t>
      </w:r>
      <w:r>
        <w:rPr>
          <w:rFonts w:hint="eastAsia" w:ascii="仿宋_GB2312" w:hAnsi="仿宋_GB2312" w:eastAsia="仿宋_GB2312" w:cs="仿宋_GB2312"/>
          <w:spacing w:val="0"/>
          <w:sz w:val="32"/>
          <w:szCs w:val="32"/>
        </w:rPr>
        <w:t>持续将法治建设纳入年度重点工作和考核体系，推动法治政府建设与民族宗教工作</w:t>
      </w:r>
      <w:r>
        <w:rPr>
          <w:rFonts w:hint="eastAsia" w:ascii="仿宋_GB2312" w:hAnsi="仿宋_GB2312" w:eastAsia="仿宋_GB2312" w:cs="仿宋_GB2312"/>
          <w:spacing w:val="0"/>
          <w:sz w:val="32"/>
          <w:szCs w:val="32"/>
          <w:lang w:eastAsia="zh-CN"/>
        </w:rPr>
        <w:t>相融合</w:t>
      </w:r>
      <w:r>
        <w:rPr>
          <w:rFonts w:hint="eastAsia" w:ascii="仿宋_GB2312" w:hAnsi="仿宋_GB2312" w:eastAsia="仿宋_GB2312" w:cs="仿宋_GB2312"/>
          <w:spacing w:val="0"/>
          <w:sz w:val="32"/>
          <w:szCs w:val="32"/>
        </w:rPr>
        <w:t>。</w:t>
      </w:r>
    </w:p>
    <w:p>
      <w:pPr>
        <w:pStyle w:val="2"/>
        <w:keepNext w:val="0"/>
        <w:keepLines w:val="0"/>
        <w:pageBreakBefore w:val="0"/>
        <w:widowControl w:val="0"/>
        <w:kinsoku/>
        <w:wordWrap/>
        <w:overflowPunct/>
        <w:topLinePunct w:val="0"/>
        <w:autoSpaceDE/>
        <w:autoSpaceDN/>
        <w:bidi w:val="0"/>
        <w:adjustRightInd w:val="0"/>
        <w:snapToGrid w:val="0"/>
        <w:spacing w:line="600" w:lineRule="exact"/>
        <w:ind w:left="4514"/>
        <w:jc w:val="right"/>
        <w:textAlignment w:val="baseline"/>
        <w:rPr>
          <w:rFonts w:hint="eastAsia" w:ascii="仿宋_GB2312" w:hAnsi="仿宋_GB2312" w:eastAsia="仿宋_GB2312" w:cs="仿宋_GB2312"/>
          <w:spacing w:val="5"/>
          <w:sz w:val="32"/>
          <w:szCs w:val="32"/>
          <w:lang w:eastAsia="zh-CN"/>
        </w:rPr>
      </w:pPr>
    </w:p>
    <w:p>
      <w:pPr>
        <w:pStyle w:val="2"/>
        <w:keepNext w:val="0"/>
        <w:keepLines w:val="0"/>
        <w:pageBreakBefore w:val="0"/>
        <w:widowControl w:val="0"/>
        <w:kinsoku/>
        <w:wordWrap/>
        <w:overflowPunct/>
        <w:topLinePunct w:val="0"/>
        <w:autoSpaceDE/>
        <w:autoSpaceDN/>
        <w:bidi w:val="0"/>
        <w:adjustRightInd w:val="0"/>
        <w:snapToGrid w:val="0"/>
        <w:spacing w:line="600" w:lineRule="exact"/>
        <w:ind w:left="4514"/>
        <w:jc w:val="right"/>
        <w:textAlignment w:val="baseline"/>
        <w:rPr>
          <w:rFonts w:hint="eastAsia" w:ascii="仿宋_GB2312" w:hAnsi="仿宋_GB2312" w:eastAsia="仿宋_GB2312" w:cs="仿宋_GB2312"/>
          <w:spacing w:val="5"/>
          <w:sz w:val="32"/>
          <w:szCs w:val="32"/>
          <w:lang w:eastAsia="zh-CN"/>
        </w:rPr>
      </w:pPr>
    </w:p>
    <w:p>
      <w:pPr>
        <w:pStyle w:val="2"/>
        <w:keepNext w:val="0"/>
        <w:keepLines w:val="0"/>
        <w:pageBreakBefore w:val="0"/>
        <w:widowControl w:val="0"/>
        <w:kinsoku/>
        <w:wordWrap w:val="0"/>
        <w:overflowPunct/>
        <w:topLinePunct w:val="0"/>
        <w:autoSpaceDE/>
        <w:autoSpaceDN/>
        <w:bidi w:val="0"/>
        <w:adjustRightInd w:val="0"/>
        <w:snapToGrid w:val="0"/>
        <w:spacing w:line="600" w:lineRule="exact"/>
        <w:jc w:val="right"/>
        <w:textAlignment w:val="baseline"/>
        <w:rPr>
          <w:rFonts w:hint="default"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eastAsia="zh-CN"/>
        </w:rPr>
        <w:t>威县民族宗教事务局</w:t>
      </w:r>
      <w:r>
        <w:rPr>
          <w:rFonts w:hint="eastAsia" w:ascii="仿宋_GB2312" w:hAnsi="仿宋_GB2312" w:eastAsia="仿宋_GB2312" w:cs="仿宋_GB2312"/>
          <w:spacing w:val="5"/>
          <w:sz w:val="32"/>
          <w:szCs w:val="32"/>
          <w:lang w:val="en-US" w:eastAsia="zh-CN"/>
        </w:rPr>
        <w:t xml:space="preserve">    </w:t>
      </w:r>
    </w:p>
    <w:p>
      <w:pPr>
        <w:pStyle w:val="2"/>
        <w:keepNext w:val="0"/>
        <w:keepLines w:val="0"/>
        <w:pageBreakBefore w:val="0"/>
        <w:widowControl w:val="0"/>
        <w:kinsoku/>
        <w:wordWrap w:val="0"/>
        <w:overflowPunct/>
        <w:topLinePunct w:val="0"/>
        <w:autoSpaceDE/>
        <w:autoSpaceDN/>
        <w:bidi w:val="0"/>
        <w:adjustRightInd w:val="0"/>
        <w:snapToGrid w:val="0"/>
        <w:spacing w:line="600" w:lineRule="exact"/>
        <w:jc w:val="right"/>
        <w:textAlignment w:val="baseline"/>
        <w:rPr>
          <w:rFonts w:hint="default" w:ascii="仿宋_GB2312" w:hAnsi="仿宋_GB2312" w:eastAsia="仿宋_GB2312" w:cs="仿宋_GB2312"/>
          <w:spacing w:val="0"/>
          <w:sz w:val="32"/>
          <w:szCs w:val="32"/>
          <w:lang w:val="en-US" w:eastAsia="zh-CN"/>
        </w:rPr>
      </w:pPr>
      <w:r>
        <w:rPr>
          <w:rFonts w:hint="eastAsia" w:ascii="仿宋_GB2312" w:hAnsi="仿宋_GB2312" w:eastAsia="仿宋_GB2312" w:cs="仿宋_GB2312"/>
          <w:spacing w:val="0"/>
          <w:sz w:val="32"/>
          <w:szCs w:val="32"/>
        </w:rPr>
        <w:t>2026年3月1</w:t>
      </w:r>
      <w:r>
        <w:rPr>
          <w:rFonts w:hint="eastAsia" w:ascii="仿宋_GB2312" w:hAnsi="仿宋_GB2312" w:eastAsia="仿宋_GB2312" w:cs="仿宋_GB2312"/>
          <w:spacing w:val="0"/>
          <w:sz w:val="32"/>
          <w:szCs w:val="32"/>
          <w:lang w:val="en-US" w:eastAsia="zh-CN"/>
        </w:rPr>
        <w:t>5</w:t>
      </w:r>
      <w:r>
        <w:rPr>
          <w:rFonts w:hint="eastAsia" w:ascii="仿宋_GB2312" w:hAnsi="仿宋_GB2312" w:eastAsia="仿宋_GB2312" w:cs="仿宋_GB2312"/>
          <w:spacing w:val="0"/>
          <w:sz w:val="32"/>
          <w:szCs w:val="32"/>
        </w:rPr>
        <w:t>日</w:t>
      </w:r>
      <w:r>
        <w:rPr>
          <w:rFonts w:hint="eastAsia" w:ascii="仿宋_GB2312" w:hAnsi="仿宋_GB2312" w:eastAsia="仿宋_GB2312" w:cs="仿宋_GB2312"/>
          <w:spacing w:val="0"/>
          <w:sz w:val="32"/>
          <w:szCs w:val="32"/>
          <w:lang w:val="en-US" w:eastAsia="zh-CN"/>
        </w:rPr>
        <w:t xml:space="preserve">      </w:t>
      </w:r>
    </w:p>
    <w:sectPr>
      <w:pgSz w:w="11900" w:h="16820"/>
      <w:pgMar w:top="1701" w:right="1531" w:bottom="1304" w:left="1531" w:header="0" w:footer="0" w:gutter="0"/>
      <w:paperSrc/>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国标黑体">
    <w:altName w:val="黑体"/>
    <w:panose1 w:val="02000500000000000000"/>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ODdkZmY2YWE3ZGVkNDY4NjA3YjIyMmNiNTZlYzAzNTUifQ=="/>
  </w:docVars>
  <w:rsids>
    <w:rsidRoot w:val="00000000"/>
    <w:rsid w:val="018D23A7"/>
    <w:rsid w:val="61BB7425"/>
    <w:rsid w:val="FDFF8B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TotalTime>35</TotalTime>
  <ScaleCrop>false</ScaleCrop>
  <LinksUpToDate>false</LinksUpToDate>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2026-03-31T17:41:00Z</dcterms:created>
  <dc:creator>Administrator</dc:creator>
  <cp:lastModifiedBy>WPS_1655171101</cp:lastModifiedBy>
  <cp:lastPrinted>2026-03-31T03:07:11Z</cp:lastPrinted>
  <dcterms:modified xsi:type="dcterms:W3CDTF">2026-03-31T03:07:15Z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2026-03-31T09:41:20Z</vt:filetime>
  </property>
  <property fmtid="{D5CDD505-2E9C-101B-9397-08002B2CF9AE}" pid="4" name="UsrData">
    <vt:lpwstr>69cb263d1ac7a6001ffc98bawl</vt:lpwstr>
  </property>
  <property fmtid="{D5CDD505-2E9C-101B-9397-08002B2CF9AE}" pid="5" name="KSOProductBuildVer">
    <vt:lpwstr>2052-11.1.0.14309</vt:lpwstr>
  </property>
  <property fmtid="{D5CDD505-2E9C-101B-9397-08002B2CF9AE}" pid="6" name="ICV">
    <vt:lpwstr>0942D17E2A6F4AF1BDCAF14624353F70_13</vt:lpwstr>
  </property>
</Properties>
</file>