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olors1.xml" ContentType="application/vnd.ms-office.chartcolorstyle+xml"/>
  <Override PartName="/word/charts/colors2.xml" ContentType="application/vnd.ms-office.chartcolorstyle+xml"/>
  <Override PartName="/word/charts/colors3.xml" ContentType="application/vnd.ms-office.chartcolorstyle+xml"/>
  <Override PartName="/word/charts/style1.xml" ContentType="application/vnd.ms-office.chartstyle+xml"/>
  <Override PartName="/word/charts/style2.xml" ContentType="application/vnd.ms-office.chartstyle+xml"/>
  <Override PartName="/word/charts/style3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7745E5">
      <w:pPr>
        <w:spacing w:line="580" w:lineRule="exact"/>
        <w:jc w:val="left"/>
        <w:rPr>
          <w:rFonts w:ascii="方正小标宋_GBK" w:hAnsi="宋体" w:eastAsia="方正小标宋_GBK"/>
          <w:sz w:val="32"/>
          <w:szCs w:val="32"/>
          <w:highlight w:val="none"/>
        </w:rPr>
      </w:pPr>
    </w:p>
    <w:p w14:paraId="2626FEC6">
      <w:pPr>
        <w:shd w:val="clear" w:color="auto" w:fill="auto"/>
        <w:spacing w:line="580" w:lineRule="exact"/>
        <w:jc w:val="center"/>
        <w:rPr>
          <w:rFonts w:hint="eastAsia" w:ascii="方正楷体_GBK" w:hAnsi="方正楷体_GBK" w:eastAsia="方正楷体_GBK" w:cs="方正楷体_GBK"/>
          <w:b w:val="0"/>
          <w:bCs w:val="0"/>
          <w:color w:val="auto"/>
          <w:kern w:val="0"/>
          <w:sz w:val="44"/>
          <w:szCs w:val="44"/>
          <w:highlight w:val="none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kern w:val="0"/>
          <w:sz w:val="44"/>
          <w:szCs w:val="44"/>
          <w:highlight w:val="none"/>
        </w:rPr>
        <w:t>威县人民政府</w:t>
      </w:r>
    </w:p>
    <w:p w14:paraId="730B9B11">
      <w:pPr>
        <w:shd w:val="clear" w:color="auto" w:fill="auto"/>
        <w:spacing w:line="580" w:lineRule="exact"/>
        <w:jc w:val="center"/>
        <w:rPr>
          <w:rFonts w:hint="eastAsia" w:ascii="方正楷体_GBK" w:hAnsi="方正楷体_GBK" w:eastAsia="方正楷体_GBK" w:cs="方正楷体_GBK"/>
          <w:b/>
          <w:bCs/>
          <w:color w:val="auto"/>
          <w:kern w:val="0"/>
          <w:sz w:val="44"/>
          <w:szCs w:val="44"/>
          <w:highlight w:val="none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kern w:val="0"/>
          <w:sz w:val="44"/>
          <w:szCs w:val="44"/>
          <w:highlight w:val="none"/>
        </w:rPr>
        <w:t>关于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kern w:val="0"/>
          <w:sz w:val="44"/>
          <w:szCs w:val="44"/>
          <w:highlight w:val="none"/>
          <w:lang w:eastAsia="zh-CN"/>
        </w:rPr>
        <w:t>202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kern w:val="0"/>
          <w:sz w:val="44"/>
          <w:szCs w:val="44"/>
          <w:highlight w:val="none"/>
          <w:lang w:val="en-US" w:eastAsia="zh-CN"/>
        </w:rPr>
        <w:t>4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kern w:val="0"/>
          <w:sz w:val="44"/>
          <w:szCs w:val="44"/>
          <w:highlight w:val="none"/>
        </w:rPr>
        <w:t>年度国有资产管理情况的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kern w:val="0"/>
          <w:sz w:val="44"/>
          <w:szCs w:val="44"/>
          <w:highlight w:val="none"/>
          <w:lang w:eastAsia="zh-CN"/>
        </w:rPr>
        <w:t>综合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kern w:val="0"/>
          <w:sz w:val="44"/>
          <w:szCs w:val="44"/>
          <w:highlight w:val="none"/>
        </w:rPr>
        <w:t>报告</w:t>
      </w:r>
    </w:p>
    <w:p w14:paraId="7E29EAA4">
      <w:pPr>
        <w:spacing w:line="580" w:lineRule="exact"/>
        <w:jc w:val="center"/>
        <w:rPr>
          <w:rFonts w:ascii="华文中宋" w:hAnsi="华文中宋" w:eastAsia="华文中宋" w:cs="华文中宋"/>
          <w:sz w:val="36"/>
          <w:szCs w:val="36"/>
          <w:highlight w:val="none"/>
        </w:rPr>
      </w:pPr>
    </w:p>
    <w:p w14:paraId="71A27D1D">
      <w:pPr>
        <w:shd w:val="clear" w:color="auto" w:fill="auto"/>
        <w:spacing w:line="580" w:lineRule="exact"/>
        <w:rPr>
          <w:rFonts w:eastAsia="黑体"/>
          <w:color w:val="000000"/>
          <w:kern w:val="0"/>
          <w:szCs w:val="21"/>
          <w:highlight w:val="none"/>
        </w:rPr>
      </w:pPr>
      <w:r>
        <w:rPr>
          <w:rFonts w:hint="eastAsia" w:ascii="黑体" w:eastAsia="黑体"/>
          <w:color w:val="000000"/>
          <w:kern w:val="0"/>
          <w:sz w:val="32"/>
          <w:szCs w:val="32"/>
          <w:highlight w:val="none"/>
        </w:rPr>
        <w:t>主任、各位副主任、各位委员：</w:t>
      </w:r>
    </w:p>
    <w:p w14:paraId="25B7814F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按照会议要求，现将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val="en-US" w:eastAsia="zh-CN"/>
        </w:rPr>
        <w:t>2024</w:t>
      </w:r>
      <w:bookmarkStart w:id="0" w:name="_GoBack"/>
      <w:bookmarkEnd w:id="0"/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年度全县国有资产管理情况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eastAsia="zh-CN"/>
        </w:rPr>
        <w:t>综合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报告如下，请予审议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eastAsia="zh-CN"/>
        </w:rPr>
        <w:t>。</w:t>
      </w:r>
    </w:p>
    <w:p w14:paraId="0D8A988C">
      <w:pPr>
        <w:spacing w:line="580" w:lineRule="exact"/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一、行政事业性国有资产管理情况</w:t>
      </w:r>
    </w:p>
    <w:p w14:paraId="20E68DEF">
      <w:pPr>
        <w:spacing w:line="580" w:lineRule="exact"/>
        <w:ind w:firstLine="640" w:firstLineChars="200"/>
        <w:rPr>
          <w:rFonts w:hint="eastAsia" w:ascii="楷体" w:hAnsi="楷体" w:eastAsia="楷体" w:cs="楷体"/>
          <w:color w:val="00000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"/>
          <w:color w:val="000000"/>
          <w:kern w:val="0"/>
          <w:sz w:val="32"/>
          <w:szCs w:val="32"/>
          <w:highlight w:val="none"/>
        </w:rPr>
        <w:t>（一）行政事业性国有资产总体规模</w:t>
      </w:r>
      <w:r>
        <w:rPr>
          <w:rFonts w:hint="eastAsia" w:ascii="楷体" w:hAnsi="楷体" w:eastAsia="楷体" w:cs="楷体"/>
          <w:color w:val="000000"/>
          <w:kern w:val="0"/>
          <w:sz w:val="32"/>
          <w:szCs w:val="32"/>
          <w:highlight w:val="none"/>
          <w:lang w:val="en-US" w:eastAsia="zh-CN"/>
        </w:rPr>
        <w:t xml:space="preserve"> </w:t>
      </w:r>
    </w:p>
    <w:p w14:paraId="0BC8C345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截止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val="en-US" w:eastAsia="zh-CN"/>
        </w:rPr>
        <w:t>2024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年底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eastAsia="zh-CN"/>
        </w:rPr>
        <w:t>，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全县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eastAsia="zh-CN"/>
        </w:rPr>
        <w:t>行政事业单位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国有资产包括行政事业单位实际占有使用的流动资产、固定资产、无形资产、在建工程等，资产总额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val="en-US" w:eastAsia="zh-CN"/>
        </w:rPr>
        <w:t xml:space="preserve"> 483863.27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万元，同比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val="en-US" w:eastAsia="zh-CN"/>
        </w:rPr>
        <w:t>增长0.44%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；全县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eastAsia="zh-CN"/>
        </w:rPr>
        <w:t>行政事业单位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负债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eastAsia="zh-CN"/>
        </w:rPr>
        <w:t>（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包括行政事业单位长短期借款、应付及预收款等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eastAsia="zh-CN"/>
        </w:rPr>
        <w:t>）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总额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val="en-US" w:eastAsia="zh-CN"/>
        </w:rPr>
        <w:t>45669.41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万元，同比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val="en-US" w:eastAsia="zh-CN"/>
        </w:rPr>
        <w:t>减少1.37%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；全县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eastAsia="zh-CN"/>
        </w:rPr>
        <w:t>行政事业单位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净资产总额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val="en-US" w:eastAsia="zh-CN"/>
        </w:rPr>
        <w:t>438193.86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万元，同比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val="en-US" w:eastAsia="zh-CN"/>
        </w:rPr>
        <w:t>增长0.63%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；全县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eastAsia="zh-CN"/>
        </w:rPr>
        <w:t>行政事业单位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资产负债率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val="en-US" w:eastAsia="zh-CN"/>
        </w:rPr>
        <w:t xml:space="preserve"> 9.44%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。</w:t>
      </w:r>
    </w:p>
    <w:p w14:paraId="5E3042B5">
      <w:pPr>
        <w:rPr>
          <w:rFonts w:hint="eastAsia"/>
        </w:rPr>
      </w:pPr>
    </w:p>
    <w:p w14:paraId="462A881E">
      <w:pPr>
        <w:numPr>
          <w:ilvl w:val="0"/>
          <w:numId w:val="0"/>
        </w:numPr>
        <w:ind w:firstLine="643" w:firstLineChars="200"/>
        <w:rPr>
          <w:rFonts w:hint="eastAsia" w:ascii="仿宋_GB2312" w:hAnsi="宋体" w:eastAsia="仿宋_GB2312" w:cs="宋体"/>
          <w:b/>
          <w:bCs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  <w:highlight w:val="none"/>
          <w:lang w:val="en-US" w:eastAsia="zh-CN"/>
        </w:rPr>
        <w:t>1、</w:t>
      </w: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  <w:highlight w:val="none"/>
          <w:lang w:eastAsia="zh-CN"/>
        </w:rPr>
        <w:t>按照单位性质资产分类情况</w:t>
      </w:r>
    </w:p>
    <w:p w14:paraId="4018DB96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行政单位国有资产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val="en-US" w:eastAsia="zh-CN"/>
        </w:rPr>
        <w:t>108507.84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万元，占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val="en-US" w:eastAsia="zh-CN"/>
        </w:rPr>
        <w:t>37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.37%；事业单位国有资产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val="en-US" w:eastAsia="zh-CN"/>
        </w:rPr>
        <w:t>181843.77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万元，占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</w:rPr>
        <w:t>2.63%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eastAsia="zh-CN"/>
        </w:rPr>
        <w:t>。</w:t>
      </w:r>
    </w:p>
    <w:p w14:paraId="4E367214">
      <w:pPr>
        <w:numPr>
          <w:ilvl w:val="0"/>
          <w:numId w:val="0"/>
        </w:numPr>
        <w:ind w:firstLine="420" w:firstLineChars="200"/>
      </w:pPr>
      <w:r>
        <w:drawing>
          <wp:inline distT="0" distB="0" distL="114300" distR="114300">
            <wp:extent cx="4826000" cy="2124710"/>
            <wp:effectExtent l="4445" t="4445" r="8255" b="23495"/>
            <wp:docPr id="3" name="图表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14:paraId="2407D8C5">
      <w:pPr>
        <w:numPr>
          <w:ilvl w:val="0"/>
          <w:numId w:val="0"/>
        </w:numPr>
        <w:ind w:firstLine="480" w:firstLineChars="200"/>
        <w:jc w:val="center"/>
        <w:rPr>
          <w:rFonts w:hint="default" w:ascii="Times New Roman" w:hAnsi="Times New Roman" w:eastAsia="方正仿宋_GBK" w:cs="Times New Roman"/>
          <w:b w:val="0"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Times New Roman" w:hAnsi="Times New Roman" w:eastAsia="方正仿宋_GBK" w:cs="Times New Roman"/>
          <w:b w:val="0"/>
          <w:bCs/>
          <w:kern w:val="2"/>
          <w:sz w:val="24"/>
          <w:szCs w:val="24"/>
          <w:lang w:val="en-US" w:eastAsia="zh-CN" w:bidi="ar-SA"/>
        </w:rPr>
        <w:t>图一：2023年—2024年资产情况对比表</w:t>
      </w:r>
    </w:p>
    <w:p w14:paraId="752575D6">
      <w:pPr>
        <w:pStyle w:val="6"/>
        <w:ind w:left="0" w:leftChars="0" w:firstLine="643" w:firstLineChars="200"/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b/>
          <w:bCs/>
          <w:kern w:val="0"/>
          <w:sz w:val="32"/>
          <w:szCs w:val="32"/>
          <w:highlight w:val="none"/>
          <w:lang w:val="en-US" w:eastAsia="zh-CN" w:bidi="ar-SA"/>
        </w:rPr>
        <w:t>2、按资产构成分类情况。</w:t>
      </w: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  <w:t>全县行政事业单位固定资产215635.1万元，同比减少1.77%；流动资产50862.85万元，同比增加7.09%；在建工程132013.25万元，同比减少1.5%；无形资产13400.28万元，同比减少13.65%；公共基础设施19038.44万元，同比减少10.58%。</w:t>
      </w:r>
    </w:p>
    <w:p w14:paraId="5195B627">
      <w:pPr>
        <w:spacing w:line="580" w:lineRule="exact"/>
        <w:ind w:firstLine="640" w:firstLineChars="200"/>
        <w:rPr>
          <w:rFonts w:hint="eastAsia" w:ascii="楷体" w:hAnsi="楷体" w:eastAsia="楷体" w:cs="楷体"/>
          <w:color w:val="000000"/>
          <w:kern w:val="0"/>
          <w:sz w:val="32"/>
          <w:szCs w:val="32"/>
          <w:highlight w:val="none"/>
          <w:lang w:eastAsia="zh-CN"/>
        </w:rPr>
      </w:pPr>
      <w:r>
        <w:rPr>
          <w:rFonts w:hint="eastAsia" w:ascii="楷体" w:hAnsi="楷体" w:eastAsia="楷体" w:cs="楷体"/>
          <w:color w:val="000000"/>
          <w:kern w:val="0"/>
          <w:sz w:val="32"/>
          <w:szCs w:val="32"/>
          <w:highlight w:val="none"/>
          <w:lang w:eastAsia="zh-CN"/>
        </w:rPr>
        <w:t>（二）行政事业单位资产配置和使用情况</w:t>
      </w:r>
    </w:p>
    <w:p w14:paraId="38E0E0A4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3" w:firstLineChars="200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eastAsia="仿宋_GB2312"/>
          <w:b/>
          <w:bCs/>
          <w:kern w:val="0"/>
          <w:sz w:val="32"/>
          <w:szCs w:val="32"/>
          <w:highlight w:val="none"/>
          <w:lang w:val="en-US" w:eastAsia="zh-CN"/>
        </w:rPr>
        <w:t>1、</w:t>
      </w:r>
      <w:r>
        <w:rPr>
          <w:rFonts w:hint="eastAsia" w:ascii="仿宋_GB2312" w:eastAsia="仿宋_GB2312"/>
          <w:b/>
          <w:bCs/>
          <w:kern w:val="0"/>
          <w:sz w:val="32"/>
          <w:szCs w:val="32"/>
          <w:highlight w:val="none"/>
        </w:rPr>
        <w:t>资产配置情况。</w:t>
      </w: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  <w:t>2024年全县行政事业单位新增固定资产57580.19万元。其中：新增土地、房屋及构筑物45065.31万元，新增设备11087.90万元，新增图书档案284.08万元，新增家具、用具及装具1140.21万元。从配置方式分析，新购固定资产10864.82万元；调拨45710.69万元；其他方式新增228.28万元。</w:t>
      </w:r>
    </w:p>
    <w:p w14:paraId="685BAB92">
      <w:pPr>
        <w:pStyle w:val="5"/>
        <w:keepNext w:val="0"/>
        <w:keepLines w:val="0"/>
        <w:widowControl/>
        <w:suppressLineNumbers w:val="0"/>
        <w:spacing w:before="75" w:beforeAutospacing="0" w:after="75" w:afterAutospacing="0" w:line="420" w:lineRule="atLeast"/>
        <w:ind w:left="0" w:right="0" w:firstLine="739" w:firstLineChars="231"/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  <w:t>2024年我县行政事业单位新增无形资产747.43万元。其中：新增土地使用权101.77万元，新增计算机软件638.98万元，其他方式新增2.24万元。从配置方式分析，新购620.51万元，调拨101.77万元，其他方式新增25.15万元。</w:t>
      </w:r>
    </w:p>
    <w:p w14:paraId="6E6391CE">
      <w:pPr>
        <w:pStyle w:val="5"/>
        <w:keepNext w:val="0"/>
        <w:keepLines w:val="0"/>
        <w:widowControl/>
        <w:suppressLineNumbers w:val="0"/>
        <w:spacing w:before="75" w:beforeAutospacing="0" w:after="75" w:afterAutospacing="0" w:line="420" w:lineRule="atLeast"/>
        <w:ind w:left="0" w:right="0" w:firstLine="554" w:firstLineChars="231"/>
      </w:pPr>
      <w:r>
        <w:drawing>
          <wp:inline distT="0" distB="0" distL="114300" distR="114300">
            <wp:extent cx="4826000" cy="2743200"/>
            <wp:effectExtent l="4445" t="4445" r="8255" b="14605"/>
            <wp:docPr id="4" name="图表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140AF1AA">
      <w:pPr>
        <w:pStyle w:val="5"/>
        <w:keepNext w:val="0"/>
        <w:keepLines w:val="0"/>
        <w:widowControl/>
        <w:suppressLineNumbers w:val="0"/>
        <w:spacing w:before="75" w:beforeAutospacing="0" w:after="75" w:afterAutospacing="0" w:line="420" w:lineRule="atLeast"/>
        <w:ind w:left="0" w:right="0" w:firstLine="554" w:firstLineChars="231"/>
        <w:jc w:val="center"/>
        <w:rPr>
          <w:rFonts w:hint="default" w:ascii="Times New Roman" w:hAnsi="Times New Roman" w:eastAsia="方正仿宋_GBK" w:cs="Times New Roman"/>
          <w:b w:val="0"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Times New Roman" w:hAnsi="Times New Roman" w:eastAsia="方正仿宋_GBK" w:cs="Times New Roman"/>
          <w:b w:val="0"/>
          <w:bCs/>
          <w:kern w:val="2"/>
          <w:sz w:val="24"/>
          <w:szCs w:val="24"/>
          <w:lang w:val="en-US" w:eastAsia="zh-CN" w:bidi="ar-SA"/>
        </w:rPr>
        <w:t>图二：2023年—2024年配置情况对比表</w:t>
      </w:r>
    </w:p>
    <w:p w14:paraId="7EDCD6E2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3" w:firstLineChars="200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eastAsia="仿宋_GB2312"/>
          <w:b/>
          <w:bCs/>
          <w:kern w:val="0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eastAsia="仿宋_GB2312"/>
          <w:b/>
          <w:bCs/>
          <w:kern w:val="0"/>
          <w:sz w:val="32"/>
          <w:szCs w:val="32"/>
          <w:highlight w:val="none"/>
        </w:rPr>
        <w:t>、资产使用情况。</w:t>
      </w: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  <w:t>行政事业单位国有资产主要用于保障单位正常办公、提供社会公共服务，资产使用以自用为主。</w:t>
      </w:r>
    </w:p>
    <w:p w14:paraId="7DBE37BC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42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776605</wp:posOffset>
            </wp:positionH>
            <wp:positionV relativeFrom="paragraph">
              <wp:posOffset>2105025</wp:posOffset>
            </wp:positionV>
            <wp:extent cx="4010660" cy="1960880"/>
            <wp:effectExtent l="4445" t="4445" r="23495" b="15875"/>
            <wp:wrapSquare wrapText="bothSides"/>
            <wp:docPr id="5" name="图表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anchor>
        </w:drawing>
      </w: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  <w:highlight w:val="none"/>
          <w:lang w:val="en-US" w:eastAsia="zh-CN"/>
        </w:rPr>
        <w:t>3、</w:t>
      </w: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  <w:highlight w:val="none"/>
        </w:rPr>
        <w:t>资产处置情况。</w:t>
      </w: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  <w:t>2024年我县行政事业单位处置资产总额65103.23万元（主要为水务局、城管局、交警队处置报废车辆及职业技术教育中心等学校处置报废锅炉）。从资产类别分析,固定资产62181.3万元，占比95.51%，无形资产2921.93万元，占比4.49%。</w:t>
      </w:r>
    </w:p>
    <w:p w14:paraId="09AFDF80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jc w:val="left"/>
        <w:textAlignment w:val="auto"/>
        <w:rPr>
          <w:rFonts w:hint="eastAsia" w:ascii="仿宋_GB2312" w:eastAsia="仿宋_GB2312"/>
          <w:color w:val="000000"/>
          <w:kern w:val="0"/>
          <w:sz w:val="32"/>
          <w:szCs w:val="32"/>
          <w:highlight w:val="none"/>
          <w:lang w:val="en-US" w:eastAsia="zh-CN"/>
        </w:rPr>
      </w:pPr>
    </w:p>
    <w:p w14:paraId="572855C1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jc w:val="left"/>
        <w:textAlignment w:val="auto"/>
        <w:rPr>
          <w:rFonts w:hint="eastAsia" w:ascii="仿宋_GB2312" w:eastAsia="仿宋_GB2312"/>
          <w:color w:val="000000"/>
          <w:kern w:val="0"/>
          <w:sz w:val="32"/>
          <w:szCs w:val="32"/>
          <w:highlight w:val="none"/>
          <w:lang w:val="en-US" w:eastAsia="zh-CN"/>
        </w:rPr>
      </w:pPr>
    </w:p>
    <w:p w14:paraId="51684F10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jc w:val="left"/>
        <w:textAlignment w:val="auto"/>
        <w:rPr>
          <w:rFonts w:hint="eastAsia" w:ascii="仿宋_GB2312" w:eastAsia="仿宋_GB2312"/>
          <w:color w:val="000000"/>
          <w:kern w:val="0"/>
          <w:sz w:val="32"/>
          <w:szCs w:val="32"/>
          <w:highlight w:val="none"/>
          <w:lang w:val="en-US" w:eastAsia="zh-CN"/>
        </w:rPr>
      </w:pPr>
    </w:p>
    <w:p w14:paraId="6057A4E5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jc w:val="left"/>
        <w:textAlignment w:val="auto"/>
        <w:rPr>
          <w:rFonts w:hint="eastAsia" w:ascii="仿宋_GB2312" w:eastAsia="仿宋_GB2312"/>
          <w:color w:val="000000"/>
          <w:kern w:val="0"/>
          <w:sz w:val="32"/>
          <w:szCs w:val="32"/>
          <w:highlight w:val="none"/>
          <w:lang w:val="en-US" w:eastAsia="zh-CN"/>
        </w:rPr>
      </w:pPr>
    </w:p>
    <w:p w14:paraId="016767BD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jc w:val="left"/>
        <w:textAlignment w:val="auto"/>
        <w:rPr>
          <w:rFonts w:hint="eastAsia" w:ascii="仿宋_GB2312" w:eastAsia="仿宋_GB2312"/>
          <w:color w:val="000000"/>
          <w:kern w:val="0"/>
          <w:sz w:val="32"/>
          <w:szCs w:val="32"/>
          <w:highlight w:val="none"/>
          <w:lang w:val="en-US" w:eastAsia="zh-CN"/>
        </w:rPr>
      </w:pPr>
    </w:p>
    <w:p w14:paraId="13B00CE2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480" w:firstLineChars="200"/>
        <w:jc w:val="center"/>
        <w:textAlignment w:val="auto"/>
        <w:rPr>
          <w:rFonts w:hint="eastAsia" w:ascii="Times New Roman" w:hAnsi="Times New Roman" w:eastAsia="方正仿宋_GBK" w:cs="Times New Roman"/>
          <w:b w:val="0"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Times New Roman" w:hAnsi="Times New Roman" w:eastAsia="方正仿宋_GBK" w:cs="Times New Roman"/>
          <w:b w:val="0"/>
          <w:bCs/>
          <w:kern w:val="2"/>
          <w:sz w:val="24"/>
          <w:szCs w:val="24"/>
          <w:lang w:val="en-US" w:eastAsia="zh-CN" w:bidi="ar-SA"/>
        </w:rPr>
        <w:t>图三：2024年资产处置情况表</w:t>
      </w:r>
    </w:p>
    <w:p w14:paraId="77C19354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eastAsia="仿宋_GB2312"/>
          <w:color w:val="000000"/>
          <w:kern w:val="0"/>
          <w:sz w:val="32"/>
          <w:szCs w:val="32"/>
          <w:highlight w:val="none"/>
          <w:lang w:val="en-US" w:eastAsia="zh-CN"/>
        </w:rPr>
        <w:t>4、</w:t>
      </w:r>
      <w:r>
        <w:rPr>
          <w:rFonts w:hint="eastAsia" w:ascii="仿宋_GB2312" w:eastAsia="仿宋_GB2312"/>
          <w:b/>
          <w:bCs/>
          <w:color w:val="000000"/>
          <w:kern w:val="0"/>
          <w:sz w:val="32"/>
          <w:szCs w:val="32"/>
          <w:highlight w:val="none"/>
          <w:lang w:val="en-US" w:eastAsia="zh-CN"/>
        </w:rPr>
        <w:t>公共基础设施情况。</w:t>
      </w: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  <w:t>园林绿化91.17万平方米，净值24257.58万元；城市排水和污水净值32321.77万元 ；城市环境卫生设施净值3733.73万元；其他市政基础设施净值17175.37万元，南水北调引水工程净值12155.47万元。</w:t>
      </w:r>
    </w:p>
    <w:p w14:paraId="1911C9E7">
      <w:pPr>
        <w:pStyle w:val="6"/>
        <w:ind w:left="0" w:leftChars="0" w:firstLine="0" w:firstLineChars="0"/>
        <w:jc w:val="center"/>
        <w:rPr>
          <w:rFonts w:hint="eastAsia" w:ascii="Times New Roman" w:hAnsi="Times New Roman" w:eastAsia="方正仿宋_GBK" w:cs="Times New Roman"/>
          <w:b w:val="0"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Times New Roman" w:hAnsi="Times New Roman" w:eastAsia="方正仿宋_GBK" w:cs="Times New Roman"/>
          <w:b w:val="0"/>
          <w:bCs/>
          <w:kern w:val="2"/>
          <w:sz w:val="24"/>
          <w:szCs w:val="24"/>
          <w:lang w:val="en-US" w:eastAsia="zh-CN" w:bidi="ar-SA"/>
        </w:rPr>
        <w:t>表一：2024年公共基础设施情况表</w:t>
      </w:r>
    </w:p>
    <w:p w14:paraId="7A196980"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</w:t>
      </w:r>
      <w:r>
        <w:rPr>
          <w:rFonts w:hint="eastAsia" w:ascii="Times New Roman" w:hAnsi="Times New Roman" w:eastAsia="方正仿宋_GBK" w:cs="Times New Roman"/>
          <w:b w:val="0"/>
          <w:bCs/>
          <w:kern w:val="2"/>
          <w:sz w:val="24"/>
          <w:szCs w:val="24"/>
          <w:lang w:val="en-US" w:eastAsia="zh-CN" w:bidi="ar-SA"/>
        </w:rPr>
        <w:t>单位：公里、公平方米、万元</w:t>
      </w:r>
    </w:p>
    <w:tbl>
      <w:tblPr>
        <w:tblStyle w:val="7"/>
        <w:tblW w:w="8783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3543"/>
        <w:gridCol w:w="2208"/>
        <w:gridCol w:w="2132"/>
      </w:tblGrid>
      <w:tr w14:paraId="28D991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B4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3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57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设施类型</w:t>
            </w:r>
          </w:p>
        </w:tc>
        <w:tc>
          <w:tcPr>
            <w:tcW w:w="22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C2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面积</w:t>
            </w:r>
          </w:p>
        </w:tc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02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净值</w:t>
            </w:r>
          </w:p>
        </w:tc>
      </w:tr>
      <w:tr w14:paraId="0D56C1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64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3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278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园林绿化（万平方米)</w:t>
            </w:r>
          </w:p>
        </w:tc>
        <w:tc>
          <w:tcPr>
            <w:tcW w:w="22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CB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D0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24257.58</w:t>
            </w:r>
          </w:p>
        </w:tc>
      </w:tr>
      <w:tr w14:paraId="079363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B3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3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34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城市排水和污水处理设施</w:t>
            </w:r>
          </w:p>
        </w:tc>
        <w:tc>
          <w:tcPr>
            <w:tcW w:w="22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6D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</w:t>
            </w:r>
          </w:p>
        </w:tc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BE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32321.77</w:t>
            </w:r>
          </w:p>
        </w:tc>
      </w:tr>
      <w:tr w14:paraId="773EF9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F7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</w:t>
            </w:r>
          </w:p>
        </w:tc>
        <w:tc>
          <w:tcPr>
            <w:tcW w:w="3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34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城市环境卫生设施</w:t>
            </w:r>
          </w:p>
        </w:tc>
        <w:tc>
          <w:tcPr>
            <w:tcW w:w="22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34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</w:t>
            </w:r>
          </w:p>
        </w:tc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5B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3733.73</w:t>
            </w:r>
          </w:p>
        </w:tc>
      </w:tr>
      <w:tr w14:paraId="6C79FB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1C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</w:t>
            </w:r>
          </w:p>
        </w:tc>
        <w:tc>
          <w:tcPr>
            <w:tcW w:w="3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3C2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其他市政基础设施</w:t>
            </w:r>
          </w:p>
        </w:tc>
        <w:tc>
          <w:tcPr>
            <w:tcW w:w="22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CB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</w:t>
            </w:r>
          </w:p>
        </w:tc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C4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18175.37</w:t>
            </w:r>
          </w:p>
        </w:tc>
      </w:tr>
      <w:tr w14:paraId="4E2C92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D5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3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55A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南水北调引水工程</w:t>
            </w:r>
          </w:p>
        </w:tc>
        <w:tc>
          <w:tcPr>
            <w:tcW w:w="22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75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</w:t>
            </w:r>
          </w:p>
        </w:tc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70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12155.47</w:t>
            </w:r>
          </w:p>
        </w:tc>
      </w:tr>
      <w:tr w14:paraId="58BB71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E3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3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BF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22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F1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</w:t>
            </w:r>
          </w:p>
        </w:tc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D4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90643.92</w:t>
            </w:r>
          </w:p>
        </w:tc>
      </w:tr>
    </w:tbl>
    <w:p w14:paraId="356329D9">
      <w:pPr>
        <w:spacing w:line="580" w:lineRule="exact"/>
        <w:ind w:firstLine="640" w:firstLineChars="200"/>
        <w:rPr>
          <w:rFonts w:hint="eastAsia" w:ascii="楷体" w:hAnsi="楷体" w:eastAsia="楷体" w:cs="楷体"/>
          <w:color w:val="00000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"/>
          <w:color w:val="000000"/>
          <w:kern w:val="0"/>
          <w:sz w:val="32"/>
          <w:szCs w:val="32"/>
          <w:highlight w:val="none"/>
          <w:lang w:val="en-US" w:eastAsia="zh-CN"/>
        </w:rPr>
        <w:t>（三）行政事业性国有资产监管情况</w:t>
      </w:r>
    </w:p>
    <w:p w14:paraId="3C4FFB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1、加强资产日常管理。</w:t>
      </w: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  <w:t>开展固定资产“一物一卡”工作，建立严格的“一物一卡一条码”制度，固定资产卡片录入要合理、规范、科学，录入行政事业资产管理信息系统时要连续、准确、真实地反映固定资产的动态变化，做到及时掌握固定资产的使用状况。</w:t>
      </w:r>
    </w:p>
    <w:p w14:paraId="749F4B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2、</w:t>
      </w:r>
      <w:r>
        <w:rPr>
          <w:rFonts w:hint="eastAsia" w:ascii="楷体" w:hAnsi="楷体" w:eastAsia="楷体" w:cs="楷体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提高资产使用效率。</w:t>
      </w: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  <w:t>进一步推动公物仓创新建设，将全县行政事业单位办公设备、办公家具及其他可纳入公物仓管理的物资分类分仓建设。打通线下实体仓和在线虚拟仓，形成虚实联动的“现代公物仓”运行模式。实体仓承担县级部门闲置资产归集、保管和实物处置等职能。虚拟仓承担闲置资产调剂、处置等职能，提供“物资+技术+服务”一站式综合服务保障。</w:t>
      </w:r>
    </w:p>
    <w:p w14:paraId="1835EC8A">
      <w:pPr>
        <w:spacing w:line="580" w:lineRule="exact"/>
        <w:ind w:firstLine="640" w:firstLineChars="200"/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二、行政事业单位国有资产管理存在问题</w:t>
      </w:r>
    </w:p>
    <w:p w14:paraId="7545BC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  <w:t>资产管理制度落实不彻底。资产管理制度建设仍待加强，部分单位存在内部资产管理制度不完善的情况，导致单位资产管理不够精细化，资产登记、使用、处置不及时，无法适应当前国有资产管理的需求。</w:t>
      </w:r>
    </w:p>
    <w:p w14:paraId="24CB95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default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  <w:t>资产管理效率有待提高。由于人员流动，及资产管理方面培训缺失，导致部分单位资产处置滞后，待报废资产无法及时处置，存量资产盘活能力不足，资产管理效率亟待提高。</w:t>
      </w:r>
    </w:p>
    <w:p w14:paraId="2BCE7E40">
      <w:pPr>
        <w:spacing w:line="580" w:lineRule="exact"/>
        <w:ind w:firstLine="640" w:firstLineChars="200"/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三、上年审议意见整改落实情况和审计查出问题整改落实情况</w:t>
      </w:r>
    </w:p>
    <w:p w14:paraId="6CDE52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  <w:t>根据威人常（2024）15号威县人大常委会关于县政府2023年度国有资产管理情况综合报告的审议意见，重点方面进行了整改并加强管理：</w:t>
      </w:r>
    </w:p>
    <w:p w14:paraId="6748AF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  <w:t>已组织各行政事业单位开展固定资产账目专项清查行动，对照资产实际情况，逐一核对总账、明细账、资产卡片及实物资产。对账目设置不完整的，补充完善资产类别、规格型号、购置日期、原值、累计折旧等关键信息</w:t>
      </w:r>
    </w:p>
    <w:p w14:paraId="3EE67D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  <w:t>对账目记录不真实的，查明原因并予以修正，确保账目信息与实物资产一致。同时，建立账目核查长效机制，定期开展自查自纠，防止类似问题反弹。</w:t>
      </w:r>
    </w:p>
    <w:p w14:paraId="6D0311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  <w:t>3、按照政府向人大常委会报告国有资产管理制度的相关规定，对2023年度行政事业性国有资产管理情况报告进一步完善，健全行政事业单位国有资产管理评价指标体系，从资产构成、分布、布局等各方面不同维度的进行概述评价。不断充实报告内容，优化报告体例，强化数据分析，从而提高行政事业单位国有资产报告数据质量。</w:t>
      </w:r>
    </w:p>
    <w:p w14:paraId="570E938A">
      <w:pPr>
        <w:spacing w:line="580" w:lineRule="exact"/>
        <w:ind w:firstLine="640" w:firstLineChars="200"/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四、下一步工作安排</w:t>
      </w:r>
    </w:p>
    <w:p w14:paraId="6C71288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1、</w:t>
      </w:r>
      <w:r>
        <w:rPr>
          <w:rFonts w:hint="eastAsia" w:ascii="楷体" w:hAnsi="楷体" w:eastAsia="楷体" w:cs="楷体"/>
          <w:kern w:val="0"/>
          <w:sz w:val="32"/>
          <w:szCs w:val="32"/>
          <w:lang w:val="en-US" w:eastAsia="zh-CN"/>
        </w:rPr>
        <w:t>健全资产管理制度。</w:t>
      </w: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  <w:t>协同各部门谋划出台符合自己单位现状的精细化、流程化的资产管理细则，确保制度覆盖资产管理的各个环节，明确相关部门和人员的职责权限，形成权责清晰的管理体系。同时加强资产管理人员业务培训，提升业务素质和工作能力，进一步提高资产管理和使用效率。</w:t>
      </w:r>
    </w:p>
    <w:p w14:paraId="6F793EA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2、提高资产管理效率。</w:t>
      </w: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  <w:t>一是督导各部门、各单位定期对固定资产进行清查盘点，全面掌握并真实反映固定资产的数量、价值和使用状况，确保账账相符、账实相符。二是加强单位资产管理，对各类资产进行全面清理、核对和查实，已超过使用年限且无法继续使用的资产，加快开展处置工作。</w:t>
      </w:r>
    </w:p>
    <w:p w14:paraId="01C3794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highlight w:val="none"/>
          <w:lang w:val="en-US" w:eastAsia="zh-CN" w:bidi="ar-SA"/>
        </w:rPr>
      </w:pPr>
    </w:p>
    <w:p w14:paraId="3F78A5D3">
      <w:pPr>
        <w:pStyle w:val="2"/>
        <w:ind w:left="0" w:leftChars="0" w:firstLine="0" w:firstLineChars="0"/>
        <w:rPr>
          <w:rFonts w:hint="eastAsia"/>
        </w:rPr>
      </w:pPr>
    </w:p>
    <w:sectPr>
      <w:pgSz w:w="11906" w:h="16838"/>
      <w:pgMar w:top="1701" w:right="1531" w:bottom="126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A222296-7B2F-4770-8CAC-AF544A6B322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51DD1F48-AC79-486D-920A-FE7B6240E1F5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3" w:fontKey="{175401A8-4770-4CA1-94F0-DAEEC44D010A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D6FB37F6-139B-413D-AFDC-ADE4C99CAAA9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5" w:fontKey="{684D2451-9EBE-4F88-91B0-8B9BCA503999}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6" w:fontKey="{D917B8B7-43BF-4CC1-92EE-FF414C535C51}"/>
  </w:font>
  <w:font w:name="方正楷体_GBK">
    <w:panose1 w:val="02000000000000000000"/>
    <w:charset w:val="86"/>
    <w:family w:val="auto"/>
    <w:pitch w:val="default"/>
    <w:sig w:usb0="800002BF" w:usb1="38CF7CFA" w:usb2="00000016" w:usb3="00000000" w:csb0="00040000" w:csb1="00000000"/>
    <w:embedRegular r:id="rId7" w:fontKey="{99244B48-D389-4CCB-A0C7-B9E677E27A40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8" w:fontKey="{F2444B82-FC47-4374-BC87-F6A2648933F7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FB3209"/>
    <w:rsid w:val="1F92289B"/>
    <w:rsid w:val="240C2498"/>
    <w:rsid w:val="2A0B4F4C"/>
    <w:rsid w:val="34802932"/>
    <w:rsid w:val="34FB3209"/>
    <w:rsid w:val="3C5D775E"/>
    <w:rsid w:val="5BC16969"/>
    <w:rsid w:val="5DE33B3A"/>
    <w:rsid w:val="7FEB5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after="0"/>
      <w:ind w:firstLine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rFonts w:ascii="Calibri" w:hAnsi="Calibri" w:eastAsia="宋体" w:cs="Times New Roman"/>
      <w:szCs w:val="21"/>
    </w:rPr>
  </w:style>
  <w:style w:type="paragraph" w:styleId="3">
    <w:name w:val="Body Text Indent"/>
    <w:basedOn w:val="1"/>
    <w:qFormat/>
    <w:uiPriority w:val="99"/>
    <w:pPr>
      <w:spacing w:line="480" w:lineRule="auto"/>
      <w:ind w:firstLine="643" w:firstLineChars="200"/>
    </w:pPr>
    <w:rPr>
      <w:rFonts w:ascii="宋体" w:hAnsi="宋体"/>
      <w:b/>
      <w:sz w:val="24"/>
      <w:szCs w:val="36"/>
    </w:rPr>
  </w:style>
  <w:style w:type="paragraph" w:styleId="4">
    <w:name w:val="toc 2"/>
    <w:basedOn w:val="1"/>
    <w:next w:val="1"/>
    <w:semiHidden/>
    <w:qFormat/>
    <w:uiPriority w:val="0"/>
    <w:pPr>
      <w:ind w:left="420" w:leftChars="200"/>
    </w:p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6">
    <w:name w:val="Body Text First Indent 2"/>
    <w:basedOn w:val="3"/>
    <w:next w:val="1"/>
    <w:qFormat/>
    <w:uiPriority w:val="99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hart" Target="charts/chart3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3.xml"/><Relationship Id="rId2" Type="http://schemas.microsoft.com/office/2011/relationships/chartStyle" Target="style3.xml"/><Relationship Id="rId1" Type="http://schemas.openxmlformats.org/officeDocument/2006/relationships/oleObject" Target="file:///C:\Users\wxdell\Desktop\&#26032;&#24314;%20XLS%20&#24037;&#20316;&#34920;.xls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oleObject" Target="file:///C:\Users\wxdell\Desktop\&#26032;&#24314;%20XLS%20&#24037;&#20316;&#34920;.xls" TargetMode="External"/></Relationships>
</file>

<file path=word/charts/_rels/chart3.xml.rels><?xml version="1.0" encoding="UTF-8" standalone="yes"?>
<Relationships xmlns="http://schemas.openxmlformats.org/package/2006/relationships"><Relationship Id="rId3" Type="http://schemas.microsoft.com/office/2011/relationships/chartColorStyle" Target="colors2.xml"/><Relationship Id="rId2" Type="http://schemas.microsoft.com/office/2011/relationships/chartStyle" Target="style2.xml"/><Relationship Id="rId1" Type="http://schemas.openxmlformats.org/officeDocument/2006/relationships/oleObject" Target="file:///C:\Users\wxdell\Desktop\&#26032;&#24314;%20XLS%20&#24037;&#20316;&#34920;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'[新建 XLS 工作表.xls]Sheet1'!$C$12</c:f>
              <c:strCache>
                <c:ptCount val="1"/>
                <c:pt idx="0">
                  <c:v>2023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elete val="1"/>
          </c:dLbls>
          <c:cat>
            <c:strRef>
              <c:f>'[新建 XLS 工作表.xls]Sheet1'!$D$11:$F$11</c:f>
              <c:strCache>
                <c:ptCount val="3"/>
                <c:pt idx="0">
                  <c:v>资产总额</c:v>
                </c:pt>
                <c:pt idx="1">
                  <c:v>负债总额</c:v>
                </c:pt>
                <c:pt idx="2">
                  <c:v>净资产</c:v>
                </c:pt>
              </c:strCache>
            </c:strRef>
          </c:cat>
          <c:val>
            <c:numRef>
              <c:f>'[新建 XLS 工作表.xls]Sheet1'!$D$12:$F$12</c:f>
              <c:numCache>
                <c:formatCode>General</c:formatCode>
                <c:ptCount val="3"/>
                <c:pt idx="0">
                  <c:v>526193.44</c:v>
                </c:pt>
                <c:pt idx="1">
                  <c:v>43720.7</c:v>
                </c:pt>
                <c:pt idx="2">
                  <c:v>482472.74</c:v>
                </c:pt>
              </c:numCache>
            </c:numRef>
          </c:val>
        </c:ser>
        <c:ser>
          <c:idx val="1"/>
          <c:order val="1"/>
          <c:tx>
            <c:strRef>
              <c:f>'[新建 XLS 工作表.xls]Sheet1'!$C$13</c:f>
              <c:strCache>
                <c:ptCount val="1"/>
                <c:pt idx="0">
                  <c:v>2024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elete val="1"/>
          </c:dLbls>
          <c:cat>
            <c:strRef>
              <c:f>'[新建 XLS 工作表.xls]Sheet1'!$D$11:$F$11</c:f>
              <c:strCache>
                <c:ptCount val="3"/>
                <c:pt idx="0">
                  <c:v>资产总额</c:v>
                </c:pt>
                <c:pt idx="1">
                  <c:v>负债总额</c:v>
                </c:pt>
                <c:pt idx="2">
                  <c:v>净资产</c:v>
                </c:pt>
              </c:strCache>
            </c:strRef>
          </c:cat>
          <c:val>
            <c:numRef>
              <c:f>'[新建 XLS 工作表.xls]Sheet1'!$D$13:$F$13</c:f>
              <c:numCache>
                <c:formatCode>General</c:formatCode>
                <c:ptCount val="3"/>
                <c:pt idx="0">
                  <c:v>483863.27</c:v>
                </c:pt>
                <c:pt idx="1">
                  <c:v>45669.41</c:v>
                </c:pt>
                <c:pt idx="2">
                  <c:v>438193.86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40"/>
        <c:overlap val="-40"/>
        <c:axId val="984179764"/>
        <c:axId val="70193320"/>
      </c:barChart>
      <c:catAx>
        <c:axId val="984179764"/>
        <c:scaling>
          <c:orientation val="minMax"/>
        </c:scaling>
        <c:delete val="0"/>
        <c:axPos val="l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70193320"/>
        <c:crosses val="autoZero"/>
        <c:auto val="1"/>
        <c:lblAlgn val="ctr"/>
        <c:lblOffset val="100"/>
        <c:noMultiLvlLbl val="0"/>
      </c:catAx>
      <c:valAx>
        <c:axId val="7019332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lt1">
                  <a:lumMod val="902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984179764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</c:dTable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  <c:extLst>
      <c:ext uri="{0b15fc19-7d7d-44ad-8c2d-2c3a37ce22c3}">
        <chartProps xmlns="https://web.wps.cn/et/2018/main" chartId="{d4307439-d3e2-4043-8b58-98e2d8e47071}"/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'[新建 XLS 工作表.xls]Sheet1'!$C$27</c:f>
              <c:strCache>
                <c:ptCount val="1"/>
                <c:pt idx="0">
                  <c:v>2023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elete val="1"/>
          </c:dLbls>
          <c:cat>
            <c:strRef>
              <c:f>'[新建 XLS 工作表.xls]Sheet1'!$D$26:$G$26</c:f>
              <c:strCache>
                <c:ptCount val="4"/>
                <c:pt idx="0">
                  <c:v>新增土地构筑物</c:v>
                </c:pt>
                <c:pt idx="1">
                  <c:v>新增通用设备</c:v>
                </c:pt>
                <c:pt idx="2">
                  <c:v>新增无形资产</c:v>
                </c:pt>
                <c:pt idx="3">
                  <c:v>新增其他</c:v>
                </c:pt>
              </c:strCache>
            </c:strRef>
          </c:cat>
          <c:val>
            <c:numRef>
              <c:f>'[新建 XLS 工作表.xls]Sheet1'!$D$27:$G$27</c:f>
              <c:numCache>
                <c:formatCode>General</c:formatCode>
                <c:ptCount val="4"/>
                <c:pt idx="0">
                  <c:v>18509.34</c:v>
                </c:pt>
                <c:pt idx="1">
                  <c:v>11821.1</c:v>
                </c:pt>
                <c:pt idx="2">
                  <c:v>1743.65</c:v>
                </c:pt>
                <c:pt idx="3">
                  <c:v>103.45</c:v>
                </c:pt>
              </c:numCache>
            </c:numRef>
          </c:val>
        </c:ser>
        <c:ser>
          <c:idx val="1"/>
          <c:order val="1"/>
          <c:tx>
            <c:strRef>
              <c:f>'[新建 XLS 工作表.xls]Sheet1'!$C$28</c:f>
              <c:strCache>
                <c:ptCount val="1"/>
                <c:pt idx="0">
                  <c:v>2024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elete val="1"/>
          </c:dLbls>
          <c:cat>
            <c:strRef>
              <c:f>'[新建 XLS 工作表.xls]Sheet1'!$D$26:$G$26</c:f>
              <c:strCache>
                <c:ptCount val="4"/>
                <c:pt idx="0">
                  <c:v>新增土地构筑物</c:v>
                </c:pt>
                <c:pt idx="1">
                  <c:v>新增通用设备</c:v>
                </c:pt>
                <c:pt idx="2">
                  <c:v>新增无形资产</c:v>
                </c:pt>
                <c:pt idx="3">
                  <c:v>新增其他</c:v>
                </c:pt>
              </c:strCache>
            </c:strRef>
          </c:cat>
          <c:val>
            <c:numRef>
              <c:f>'[新建 XLS 工作表.xls]Sheet1'!$D$28:$G$28</c:f>
              <c:numCache>
                <c:formatCode>General</c:formatCode>
                <c:ptCount val="4"/>
                <c:pt idx="0">
                  <c:v>45065.31</c:v>
                </c:pt>
                <c:pt idx="1">
                  <c:v>11087.9</c:v>
                </c:pt>
                <c:pt idx="2">
                  <c:v>747.43</c:v>
                </c:pt>
                <c:pt idx="3">
                  <c:v>25.15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46"/>
        <c:overlap val="-28"/>
        <c:axId val="354557579"/>
        <c:axId val="885690009"/>
      </c:barChart>
      <c:catAx>
        <c:axId val="354557579"/>
        <c:scaling>
          <c:orientation val="minMax"/>
        </c:scaling>
        <c:delete val="0"/>
        <c:axPos val="b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885690009"/>
        <c:crosses val="autoZero"/>
        <c:auto val="1"/>
        <c:lblAlgn val="ctr"/>
        <c:lblOffset val="100"/>
        <c:noMultiLvlLbl val="0"/>
      </c:catAx>
      <c:valAx>
        <c:axId val="885690009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lt1">
                  <a:lumMod val="90200"/>
                </a:schemeClr>
              </a:solidFill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354557579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</c:dTable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  <c:extLst>
      <c:ext uri="{0b15fc19-7d7d-44ad-8c2d-2c3a37ce22c3}">
        <chartProps xmlns="https://web.wps.cn/et/2018/main" chartId="{9b6ec71d-fb8a-42a4-bfc9-1d41eb6b9e97}"/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spPr/>
          <c:explosion val="0"/>
          <c:dPt>
            <c:idx val="0"/>
            <c:bubble3D val="0"/>
            <c:spPr>
              <a:solidFill>
                <a:schemeClr val="accent1"/>
              </a:solidFill>
              <a:ln>
                <a:solidFill>
                  <a:schemeClr val="bg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>
                <a:solidFill>
                  <a:schemeClr val="bg1"/>
                </a:solidFill>
              </a:ln>
              <a:effectLst/>
            </c:spPr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10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'[新建 XLS 工作表.xls]Sheet1'!$D$47:$E$47</c:f>
              <c:strCache>
                <c:ptCount val="2"/>
                <c:pt idx="0">
                  <c:v>固定资产</c:v>
                </c:pt>
                <c:pt idx="1">
                  <c:v>无形资产</c:v>
                </c:pt>
              </c:strCache>
            </c:strRef>
          </c:cat>
          <c:val>
            <c:numRef>
              <c:f>'[新建 XLS 工作表.xls]Sheet1'!$D$48:$E$48</c:f>
              <c:numCache>
                <c:formatCode>0.00%</c:formatCode>
                <c:ptCount val="2"/>
                <c:pt idx="0">
                  <c:v>0.9551</c:v>
                </c:pt>
                <c:pt idx="1">
                  <c:v>0.0449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t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  <c:extLst>
      <c:ext uri="{0b15fc19-7d7d-44ad-8c2d-2c3a37ce22c3}">
        <chartProps xmlns="https://web.wps.cn/et/2018/main" chartId="{43b99bc7-85ba-4908-8222-ca0cf1a25f29}"/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100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10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10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1">
      <cs:styleClr val="auto"/>
    </cs:fillRef>
    <cs:effectRef idx="0"/>
    <cs:fontRef idx="minor">
      <a:schemeClr val="dk1"/>
    </cs:fontRef>
    <cs:spPr>
      <a:ln>
        <a:noFill/>
      </a:ln>
      <a:effectLst/>
    </cs:spPr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lt1">
            <a:lumMod val="902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75000"/>
        <a:lumOff val="25000"/>
      </a:schemeClr>
    </cs:fontRef>
    <cs:defRPr sz="1400" b="1" kern="120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1008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10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10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1">
      <cs:styleClr val="auto"/>
    </cs:fillRef>
    <cs:effectRef idx="0"/>
    <cs:fontRef idx="minor">
      <a:schemeClr val="dk1"/>
    </cs:fontRef>
    <cs:spPr>
      <a:ln>
        <a:solidFill>
          <a:schemeClr val="bg1"/>
        </a:solidFill>
      </a:ln>
      <a:effectLst/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lt1">
            <a:lumMod val="902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75000"/>
        <a:lumOff val="25000"/>
      </a:schemeClr>
    </cs:fontRef>
    <cs:defRPr sz="1400" b="1" kern="120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10118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10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10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1">
      <cs:styleClr val="auto"/>
    </cs:fillRef>
    <cs:effectRef idx="0"/>
    <cs:fontRef idx="minor">
      <a:schemeClr val="dk1"/>
    </cs:fontRef>
    <cs:spPr>
      <a:ln>
        <a:noFill/>
      </a:ln>
      <a:effectLst/>
    </cs:spPr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lt1">
            <a:lumMod val="902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75000"/>
        <a:lumOff val="25000"/>
      </a:schemeClr>
    </cs:fontRef>
    <cs:defRPr sz="1400" b="1" kern="120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2125</Words>
  <Characters>2487</Characters>
  <Lines>0</Lines>
  <Paragraphs>0</Paragraphs>
  <TotalTime>41</TotalTime>
  <ScaleCrop>false</ScaleCrop>
  <LinksUpToDate>false</LinksUpToDate>
  <CharactersWithSpaces>2525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2025-10-09T02:00:00Z</dcterms:created>
  <dc:creator>  </dc:creator>
  <cp:lastModifiedBy>  </cp:lastModifiedBy>
  <cp:lastPrinted>2026-01-26T03:52:59Z</cp:lastPrinted>
  <dcterms:modified xsi:type="dcterms:W3CDTF">2026-01-26T06:40:42Z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D529273B13294E5BB63AADB082AC6359_13</vt:lpwstr>
  </property>
  <property fmtid="{D5CDD505-2E9C-101B-9397-08002B2CF9AE}" pid="4" name="KSOTemplateDocerSaveRecord">
    <vt:lpwstr>eyJoZGlkIjoiYmJjN2MwM2ViYmY5N2NiMjYxYjUxYWNmNTE4ZjU2M2UiLCJ1c2VySWQiOiI2NDYwMTIzMTcifQ==</vt:lpwstr>
  </property>
</Properties>
</file>