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C340FA">
      <w:pPr>
        <w:adjustRightInd w:val="0"/>
        <w:snapToGrid w:val="0"/>
        <w:spacing w:line="360" w:lineRule="auto"/>
        <w:ind w:firstLine="723" w:firstLineChars="200"/>
        <w:jc w:val="center"/>
        <w:rPr>
          <w:rFonts w:ascii="宋体" w:hAnsi="宋体" w:eastAsia="宋体" w:cs="宋体"/>
          <w:b/>
          <w:bCs/>
          <w:sz w:val="36"/>
          <w:szCs w:val="36"/>
        </w:rPr>
      </w:pPr>
      <w:r>
        <w:rPr>
          <w:rFonts w:hint="eastAsia" w:ascii="宋体" w:hAnsi="宋体" w:eastAsia="宋体" w:cs="宋体"/>
          <w:b/>
          <w:bCs/>
          <w:sz w:val="36"/>
          <w:szCs w:val="36"/>
        </w:rPr>
        <w:t>威县教育局</w:t>
      </w:r>
    </w:p>
    <w:p w14:paraId="13280B76">
      <w:pPr>
        <w:adjustRightInd w:val="0"/>
        <w:snapToGrid w:val="0"/>
        <w:spacing w:line="360" w:lineRule="auto"/>
        <w:ind w:firstLine="723" w:firstLineChars="200"/>
        <w:jc w:val="center"/>
        <w:rPr>
          <w:rFonts w:hint="eastAsia" w:ascii="宋体" w:hAnsi="宋体" w:eastAsia="宋体" w:cs="宋体"/>
          <w:b/>
          <w:bCs/>
          <w:sz w:val="36"/>
          <w:szCs w:val="36"/>
        </w:rPr>
      </w:pPr>
      <w:r>
        <w:rPr>
          <w:rFonts w:hint="eastAsia" w:ascii="宋体" w:hAnsi="宋体" w:eastAsia="宋体" w:cs="宋体"/>
          <w:b/>
          <w:bCs/>
          <w:sz w:val="36"/>
          <w:szCs w:val="36"/>
        </w:rPr>
        <w:t>2025年政府信息公开工作年度报告</w:t>
      </w:r>
    </w:p>
    <w:p w14:paraId="024C6817">
      <w:pPr>
        <w:pStyle w:val="5"/>
        <w:adjustRightInd w:val="0"/>
        <w:snapToGrid w:val="0"/>
        <w:spacing w:beforeAutospacing="0" w:afterAutospacing="0" w:line="276" w:lineRule="auto"/>
        <w:ind w:firstLine="640" w:firstLineChars="200"/>
        <w:rPr>
          <w:rFonts w:hint="eastAsia" w:ascii="方正小标宋简体" w:hAnsi="方正小标宋简体" w:eastAsia="方正小标宋简体" w:cs="方正小标宋简体"/>
          <w:bCs/>
          <w:color w:val="333333"/>
          <w:sz w:val="44"/>
          <w:szCs w:val="44"/>
          <w:shd w:val="clear" w:color="auto" w:fill="FFFFFF"/>
        </w:rPr>
      </w:pPr>
      <w:r>
        <w:rPr>
          <w:rFonts w:hint="eastAsia" w:ascii="仿宋" w:hAnsi="仿宋" w:eastAsia="仿宋" w:cs="仿宋"/>
          <w:sz w:val="32"/>
          <w:szCs w:val="32"/>
        </w:rPr>
        <w:t>根据《中华人民共和国政府信息公开条例》和《河北省实施&lt;中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华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人民共和国政府信息公开条例&gt;办法》等规定，我局编写了2025年政府信息公开工作年度报告。本年度报告中所列数据的统计期限自2025年1月1日至2025年12月31日。</w:t>
      </w:r>
    </w:p>
    <w:p w14:paraId="4841F300">
      <w:pPr>
        <w:numPr>
          <w:ilvl w:val="0"/>
          <w:numId w:val="1"/>
        </w:numPr>
        <w:adjustRightInd w:val="0"/>
        <w:snapToGrid w:val="0"/>
        <w:spacing w:line="276" w:lineRule="auto"/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总体情况</w:t>
      </w:r>
    </w:p>
    <w:p w14:paraId="25142D22">
      <w:pPr>
        <w:pStyle w:val="2"/>
        <w:adjustRightInd w:val="0"/>
        <w:snapToGrid w:val="0"/>
        <w:spacing w:line="276" w:lineRule="auto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2025年，县教育局坚持以习近平新时代中国特色社会主义思想为指导，全面贯彻落实党中央、国务院关于政务公开工作决策部署和省、市以及县委、县政府工作安排，围绕中心、服务大局，加大主动公开工作力度，全面提升政务公开工作水平。</w:t>
      </w:r>
    </w:p>
    <w:p w14:paraId="401D5656">
      <w:pPr>
        <w:numPr>
          <w:ilvl w:val="0"/>
          <w:numId w:val="2"/>
        </w:numPr>
        <w:adjustRightInd w:val="0"/>
        <w:snapToGrid w:val="0"/>
        <w:spacing w:line="276" w:lineRule="auto"/>
        <w:ind w:firstLine="643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主动公开情况。</w:t>
      </w:r>
      <w:r>
        <w:rPr>
          <w:rFonts w:hint="eastAsia" w:ascii="仿宋" w:hAnsi="仿宋" w:eastAsia="仿宋" w:cs="仿宋"/>
          <w:sz w:val="32"/>
          <w:szCs w:val="32"/>
        </w:rPr>
        <w:t>按照“公开为原则，不公开为例外”的基本要求，制定印发《威县教育局政府信息主动公开目录》，进一步规范政务行为，提高行政效能，加强政府信息主动公开力度，推动信息公开工作的规范化和法制化进程，切实保障人民群众的知情权、参与权、表达权和监督权。</w:t>
      </w:r>
    </w:p>
    <w:p w14:paraId="01D96D8B">
      <w:pPr>
        <w:pStyle w:val="14"/>
        <w:adjustRightInd w:val="0"/>
        <w:snapToGrid w:val="0"/>
        <w:spacing w:line="276" w:lineRule="auto"/>
        <w:ind w:left="0" w:firstLine="646" w:firstLineChars="202"/>
        <w:contextualSpacing w:val="0"/>
        <w:jc w:val="both"/>
        <w:rPr>
          <w:rFonts w:hint="eastAsia" w:ascii="仿宋" w:hAnsi="仿宋" w:eastAsia="仿宋" w:cs="仿宋"/>
          <w:sz w:val="32"/>
          <w:szCs w:val="32"/>
          <w14:ligatures w14:val="none"/>
        </w:rPr>
      </w:pPr>
      <w:r>
        <w:rPr>
          <w:rFonts w:hint="eastAsia" w:ascii="仿宋" w:hAnsi="仿宋" w:eastAsia="仿宋" w:cs="仿宋"/>
          <w:sz w:val="32"/>
          <w:szCs w:val="32"/>
          <w14:ligatures w14:val="none"/>
        </w:rPr>
        <w:t>今年通过教育局网站、微信公众号发布有关教育的通告、通知、公示、新闻等信息1010篇。在县政府政务信息平台发布817篇，在中央电视台、人民日报客户端、中国教育报、中国教师报等国家级媒体等刊发稿件24篇；在河北日报、河北新闻网、今日头条等省级媒体刊发稿件42篇。转发中央政治局会议、全国教育工作会、习近平总书记发言、中央八项规定精神、教育部政策性文件、重大会议精神解读、等14篇。在重大节假日，如建党节、建军节、教师节、国庆节、清明节、劳动节、儿童节，在各种宣传教育月，如国家网络安全教育周、保密宣传教育周、普通话推广周等发表威县教育系统宣传教育稿件56篇。</w:t>
      </w:r>
    </w:p>
    <w:p w14:paraId="60E7C5FD">
      <w:pPr>
        <w:adjustRightInd w:val="0"/>
        <w:snapToGrid w:val="0"/>
        <w:spacing w:line="276" w:lineRule="auto"/>
        <w:ind w:firstLine="643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（二）依申请公开情况。</w:t>
      </w:r>
      <w:r>
        <w:rPr>
          <w:rFonts w:hint="eastAsia" w:ascii="仿宋" w:hAnsi="仿宋" w:eastAsia="仿宋" w:cs="仿宋"/>
          <w:sz w:val="32"/>
          <w:szCs w:val="32"/>
        </w:rPr>
        <w:t>按照县政务信息公开工作要求，在门户网站开设接访即办专栏，及时准确公布依申请公开受理范围、办理流程等信息，方便群众咨询办理。2025年我局无依申请政府信息公开，未发生因信息公开引起的行政复议和行政诉讼。</w:t>
      </w:r>
    </w:p>
    <w:p w14:paraId="36A362FD">
      <w:pPr>
        <w:adjustRightInd w:val="0"/>
        <w:snapToGrid w:val="0"/>
        <w:spacing w:line="276" w:lineRule="auto"/>
        <w:ind w:firstLine="643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（三）政府信息管理情况。</w:t>
      </w:r>
      <w:r>
        <w:rPr>
          <w:rFonts w:hint="eastAsia" w:ascii="仿宋" w:hAnsi="仿宋" w:eastAsia="仿宋" w:cs="仿宋"/>
          <w:sz w:val="32"/>
          <w:szCs w:val="32"/>
        </w:rPr>
        <w:t>教育系统政府信息公开工作涉及我县教育工作的方方面面，为明确工作职责，将公开工作落实到位，县教育局研究制定了加强政府信息公开工作的实施方案。明确规定思政股负责威县教育局网站、微信公众号平台的技术支持、日常管理维护，公开信息的分类、编辑、上报和归档；局机关各科室、各学校负责政府信息内容的保障、相关业务内容和网上投诉的回复；局办公室负责对政府信息公开情况进行协调、督办、审核、通报，保证政府信息公开工作科学高效，避免了职责不清、衔接脱节等问题。为确保该项工作高效运行，县教育局安排了专门负责政府信息公开的工作人员，并给予办公保障。</w:t>
      </w:r>
    </w:p>
    <w:p w14:paraId="351942DA">
      <w:pPr>
        <w:adjustRightInd w:val="0"/>
        <w:snapToGrid w:val="0"/>
        <w:spacing w:line="276" w:lineRule="auto"/>
        <w:ind w:firstLine="643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（四）政府信息平台建设情况。</w:t>
      </w:r>
      <w:r>
        <w:rPr>
          <w:rFonts w:hint="eastAsia" w:ascii="仿宋" w:hAnsi="仿宋" w:eastAsia="仿宋" w:cs="仿宋"/>
          <w:sz w:val="32"/>
          <w:szCs w:val="32"/>
        </w:rPr>
        <w:t>主动适应新媒体时代信息传播的新特点和新要求，打造模块简洁、条目清晰的门户网站、微信公众号平台，在门户网站信息公开专栏，及时发布政策制度、发展现状、民生工程进展和建议提案答复等内容，最大限度地满足人民群众的知情权。</w:t>
      </w:r>
    </w:p>
    <w:p w14:paraId="25266EDA">
      <w:pPr>
        <w:adjustRightInd w:val="0"/>
        <w:snapToGrid w:val="0"/>
        <w:spacing w:line="276" w:lineRule="auto"/>
        <w:ind w:firstLine="643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（五）监督保障情况。</w:t>
      </w:r>
      <w:r>
        <w:rPr>
          <w:rFonts w:hint="eastAsia" w:ascii="仿宋" w:hAnsi="仿宋" w:eastAsia="仿宋" w:cs="仿宋"/>
          <w:sz w:val="32"/>
          <w:szCs w:val="32"/>
        </w:rPr>
        <w:t>根据县政府政务公开工作有关要求，按照《河北省教育厅社会公示制度》《河北省教育厅机关信息网上发布管理办法》《河北省教育厅政府信息公开保密审查规定》《河北省教育厅政府信息公开工作责任追究办法》要求，规范审核发布流程，做好公开内容表述、公开时机、公开方式的研判，避免发生信息发布泄密、失信、影响社会稳定等问题。落实《河北省教育厅政府信息公开工作考核评议办法》，将政务公开工作纳入各科室年度绩效考核评价体系，以绩效杠杆推进政务公开工作落到实处。</w:t>
      </w:r>
    </w:p>
    <w:p w14:paraId="37AF18D2">
      <w:pPr>
        <w:pStyle w:val="2"/>
        <w:ind w:firstLine="0"/>
        <w:rPr>
          <w:rFonts w:hint="eastAsia"/>
        </w:rPr>
      </w:pPr>
    </w:p>
    <w:p w14:paraId="14DF37F1">
      <w:pPr>
        <w:pStyle w:val="5"/>
        <w:widowControl/>
        <w:shd w:val="clear" w:color="auto" w:fill="FFFFFF"/>
        <w:adjustRightInd w:val="0"/>
        <w:snapToGrid w:val="0"/>
        <w:spacing w:beforeAutospacing="0" w:afterAutospacing="0"/>
        <w:ind w:firstLine="640" w:firstLineChars="200"/>
        <w:jc w:val="both"/>
        <w:rPr>
          <w:rFonts w:ascii="黑体" w:hAnsi="黑体" w:eastAsia="黑体" w:cs="黑体"/>
          <w:bCs/>
          <w:color w:val="333333"/>
          <w:sz w:val="32"/>
          <w:szCs w:val="32"/>
          <w:shd w:val="clear" w:color="auto" w:fill="FFFFFF"/>
        </w:rPr>
      </w:pPr>
    </w:p>
    <w:p w14:paraId="4E7769E0">
      <w:pPr>
        <w:pStyle w:val="5"/>
        <w:widowControl/>
        <w:shd w:val="clear" w:color="auto" w:fill="FFFFFF"/>
        <w:adjustRightInd w:val="0"/>
        <w:snapToGrid w:val="0"/>
        <w:spacing w:beforeAutospacing="0" w:afterAutospacing="0"/>
        <w:ind w:firstLine="640" w:firstLineChars="200"/>
        <w:jc w:val="both"/>
        <w:rPr>
          <w:rFonts w:ascii="黑体" w:hAnsi="黑体" w:eastAsia="黑体" w:cs="黑体"/>
          <w:bCs/>
          <w:color w:val="333333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二、主动公开政府信息情况</w:t>
      </w:r>
    </w:p>
    <w:p w14:paraId="66210D84">
      <w:pPr>
        <w:pStyle w:val="5"/>
        <w:widowControl/>
        <w:shd w:val="clear" w:color="auto" w:fill="FFFFFF"/>
        <w:spacing w:beforeAutospacing="0" w:afterAutospacing="0"/>
        <w:ind w:firstLine="420"/>
        <w:jc w:val="both"/>
        <w:rPr>
          <w:rFonts w:hint="eastAsia" w:ascii="宋体" w:hAnsi="宋体" w:eastAsia="宋体" w:cs="宋体"/>
          <w:color w:val="333333"/>
        </w:rPr>
      </w:pPr>
    </w:p>
    <w:tbl>
      <w:tblPr>
        <w:tblStyle w:val="6"/>
        <w:tblW w:w="9740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182FE72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1D105F97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第二十条第（一）项</w:t>
            </w:r>
          </w:p>
        </w:tc>
      </w:tr>
      <w:tr w14:paraId="028FAC2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C32E44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D2A68A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4BF30B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B7DC6B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数</w:t>
            </w:r>
          </w:p>
        </w:tc>
      </w:tr>
      <w:tr w14:paraId="6C4A7C0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CCC968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57882E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101EAF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75EE79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Cs w:val="21"/>
                <w:lang w:bidi="ar"/>
              </w:rPr>
              <w:t>0</w:t>
            </w:r>
          </w:p>
        </w:tc>
      </w:tr>
      <w:tr w14:paraId="323F09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863F11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2E2D24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86A03C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BE0127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</w:tr>
      <w:tr w14:paraId="338F338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375ADAF8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第二十条第（五）项</w:t>
            </w:r>
          </w:p>
        </w:tc>
      </w:tr>
      <w:tr w14:paraId="788EFAC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B8E7A3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9B1C07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本年处理决定数量</w:t>
            </w:r>
          </w:p>
        </w:tc>
      </w:tr>
      <w:tr w14:paraId="2737578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379403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360A57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Cs w:val="21"/>
                <w:lang w:bidi="ar"/>
              </w:rPr>
              <w:t>0</w:t>
            </w:r>
          </w:p>
        </w:tc>
      </w:tr>
      <w:tr w14:paraId="5963EE6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1125275E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第二十条第（六）项</w:t>
            </w:r>
          </w:p>
        </w:tc>
      </w:tr>
      <w:tr w14:paraId="3A6001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BDDA87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756993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本年处理决定数量</w:t>
            </w:r>
          </w:p>
        </w:tc>
      </w:tr>
      <w:tr w14:paraId="4CBD9F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3591B3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233BE4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0</w:t>
            </w:r>
          </w:p>
        </w:tc>
      </w:tr>
      <w:tr w14:paraId="04554F2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8B8E11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D5DB93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0</w:t>
            </w:r>
          </w:p>
        </w:tc>
      </w:tr>
      <w:tr w14:paraId="5F76B6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57C9455C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第二十条第（八）项</w:t>
            </w:r>
          </w:p>
        </w:tc>
      </w:tr>
      <w:tr w14:paraId="21371E4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527F79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F12577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本年收费金额（单位：万元）</w:t>
            </w:r>
          </w:p>
        </w:tc>
      </w:tr>
      <w:tr w14:paraId="04FD671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912750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9E17A2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0</w:t>
            </w:r>
          </w:p>
        </w:tc>
      </w:tr>
    </w:tbl>
    <w:p w14:paraId="08688A8A">
      <w:pPr>
        <w:widowControl/>
        <w:jc w:val="left"/>
      </w:pPr>
    </w:p>
    <w:p w14:paraId="75DD557C">
      <w:pPr>
        <w:pStyle w:val="5"/>
        <w:widowControl/>
        <w:shd w:val="clear" w:color="auto" w:fill="FFFFFF"/>
        <w:spacing w:beforeAutospacing="0" w:afterAutospacing="0"/>
        <w:ind w:firstLine="640" w:firstLineChars="200"/>
        <w:jc w:val="both"/>
        <w:rPr>
          <w:rFonts w:ascii="黑体" w:hAnsi="黑体" w:eastAsia="黑体" w:cs="黑体"/>
          <w:bCs/>
          <w:color w:val="333333"/>
          <w:sz w:val="32"/>
          <w:szCs w:val="32"/>
          <w:shd w:val="clear" w:color="auto" w:fill="FFFFFF"/>
        </w:rPr>
      </w:pPr>
    </w:p>
    <w:p w14:paraId="0039A967">
      <w:pPr>
        <w:pStyle w:val="5"/>
        <w:widowControl/>
        <w:shd w:val="clear" w:color="auto" w:fill="FFFFFF"/>
        <w:spacing w:beforeAutospacing="0" w:afterAutospacing="0"/>
        <w:ind w:firstLine="640" w:firstLineChars="200"/>
        <w:jc w:val="both"/>
        <w:rPr>
          <w:rFonts w:ascii="黑体" w:hAnsi="黑体" w:eastAsia="黑体" w:cs="黑体"/>
          <w:bCs/>
          <w:color w:val="333333"/>
          <w:sz w:val="32"/>
          <w:szCs w:val="32"/>
          <w:shd w:val="clear" w:color="auto" w:fill="FFFFFF"/>
        </w:rPr>
      </w:pPr>
    </w:p>
    <w:p w14:paraId="76059ECE">
      <w:pPr>
        <w:pStyle w:val="5"/>
        <w:widowControl/>
        <w:shd w:val="clear" w:color="auto" w:fill="FFFFFF"/>
        <w:spacing w:beforeAutospacing="0" w:afterAutospacing="0"/>
        <w:ind w:firstLine="640" w:firstLineChars="200"/>
        <w:jc w:val="both"/>
        <w:rPr>
          <w:rFonts w:ascii="黑体" w:hAnsi="黑体" w:eastAsia="黑体" w:cs="黑体"/>
          <w:bCs/>
          <w:color w:val="333333"/>
          <w:sz w:val="32"/>
          <w:szCs w:val="32"/>
          <w:shd w:val="clear" w:color="auto" w:fill="FFFFFF"/>
        </w:rPr>
      </w:pPr>
    </w:p>
    <w:p w14:paraId="2BE8A7D5">
      <w:pPr>
        <w:pStyle w:val="5"/>
        <w:widowControl/>
        <w:shd w:val="clear" w:color="auto" w:fill="FFFFFF"/>
        <w:spacing w:beforeAutospacing="0" w:afterAutospacing="0"/>
        <w:ind w:firstLine="640" w:firstLineChars="200"/>
        <w:jc w:val="both"/>
        <w:rPr>
          <w:rFonts w:ascii="黑体" w:hAnsi="黑体" w:eastAsia="黑体" w:cs="黑体"/>
          <w:bCs/>
          <w:color w:val="333333"/>
          <w:sz w:val="32"/>
          <w:szCs w:val="32"/>
          <w:shd w:val="clear" w:color="auto" w:fill="FFFFFF"/>
        </w:rPr>
      </w:pPr>
    </w:p>
    <w:p w14:paraId="7214ADF9">
      <w:pPr>
        <w:pStyle w:val="5"/>
        <w:widowControl/>
        <w:shd w:val="clear" w:color="auto" w:fill="FFFFFF"/>
        <w:spacing w:beforeAutospacing="0" w:afterAutospacing="0"/>
        <w:ind w:firstLine="640" w:firstLineChars="200"/>
        <w:jc w:val="both"/>
        <w:rPr>
          <w:rFonts w:ascii="黑体" w:hAnsi="黑体" w:eastAsia="黑体" w:cs="黑体"/>
          <w:bCs/>
          <w:color w:val="333333"/>
          <w:sz w:val="32"/>
          <w:szCs w:val="32"/>
          <w:shd w:val="clear" w:color="auto" w:fill="FFFFFF"/>
        </w:rPr>
      </w:pPr>
    </w:p>
    <w:p w14:paraId="5E4D5E0A">
      <w:pPr>
        <w:pStyle w:val="5"/>
        <w:widowControl/>
        <w:shd w:val="clear" w:color="auto" w:fill="FFFFFF"/>
        <w:spacing w:beforeAutospacing="0" w:afterAutospacing="0"/>
        <w:ind w:firstLine="640" w:firstLineChars="200"/>
        <w:jc w:val="both"/>
        <w:rPr>
          <w:rFonts w:ascii="黑体" w:hAnsi="黑体" w:eastAsia="黑体" w:cs="黑体"/>
          <w:bCs/>
          <w:color w:val="333333"/>
          <w:sz w:val="32"/>
          <w:szCs w:val="32"/>
          <w:shd w:val="clear" w:color="auto" w:fill="FFFFFF"/>
        </w:rPr>
      </w:pPr>
    </w:p>
    <w:p w14:paraId="5BAD36C2">
      <w:pPr>
        <w:pStyle w:val="5"/>
        <w:widowControl/>
        <w:shd w:val="clear" w:color="auto" w:fill="FFFFFF"/>
        <w:spacing w:beforeAutospacing="0" w:afterAutospacing="0"/>
        <w:ind w:firstLine="640" w:firstLineChars="200"/>
        <w:jc w:val="both"/>
        <w:rPr>
          <w:rFonts w:ascii="黑体" w:hAnsi="黑体" w:eastAsia="黑体" w:cs="黑体"/>
          <w:bCs/>
          <w:color w:val="333333"/>
          <w:sz w:val="32"/>
          <w:szCs w:val="32"/>
          <w:shd w:val="clear" w:color="auto" w:fill="FFFFFF"/>
        </w:rPr>
      </w:pPr>
    </w:p>
    <w:p w14:paraId="58C5F0C2">
      <w:pPr>
        <w:pStyle w:val="5"/>
        <w:widowControl/>
        <w:shd w:val="clear" w:color="auto" w:fill="FFFFFF"/>
        <w:spacing w:beforeAutospacing="0" w:afterAutospacing="0"/>
        <w:ind w:firstLine="640" w:firstLineChars="200"/>
        <w:jc w:val="both"/>
        <w:rPr>
          <w:rFonts w:ascii="黑体" w:hAnsi="黑体" w:eastAsia="黑体" w:cs="黑体"/>
          <w:bCs/>
          <w:color w:val="333333"/>
          <w:sz w:val="32"/>
          <w:szCs w:val="32"/>
          <w:shd w:val="clear" w:color="auto" w:fill="FFFFFF"/>
        </w:rPr>
      </w:pPr>
    </w:p>
    <w:p w14:paraId="1C1F911F">
      <w:pPr>
        <w:pStyle w:val="5"/>
        <w:widowControl/>
        <w:shd w:val="clear" w:color="auto" w:fill="FFFFFF"/>
        <w:spacing w:beforeAutospacing="0" w:afterAutospacing="0"/>
        <w:ind w:firstLine="640" w:firstLineChars="200"/>
        <w:jc w:val="both"/>
        <w:rPr>
          <w:rFonts w:ascii="黑体" w:hAnsi="黑体" w:eastAsia="黑体" w:cs="黑体"/>
          <w:bCs/>
          <w:color w:val="333333"/>
          <w:sz w:val="32"/>
          <w:szCs w:val="32"/>
          <w:shd w:val="clear" w:color="auto" w:fill="FFFFFF"/>
        </w:rPr>
      </w:pPr>
    </w:p>
    <w:p w14:paraId="16224C69">
      <w:pPr>
        <w:pStyle w:val="5"/>
        <w:widowControl/>
        <w:shd w:val="clear" w:color="auto" w:fill="FFFFFF"/>
        <w:spacing w:beforeAutospacing="0" w:afterAutospacing="0"/>
        <w:ind w:firstLine="640" w:firstLineChars="200"/>
        <w:jc w:val="both"/>
        <w:rPr>
          <w:rFonts w:ascii="黑体" w:hAnsi="黑体" w:eastAsia="黑体" w:cs="黑体"/>
          <w:bCs/>
          <w:color w:val="333333"/>
          <w:sz w:val="32"/>
          <w:szCs w:val="32"/>
          <w:shd w:val="clear" w:color="auto" w:fill="FFFFFF"/>
        </w:rPr>
      </w:pPr>
    </w:p>
    <w:p w14:paraId="174CB54A">
      <w:pPr>
        <w:pStyle w:val="5"/>
        <w:widowControl/>
        <w:shd w:val="clear" w:color="auto" w:fill="FFFFFF"/>
        <w:spacing w:beforeAutospacing="0" w:afterAutospacing="0"/>
        <w:ind w:firstLine="640" w:firstLineChars="200"/>
        <w:jc w:val="both"/>
        <w:rPr>
          <w:rFonts w:ascii="黑体" w:hAnsi="黑体" w:eastAsia="黑体" w:cs="黑体"/>
          <w:bCs/>
          <w:color w:val="333333"/>
          <w:sz w:val="32"/>
          <w:szCs w:val="32"/>
          <w:shd w:val="clear" w:color="auto" w:fill="FFFFFF"/>
        </w:rPr>
      </w:pPr>
    </w:p>
    <w:p w14:paraId="2D9797EA">
      <w:pPr>
        <w:pStyle w:val="5"/>
        <w:widowControl/>
        <w:shd w:val="clear" w:color="auto" w:fill="FFFFFF"/>
        <w:spacing w:beforeAutospacing="0" w:afterAutospacing="0"/>
        <w:ind w:firstLine="640" w:firstLineChars="200"/>
        <w:jc w:val="both"/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三、收到和处理政府信息公开申请情况</w:t>
      </w:r>
    </w:p>
    <w:p w14:paraId="2BABC64C">
      <w:pPr>
        <w:pStyle w:val="5"/>
        <w:widowControl/>
        <w:shd w:val="clear" w:color="auto" w:fill="FFFFFF"/>
        <w:spacing w:beforeAutospacing="0" w:afterAutospacing="0"/>
        <w:ind w:firstLine="420"/>
        <w:jc w:val="both"/>
        <w:rPr>
          <w:rFonts w:hint="eastAsia" w:ascii="宋体" w:hAnsi="宋体" w:eastAsia="宋体" w:cs="宋体"/>
          <w:color w:val="333333"/>
        </w:rPr>
      </w:pPr>
    </w:p>
    <w:tbl>
      <w:tblPr>
        <w:tblStyle w:val="6"/>
        <w:tblW w:w="9806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5"/>
        <w:gridCol w:w="941"/>
        <w:gridCol w:w="3197"/>
        <w:gridCol w:w="685"/>
        <w:gridCol w:w="734"/>
        <w:gridCol w:w="734"/>
        <w:gridCol w:w="685"/>
        <w:gridCol w:w="685"/>
        <w:gridCol w:w="685"/>
        <w:gridCol w:w="695"/>
      </w:tblGrid>
      <w:tr w14:paraId="34BE822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E326BA">
            <w:pPr>
              <w:widowControl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bidi="ar"/>
              </w:rPr>
              <w:t>（本列数据的勾稽关系为：第一项加第二项之和，等于第三项加第四项之和）</w:t>
            </w:r>
          </w:p>
        </w:tc>
        <w:tc>
          <w:tcPr>
            <w:tcW w:w="4903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519498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申请人情况</w:t>
            </w:r>
          </w:p>
        </w:tc>
      </w:tr>
      <w:tr w14:paraId="3E05EF9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930FF2">
            <w:pPr>
              <w:rPr>
                <w:rFonts w:ascii="宋体"/>
                <w:sz w:val="24"/>
              </w:rPr>
            </w:pPr>
          </w:p>
        </w:tc>
        <w:tc>
          <w:tcPr>
            <w:tcW w:w="68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D7763B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自然人</w:t>
            </w:r>
          </w:p>
        </w:tc>
        <w:tc>
          <w:tcPr>
            <w:tcW w:w="3523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DF7B92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法人或其他组织</w:t>
            </w:r>
          </w:p>
        </w:tc>
        <w:tc>
          <w:tcPr>
            <w:tcW w:w="695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94441D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总计</w:t>
            </w:r>
          </w:p>
        </w:tc>
      </w:tr>
      <w:tr w14:paraId="153D114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C552A5">
            <w:pPr>
              <w:rPr>
                <w:rFonts w:ascii="宋体"/>
                <w:sz w:val="24"/>
              </w:rPr>
            </w:pPr>
          </w:p>
        </w:tc>
        <w:tc>
          <w:tcPr>
            <w:tcW w:w="68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002ECD">
            <w:pPr>
              <w:rPr>
                <w:rFonts w:ascii="宋体"/>
                <w:sz w:val="24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10446B">
            <w:pPr>
              <w:widowControl/>
              <w:ind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商业</w:t>
            </w:r>
          </w:p>
          <w:p w14:paraId="4E1D7D75">
            <w:pPr>
              <w:widowControl/>
              <w:ind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企业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62E15F">
            <w:pPr>
              <w:widowControl/>
              <w:ind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科研</w:t>
            </w:r>
          </w:p>
          <w:p w14:paraId="586CDA9E">
            <w:pPr>
              <w:widowControl/>
              <w:ind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0BC8D2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社会公益组织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240FEE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法律服务机构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841007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其他</w:t>
            </w:r>
          </w:p>
        </w:tc>
        <w:tc>
          <w:tcPr>
            <w:tcW w:w="695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67ABF8">
            <w:pPr>
              <w:rPr>
                <w:rFonts w:ascii="宋体"/>
                <w:sz w:val="24"/>
              </w:rPr>
            </w:pPr>
          </w:p>
        </w:tc>
      </w:tr>
      <w:tr w14:paraId="3C3BA28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8" w:hRule="atLeast"/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CB9B04"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一、本年新收政府信息公开申请数量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06CF55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4CB26A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6571BD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C9226C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3A5D02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0ECC0C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B6DCA7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</w:tr>
      <w:tr w14:paraId="48D1757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D7B152"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二、上年结转政府信息公开申请数量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BA8D2D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C6D0E3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4870A1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159400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DB90BA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4C0968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11D2D0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</w:tr>
      <w:tr w14:paraId="78E8403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943265"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三、本年度办理结果</w:t>
            </w: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5E1034"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（一）予以公开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A0679F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B3F23D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60DFD5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77C7C4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379ECB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D39D80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4E037B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</w:tr>
      <w:tr w14:paraId="777BAF6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F3DF6A">
            <w:pPr>
              <w:rPr>
                <w:rFonts w:ascii="宋体"/>
                <w:sz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CE94CA"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bidi="ar"/>
              </w:rPr>
              <w:t>（区分处理的，只计这一情形，不计其他情形）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2ED476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99985C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76C95B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1769EB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474F9D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C5FB72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4C3436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</w:tr>
      <w:tr w14:paraId="2F8CB1E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047CDF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37666E"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（三）不予公开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A61679F"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1.属于国家秘密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5D11A8D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1F45A42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63750F1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3292BE1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D853A06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B0F9F38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5BF32C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</w:tr>
      <w:tr w14:paraId="4ADE4F7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92D439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E46399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ECDDD11"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2.其他法律行政法规禁止公开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AA6B202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807F8F3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4E676CB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8680E87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B024780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17E0060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E1148D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</w:tr>
      <w:tr w14:paraId="68B5735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9B9E50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15363B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6CE6719"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3.危及“三安全一稳定”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75618FA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D090211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DA11872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833B830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32DDD22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1893712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127F96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</w:tr>
      <w:tr w14:paraId="5F55FBD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177068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401368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F355D83"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4.保护第三方合法权益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515789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9800A8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5DF75D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E76575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2BF599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79BBFC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2D7E61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</w:tr>
      <w:tr w14:paraId="3A1B7B6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AA840E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98BB9E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6626E86"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5.属于三类内部事务信息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36CCA8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560D2E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446C1F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F4D19E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1A6F4B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2C625E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C68CFB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</w:tr>
      <w:tr w14:paraId="72E0D02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5A394B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54DD64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5BE3BCA"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6.属于四类过程性信息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0894E3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44C6DF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8E1CF9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FA4CA2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5AA3F6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510EA7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ABE0EE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</w:tr>
      <w:tr w14:paraId="373CDF1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9DF26F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6A61D2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737726F"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7.属于行政执法案卷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2DC831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65DEAA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1BD196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443951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579965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A45750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B66490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</w:tr>
      <w:tr w14:paraId="0B2B2C8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4821E5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49172C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E0AC9AE"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8.属于行政查询事项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E7D1C1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66C622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CBEB47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0DF655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AFF82A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D04291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969050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</w:tr>
      <w:tr w14:paraId="69B69A6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57D3E5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68A90B"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（四）无法提供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029F552"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1.本机关不掌握相关政府信息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B51AF7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D836D8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BCD064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935097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877689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DB6321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76981F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</w:tr>
      <w:tr w14:paraId="27A30F7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4E43A7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86162A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90D2172"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2.没有现成信息需要另行制作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C90A99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A876E9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E68EA1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FA82FD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800F34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D4424B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FFE939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</w:tr>
      <w:tr w14:paraId="2D0930F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952751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121529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EC28B5A"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3.补正后申请内容仍不明确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68E425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054160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A9C2DD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A55A99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916FE8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7EE655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57168E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</w:tr>
      <w:tr w14:paraId="4E1C50B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A80C02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E17CDF"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（五）不予处理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E80502D"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1.信访举报投诉类申请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90AE07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714105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D84E09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36746E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1D6C89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D9B608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29512E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</w:tr>
      <w:tr w14:paraId="1AFE3D6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5151C0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BA0159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3D2A1ED"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2.重复申请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9ADED6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637423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6B25A1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8F63D3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F57825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0F078C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A1531C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</w:tr>
      <w:tr w14:paraId="459BD4E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8759F0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920FC6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B73F2A0"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3.要求提供公开出版物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2FB9D8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F96584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B84ED3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B4AE46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8E810E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F9D6D2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B2FCDF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</w:tr>
      <w:tr w14:paraId="07D7F82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4345E3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DCD022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B298ACE"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4.无正当理由大量反复申请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BEF49B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BA83D9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60F5BF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C07907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EFD6CF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10B829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75EB7D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</w:tr>
      <w:tr w14:paraId="6BDBEAF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578633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C41570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774B65">
            <w:pPr>
              <w:widowControl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5.要求行政机关确认或重新出具已获取信息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943622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EDAB64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D4EAAD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3BD666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9CE1F2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94C10D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BEFC25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</w:tr>
      <w:tr w14:paraId="7BB2DB2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D2B3B0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4467BE"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（六）其他处理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4CA0CA">
            <w:pPr>
              <w:widowControl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1.申请人无正当理由逾期不补正、行政机关不再处理其政府信息公开申请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C14B22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6C4AF7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84C9FC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45A3BD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A73F4F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3495A3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5D632F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</w:tr>
      <w:tr w14:paraId="03930D2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8EB2F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74D6B1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5D3525">
            <w:pPr>
              <w:widowControl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CC950C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7EC793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BB208D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DCAC5F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CD88C2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0468EB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39F5B0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</w:tr>
      <w:tr w14:paraId="7E0C04E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6C24B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C9B6B5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730E00"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3.其他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ED0471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D05937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FB579D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5D0A8F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6AF8C5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D6A230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18F8C1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</w:tr>
      <w:tr w14:paraId="4F42E6F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256810">
            <w:pPr>
              <w:rPr>
                <w:rFonts w:ascii="宋体"/>
                <w:sz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160CBF"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（七）总计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F3DA8C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13FAB6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85E765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0AC7E9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A414A7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B930CB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91CBC4"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bidi="ar"/>
              </w:rPr>
              <w:t>0</w:t>
            </w:r>
          </w:p>
        </w:tc>
      </w:tr>
      <w:tr w14:paraId="5FA77E2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A32D27"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四、结转下年度继续办理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081D71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5E3D96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6D6C8B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EA1485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220E41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89A894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153539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0</w:t>
            </w:r>
          </w:p>
        </w:tc>
      </w:tr>
    </w:tbl>
    <w:p w14:paraId="379EC18F">
      <w:pPr>
        <w:widowControl/>
        <w:shd w:val="clear" w:color="auto" w:fill="FFFFFF"/>
        <w:jc w:val="center"/>
        <w:rPr>
          <w:rFonts w:hint="eastAsia" w:ascii="宋体" w:hAnsi="宋体" w:eastAsia="宋体" w:cs="宋体"/>
          <w:color w:val="333333"/>
          <w:sz w:val="24"/>
        </w:rPr>
      </w:pPr>
    </w:p>
    <w:p w14:paraId="6074684F">
      <w:pPr>
        <w:pStyle w:val="5"/>
        <w:widowControl/>
        <w:shd w:val="clear" w:color="auto" w:fill="FFFFFF"/>
        <w:spacing w:beforeAutospacing="0" w:afterAutospacing="0"/>
        <w:ind w:firstLine="640" w:firstLineChars="200"/>
        <w:jc w:val="both"/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四、政府信息公开行政复议、行政诉讼情况</w:t>
      </w:r>
    </w:p>
    <w:p w14:paraId="6CD284F9">
      <w:pPr>
        <w:widowControl/>
        <w:shd w:val="clear" w:color="auto" w:fill="FFFFFF"/>
        <w:jc w:val="center"/>
        <w:rPr>
          <w:rFonts w:hint="eastAsia" w:ascii="宋体" w:hAnsi="宋体" w:eastAsia="宋体" w:cs="宋体"/>
          <w:color w:val="333333"/>
          <w:sz w:val="24"/>
        </w:rPr>
      </w:pPr>
    </w:p>
    <w:tbl>
      <w:tblPr>
        <w:tblStyle w:val="6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2"/>
        <w:gridCol w:w="642"/>
        <w:gridCol w:w="642"/>
        <w:gridCol w:w="642"/>
        <w:gridCol w:w="642"/>
        <w:gridCol w:w="643"/>
        <w:gridCol w:w="643"/>
        <w:gridCol w:w="644"/>
        <w:gridCol w:w="644"/>
        <w:gridCol w:w="644"/>
        <w:gridCol w:w="644"/>
        <w:gridCol w:w="644"/>
        <w:gridCol w:w="644"/>
        <w:gridCol w:w="644"/>
        <w:gridCol w:w="744"/>
      </w:tblGrid>
      <w:tr w14:paraId="59AF67F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444256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行政复议</w:t>
            </w:r>
          </w:p>
        </w:tc>
        <w:tc>
          <w:tcPr>
            <w:tcW w:w="653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B1BD13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行政诉讼</w:t>
            </w:r>
          </w:p>
        </w:tc>
      </w:tr>
      <w:tr w14:paraId="34F017F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33E49E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D6473C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77875D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90C7F6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5405A7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总计</w:t>
            </w:r>
          </w:p>
        </w:tc>
        <w:tc>
          <w:tcPr>
            <w:tcW w:w="321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69B6FA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未经复议直接起诉</w:t>
            </w:r>
          </w:p>
        </w:tc>
        <w:tc>
          <w:tcPr>
            <w:tcW w:w="332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9D7075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复议后起诉</w:t>
            </w:r>
          </w:p>
        </w:tc>
      </w:tr>
      <w:tr w14:paraId="12AD3DB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D421F0">
            <w:pPr>
              <w:rPr>
                <w:rFonts w:ascii="宋体"/>
                <w:sz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26F1C4">
            <w:pPr>
              <w:rPr>
                <w:rFonts w:ascii="宋体"/>
                <w:sz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15D687">
            <w:pPr>
              <w:rPr>
                <w:rFonts w:ascii="宋体"/>
                <w:sz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D3C938">
            <w:pPr>
              <w:rPr>
                <w:rFonts w:ascii="宋体"/>
                <w:sz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DB2A75">
            <w:pPr>
              <w:rPr>
                <w:rFonts w:ascii="宋体"/>
                <w:sz w:val="24"/>
              </w:rPr>
            </w:pP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F89E6D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维持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E27FDC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4FE09A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68714D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审结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CF6C77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总计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80F4BB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维持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39B286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82C3FB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A52D0E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审结</w:t>
            </w:r>
          </w:p>
        </w:tc>
        <w:tc>
          <w:tcPr>
            <w:tcW w:w="7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BE46C2"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总计</w:t>
            </w:r>
          </w:p>
        </w:tc>
      </w:tr>
      <w:tr w14:paraId="0F0274F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249881">
            <w:pPr>
              <w:widowControl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FB413C">
            <w:pPr>
              <w:widowControl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0299B9">
            <w:pPr>
              <w:widowControl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D042DF">
            <w:pPr>
              <w:widowControl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A237CE">
            <w:pPr>
              <w:widowControl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43CF07">
            <w:pPr>
              <w:widowControl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69F650">
            <w:pPr>
              <w:widowControl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1B52CC">
            <w:pPr>
              <w:widowControl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444023">
            <w:pPr>
              <w:widowControl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5D6B5C">
            <w:pPr>
              <w:widowControl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EC90CD">
            <w:pPr>
              <w:widowControl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7BBCEC">
            <w:pPr>
              <w:widowControl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0B8945">
            <w:pPr>
              <w:widowControl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9DE63E">
            <w:pPr>
              <w:widowControl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96D1FC">
            <w:pPr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0</w:t>
            </w:r>
          </w:p>
        </w:tc>
      </w:tr>
    </w:tbl>
    <w:p w14:paraId="6D2CAE21">
      <w:pPr>
        <w:pStyle w:val="5"/>
        <w:widowControl/>
        <w:shd w:val="clear" w:color="auto" w:fill="FFFFFF"/>
        <w:adjustRightInd w:val="0"/>
        <w:snapToGrid w:val="0"/>
        <w:spacing w:beforeAutospacing="0" w:afterAutospacing="0"/>
        <w:jc w:val="both"/>
        <w:rPr>
          <w:rFonts w:hint="eastAsia" w:ascii="黑体" w:hAnsi="黑体" w:eastAsia="黑体" w:cs="黑体"/>
          <w:bCs/>
          <w:color w:val="333333"/>
          <w:sz w:val="32"/>
          <w:szCs w:val="32"/>
        </w:rPr>
      </w:pPr>
    </w:p>
    <w:p w14:paraId="13E52674">
      <w:pPr>
        <w:adjustRightInd w:val="0"/>
        <w:snapToGrid w:val="0"/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五、存在的主要问题及改进情况</w:t>
      </w:r>
    </w:p>
    <w:p w14:paraId="5900E783">
      <w:pPr>
        <w:adjustRightInd w:val="0"/>
        <w:snapToGrid w:val="0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一是信息公开制度不完善，各科室信息交流不及时，需提高信息交流、公开效率；二是信息公开形式、渠道距离家长、师生的需求还有差距，需要开辟信息公开媒体平台、创新公开方式。</w:t>
      </w:r>
    </w:p>
    <w:p w14:paraId="12BE6F59">
      <w:pPr>
        <w:adjustRightInd w:val="0"/>
        <w:snapToGrid w:val="0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针对问题下一步将主要做好以下几方面工作：</w:t>
      </w:r>
    </w:p>
    <w:p w14:paraId="73BF683A">
      <w:pPr>
        <w:adjustRightInd w:val="0"/>
        <w:snapToGrid w:val="0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一是健全工作机制。完善政务信息主动公开工作机制，明确职责、程序、公开方式和时限要求；完善申请的受理机制，制定依申请公开政务信息的工作规程，明确申请的受理、审查、处理、答复等各个环节的具体要求，有效保障申请人的合法权益，维护政务信息公开工作秩序；完善信息发布保密审查制度，确保不发生泄密问题。</w:t>
      </w:r>
    </w:p>
    <w:p w14:paraId="5C9DF970">
      <w:pPr>
        <w:adjustRightInd w:val="0"/>
        <w:snapToGrid w:val="0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二是探索工作新途径。树立人民需求就是政务信息工作方向的意识，在政府信息公开工作中，在丰富公开内容的同时，探索更加方便、快捷、高效的公开工作形式，使政务公开工作内容丰富、渠道广泛、灵活方便。 </w:t>
      </w:r>
    </w:p>
    <w:p w14:paraId="72804D7C">
      <w:pPr>
        <w:adjustRightInd w:val="0"/>
        <w:snapToGrid w:val="0"/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六、其他需要报告的事项</w:t>
      </w:r>
    </w:p>
    <w:p w14:paraId="3F298A94">
      <w:pPr>
        <w:adjustRightInd w:val="0"/>
        <w:snapToGrid w:val="0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认真贯彻执行国务院办公厅《政府信息公开信息处理费管理办法》和《关于政府信息公开处理费管理有关事项的通知》。2025年我局未收取信息处理费。</w:t>
      </w:r>
    </w:p>
    <w:p w14:paraId="37B62569">
      <w:pPr>
        <w:adjustRightInd w:val="0"/>
        <w:snapToGrid w:val="0"/>
        <w:ind w:firstLine="640" w:firstLineChars="200"/>
        <w:jc w:val="right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61C5F839">
      <w:pPr>
        <w:adjustRightInd w:val="0"/>
        <w:snapToGrid w:val="0"/>
        <w:ind w:firstLine="640" w:firstLineChars="200"/>
        <w:jc w:val="right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134C9847">
      <w:pPr>
        <w:adjustRightInd w:val="0"/>
        <w:snapToGrid w:val="0"/>
        <w:ind w:firstLine="640" w:firstLineChars="200"/>
        <w:jc w:val="righ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2026年1月21日</w:t>
      </w:r>
    </w:p>
    <w:sectPr>
      <w:footerReference r:id="rId3" w:type="default"/>
      <w:pgSz w:w="11906" w:h="16838"/>
      <w:pgMar w:top="2098" w:right="1474" w:bottom="1135" w:left="1587" w:header="851" w:footer="179" w:gutter="0"/>
      <w:pgNumType w:fmt="numberInDash"/>
      <w:cols w:space="0" w:num="1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D357B8E">
    <w:pPr>
      <w:pStyle w:val="3"/>
      <w:rPr>
        <w:rFonts w:hint="eastAsia"/>
      </w:rPr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2582545</wp:posOffset>
              </wp:positionH>
              <wp:positionV relativeFrom="paragraph">
                <wp:posOffset>-419735</wp:posOffset>
              </wp:positionV>
              <wp:extent cx="1828800" cy="65659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65659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1897017">
                          <w:pPr>
                            <w:pStyle w:val="3"/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03.35pt;margin-top:-33.05pt;height:51.7pt;width:144pt;mso-position-horizontal-relative:margin;mso-wrap-style:none;z-index:251659264;mso-width-relative:page;mso-height-relative:page;" filled="f" stroked="f" coordsize="21600,21600" o:gfxdata="UEsDBAoAAAAAAIdO4kAAAAAAAAAAAAAAAAAEAAAAZHJzL1BLAwQUAAAACACHTuJAxLdnC9oAAAAK&#10;AQAADwAAAGRycy9kb3ducmV2LnhtbE2Py07DMBBF90j8gzVI7Fo7NLgQMqkQEt2wanhI7Nx4mkT4&#10;EcVuE/h6zKosZ+bozrnlZraGnWgMvXcI2VIAI9d43bsW4e31eXEHLETltDLeEcI3BdhUlxelKrSf&#10;3I5OdWxZCnGhUAhdjEPBeWg6sios/UAu3Q5+tCqmcWy5HtWUwq3hN0JIblXv0odODfTUUfNVHy3C&#10;dv75yF/Gz2hqtWtu3+1je9hOiNdXmXgAFmmOZxj+9JM6VMlp749OB2YQciHXCUVYSJkBS4S8z9Nm&#10;j7Bar4BXJf9fofoFUEsDBBQAAAAIAIdO4kBtYpE9MAIAAFQEAAAOAAAAZHJzL2Uyb0RvYy54bWyt&#10;VMFuEzEQvSPxD5bvdNPSViHqpgqNgpAqWqkgzo7Xm13J9li2093yAfAHnLhw57vyHTx7sykqHHrg&#10;4sx6Zt7Me57JxWVvNLtXPrRkS358NOFMWUlVazcl//Rx9WrKWYjCVkKTVSV/UIFfzl++uOjcTJ1Q&#10;Q7pSngHEhlnnSt7E6GZFEWSjjAhH5JSFsyZvRMSn3xSVFx3QjS5OJpPzoiNfOU9ShYDb5eDke0T/&#10;HECq61aqJcmtUTYOqF5pEUEpNK0LfJ67rWsl401dBxWZLjmYxnyiCOx1Oov5hZhtvHBNK/ctiOe0&#10;8ISTEa1F0QPUUkTBtr79C8q00lOgOh5JMsVAJCsCFseTJ9rcNcKpzAVSB3cQPfw/WPnh/taztir5&#10;KWdWGDz47vu33Y9fu59f2WmSp3Nhhqg7h7jYv6UeQzPeB1wm1n3tTfoFHwY/xH04iKv6yGRKmp5M&#10;pxO4JHznZ+dnb7L6xWO28yG+U2RYMkru8XhZU3F/HSI6QegYkopZWrVa5wfUlnUAfX02yQkHDzK0&#10;RWLiMPSarNiv+z2xNVUP4OVpGIzg5KpF8WsR4q3wmAT0i12JNzhqTShCe4uzhvyXf92neDwQvJx1&#10;mKySWywSZ/q9xcMBMI6GH431aNituSKM6jF20MlsIsFHPZq1J/MZC7RINeASVqJSyeNoXsVhurGA&#10;Ui0WOQij5kS8tndOJuhBvMU2Ut1mXZMogxJ7rTBsWe79YqRp/vM7Rz3+Gcx/A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KMEAABbQ29udGVudF9U&#10;eXBlc10ueG1sUEsBAhQACgAAAAAAh07iQAAAAAAAAAAAAAAAAAYAAAAAAAAAAAAQAAAAhQMAAF9y&#10;ZWxzL1BLAQIUABQAAAAIAIdO4kCKFGY80QAAAJQBAAALAAAAAAAAAAEAIAAAAKkDAABfcmVscy8u&#10;cmVsc1BLAQIUAAoAAAAAAIdO4kAAAAAAAAAAAAAAAAAEAAAAAAAAAAAAEAAAAAAAAABkcnMvUEsB&#10;AhQAFAAAAAgAh07iQMS3ZwvaAAAACgEAAA8AAAAAAAAAAQAgAAAAIgAAAGRycy9kb3ducmV2Lnht&#10;bFBLAQIUABQAAAAIAIdO4kBtYpE9MAIAAFQEAAAOAAAAAAAAAAEAIAAAACkBAABkcnMvZTJvRG9j&#10;LnhtbFBLBQYAAAAABgAGAFkBAADLBQAAAAA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 w14:paraId="41897017">
                    <w:pPr>
                      <w:pStyle w:val="3"/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935875E"/>
    <w:multiLevelType w:val="singleLevel"/>
    <w:tmpl w:val="D935875E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3E286DE9"/>
    <w:multiLevelType w:val="singleLevel"/>
    <w:tmpl w:val="3E286DE9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9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46C4"/>
    <w:rsid w:val="00002893"/>
    <w:rsid w:val="000B7994"/>
    <w:rsid w:val="000C3EB8"/>
    <w:rsid w:val="001E347B"/>
    <w:rsid w:val="00237F7E"/>
    <w:rsid w:val="002D76FB"/>
    <w:rsid w:val="003207C0"/>
    <w:rsid w:val="003379C2"/>
    <w:rsid w:val="00417A84"/>
    <w:rsid w:val="00440A28"/>
    <w:rsid w:val="00541CFD"/>
    <w:rsid w:val="005960C2"/>
    <w:rsid w:val="006033C1"/>
    <w:rsid w:val="00792476"/>
    <w:rsid w:val="008077FC"/>
    <w:rsid w:val="008647F1"/>
    <w:rsid w:val="008A46C4"/>
    <w:rsid w:val="008C3624"/>
    <w:rsid w:val="008E345B"/>
    <w:rsid w:val="0098141E"/>
    <w:rsid w:val="00A7634B"/>
    <w:rsid w:val="00BD3588"/>
    <w:rsid w:val="00BF2326"/>
    <w:rsid w:val="00BF263E"/>
    <w:rsid w:val="00C17868"/>
    <w:rsid w:val="00C95AC8"/>
    <w:rsid w:val="00CB6A4A"/>
    <w:rsid w:val="00D54321"/>
    <w:rsid w:val="00DD6979"/>
    <w:rsid w:val="00E83965"/>
    <w:rsid w:val="03D53AB8"/>
    <w:rsid w:val="04AB4158"/>
    <w:rsid w:val="0ABB7025"/>
    <w:rsid w:val="0AEF04FA"/>
    <w:rsid w:val="0F393D6D"/>
    <w:rsid w:val="101C7A8D"/>
    <w:rsid w:val="182D35C9"/>
    <w:rsid w:val="198B7C78"/>
    <w:rsid w:val="1A7949AD"/>
    <w:rsid w:val="1CAF5E68"/>
    <w:rsid w:val="28E232EB"/>
    <w:rsid w:val="2BC446DC"/>
    <w:rsid w:val="2C7F4640"/>
    <w:rsid w:val="2DB271AD"/>
    <w:rsid w:val="303834AB"/>
    <w:rsid w:val="329D5EB5"/>
    <w:rsid w:val="37ED04CC"/>
    <w:rsid w:val="3AC27A19"/>
    <w:rsid w:val="3FAA2207"/>
    <w:rsid w:val="41840E02"/>
    <w:rsid w:val="505D1180"/>
    <w:rsid w:val="51311FCD"/>
    <w:rsid w:val="53A51C8F"/>
    <w:rsid w:val="53F44EC8"/>
    <w:rsid w:val="564A1575"/>
    <w:rsid w:val="564C7C4C"/>
    <w:rsid w:val="56DC7C88"/>
    <w:rsid w:val="5979504A"/>
    <w:rsid w:val="5D09314B"/>
    <w:rsid w:val="67711847"/>
    <w:rsid w:val="6E920EDB"/>
    <w:rsid w:val="6F4D7E96"/>
    <w:rsid w:val="73A9585E"/>
    <w:rsid w:val="78F273FF"/>
    <w:rsid w:val="7A9C47EE"/>
    <w:rsid w:val="7B875E93"/>
    <w:rsid w:val="7E716C65"/>
    <w:rsid w:val="7F4025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0"/>
    <w:pPr>
      <w:ind w:firstLine="420"/>
    </w:pPr>
    <w:rPr>
      <w:szCs w:val="21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8">
    <w:name w:val="FollowedHyperlink"/>
    <w:basedOn w:val="7"/>
    <w:qFormat/>
    <w:uiPriority w:val="0"/>
    <w:rPr>
      <w:rFonts w:hint="eastAsia" w:ascii="微软雅黑" w:hAnsi="微软雅黑" w:eastAsia="微软雅黑" w:cs="微软雅黑"/>
      <w:color w:val="800080"/>
      <w:u w:val="none"/>
    </w:rPr>
  </w:style>
  <w:style w:type="character" w:styleId="9">
    <w:name w:val="Emphasis"/>
    <w:basedOn w:val="7"/>
    <w:qFormat/>
    <w:uiPriority w:val="0"/>
    <w:rPr>
      <w:rFonts w:hint="eastAsia" w:ascii="微软雅黑" w:hAnsi="微软雅黑" w:eastAsia="微软雅黑" w:cs="微软雅黑"/>
      <w:u w:val="none"/>
    </w:rPr>
  </w:style>
  <w:style w:type="character" w:styleId="10">
    <w:name w:val="Hyperlink"/>
    <w:basedOn w:val="7"/>
    <w:qFormat/>
    <w:uiPriority w:val="0"/>
    <w:rPr>
      <w:rFonts w:hint="eastAsia" w:ascii="微软雅黑" w:hAnsi="微软雅黑" w:eastAsia="微软雅黑" w:cs="微软雅黑"/>
      <w:color w:val="0000FF"/>
      <w:u w:val="none"/>
    </w:rPr>
  </w:style>
  <w:style w:type="character" w:customStyle="1" w:styleId="11">
    <w:name w:val="hover20"/>
    <w:basedOn w:val="7"/>
    <w:qFormat/>
    <w:uiPriority w:val="0"/>
    <w:rPr>
      <w:color w:val="CC0000"/>
    </w:rPr>
  </w:style>
  <w:style w:type="character" w:customStyle="1" w:styleId="12">
    <w:name w:val="curr3"/>
    <w:basedOn w:val="7"/>
    <w:qFormat/>
    <w:uiPriority w:val="0"/>
    <w:rPr>
      <w:color w:val="FFFFFF"/>
      <w:shd w:val="clear" w:color="auto" w:fill="CC0000"/>
    </w:rPr>
  </w:style>
  <w:style w:type="character" w:customStyle="1" w:styleId="13">
    <w:name w:val="yzm"/>
    <w:basedOn w:val="7"/>
    <w:qFormat/>
    <w:uiPriority w:val="0"/>
    <w:rPr>
      <w:color w:val="999999"/>
      <w:sz w:val="21"/>
      <w:szCs w:val="21"/>
    </w:rPr>
  </w:style>
  <w:style w:type="paragraph" w:styleId="14">
    <w:name w:val="List Paragraph"/>
    <w:basedOn w:val="1"/>
    <w:qFormat/>
    <w:uiPriority w:val="34"/>
    <w:pPr>
      <w:spacing w:after="160" w:line="278" w:lineRule="auto"/>
      <w:ind w:left="720"/>
      <w:contextualSpacing/>
      <w:jc w:val="left"/>
    </w:pPr>
    <w:rPr>
      <w:sz w:val="22"/>
      <w14:ligatures w14:val="standardContextual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2679</Words>
  <Characters>2734</Characters>
  <Lines>22</Lines>
  <Paragraphs>6</Paragraphs>
  <TotalTime>65</TotalTime>
  <ScaleCrop>false</ScaleCrop>
  <LinksUpToDate>false</LinksUpToDate>
  <CharactersWithSpaces>2735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2026-01-21T07:33:00Z</dcterms:created>
  <dc:creator>Administrator</dc:creator>
  <cp:lastModifiedBy>WPS_1688292614</cp:lastModifiedBy>
  <cp:lastPrinted>2026-01-21T08:31:00Z</cp:lastPrinted>
  <dcterms:modified xsi:type="dcterms:W3CDTF">2026-01-22T08:15:58Z</dcterms:modified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1128EE6F19D04CC591909331D55133F3</vt:lpwstr>
  </property>
  <property fmtid="{D5CDD505-2E9C-101B-9397-08002B2CF9AE}" pid="4" name="KSOTemplateDocerSaveRecord">
    <vt:lpwstr>eyJoZGlkIjoiNjNjNGVlZjYzZDg1YjAwNWE0N2VkNDIwYjYwN2FlMTAiLCJ1c2VySWQiOiIxNTExNjQ2OTcwIn0=</vt:lpwstr>
  </property>
</Properties>
</file>