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3EA72B5">
      <w:pPr>
        <w:pStyle w:val="7"/>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default" w:ascii="方正小标宋简体" w:hAnsi="方正小标宋简体" w:eastAsia="方正小标宋简体" w:cs="方正小标宋简体"/>
          <w:b w:val="0"/>
          <w:bCs/>
          <w:i w:val="0"/>
          <w:caps w:val="0"/>
          <w:color w:val="333333"/>
          <w:spacing w:val="0"/>
          <w:sz w:val="44"/>
          <w:szCs w:val="44"/>
          <w:shd w:val="clear" w:color="auto" w:fill="FFFFFF"/>
          <w:lang w:val="en-US" w:eastAsia="zh-CN"/>
        </w:rPr>
      </w:pPr>
      <w:r>
        <w:rPr>
          <w:rFonts w:hint="eastAsia" w:ascii="方正小标宋简体" w:hAnsi="方正小标宋简体" w:eastAsia="方正小标宋简体" w:cs="方正小标宋简体"/>
          <w:b w:val="0"/>
          <w:bCs/>
          <w:i w:val="0"/>
          <w:caps w:val="0"/>
          <w:color w:val="333333"/>
          <w:spacing w:val="0"/>
          <w:sz w:val="44"/>
          <w:szCs w:val="44"/>
          <w:shd w:val="clear" w:color="auto" w:fill="FFFFFF"/>
          <w:lang w:val="en-US" w:eastAsia="zh-CN"/>
        </w:rPr>
        <w:t>威县张营乡人民政府</w:t>
      </w:r>
    </w:p>
    <w:p w14:paraId="6B9433A3">
      <w:pPr>
        <w:pStyle w:val="7"/>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bidi w:val="0"/>
        <w:adjustRightInd/>
        <w:snapToGrid/>
        <w:spacing w:before="0" w:beforeAutospacing="0" w:after="0" w:afterAutospacing="0" w:line="560" w:lineRule="exact"/>
        <w:ind w:right="0"/>
        <w:jc w:val="center"/>
        <w:textAlignment w:val="auto"/>
        <w:rPr>
          <w:rFonts w:hint="eastAsia" w:ascii="方正小标宋简体" w:hAnsi="方正小标宋简体" w:eastAsia="方正小标宋简体" w:cs="方正小标宋简体"/>
          <w:b w:val="0"/>
          <w:bCs/>
          <w:i w:val="0"/>
          <w:caps w:val="0"/>
          <w:color w:val="333333"/>
          <w:spacing w:val="0"/>
          <w:sz w:val="44"/>
          <w:szCs w:val="44"/>
          <w:shd w:val="clear" w:color="auto" w:fill="FFFFFF"/>
        </w:rPr>
      </w:pPr>
      <w:r>
        <w:rPr>
          <w:rFonts w:hint="eastAsia" w:ascii="方正小标宋简体" w:hAnsi="方正小标宋简体" w:eastAsia="方正小标宋简体" w:cs="方正小标宋简体"/>
          <w:b w:val="0"/>
          <w:bCs/>
          <w:i w:val="0"/>
          <w:caps w:val="0"/>
          <w:color w:val="333333"/>
          <w:spacing w:val="0"/>
          <w:sz w:val="44"/>
          <w:szCs w:val="44"/>
          <w:shd w:val="clear" w:color="auto" w:fill="FFFFFF"/>
        </w:rPr>
        <w:t>202</w:t>
      </w:r>
      <w:r>
        <w:rPr>
          <w:rFonts w:hint="eastAsia" w:ascii="方正小标宋简体" w:hAnsi="方正小标宋简体" w:eastAsia="方正小标宋简体" w:cs="方正小标宋简体"/>
          <w:b w:val="0"/>
          <w:bCs/>
          <w:i w:val="0"/>
          <w:caps w:val="0"/>
          <w:color w:val="333333"/>
          <w:spacing w:val="0"/>
          <w:sz w:val="44"/>
          <w:szCs w:val="44"/>
          <w:shd w:val="clear" w:color="auto" w:fill="FFFFFF"/>
          <w:lang w:val="en-US" w:eastAsia="zh-CN"/>
        </w:rPr>
        <w:t>5</w:t>
      </w:r>
      <w:r>
        <w:rPr>
          <w:rFonts w:hint="eastAsia" w:ascii="方正小标宋简体" w:hAnsi="方正小标宋简体" w:eastAsia="方正小标宋简体" w:cs="方正小标宋简体"/>
          <w:b w:val="0"/>
          <w:bCs/>
          <w:i w:val="0"/>
          <w:caps w:val="0"/>
          <w:color w:val="333333"/>
          <w:spacing w:val="0"/>
          <w:sz w:val="44"/>
          <w:szCs w:val="44"/>
          <w:shd w:val="clear" w:color="auto" w:fill="FFFFFF"/>
        </w:rPr>
        <w:t>年政府信息公开工作年度报告</w:t>
      </w:r>
    </w:p>
    <w:p w14:paraId="69FAF604">
      <w:pPr>
        <w:pStyle w:val="7"/>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bidi w:val="0"/>
        <w:adjustRightInd/>
        <w:snapToGrid/>
        <w:spacing w:before="0" w:beforeAutospacing="0" w:after="0" w:afterAutospacing="0" w:line="560" w:lineRule="exact"/>
        <w:ind w:left="0" w:right="0" w:firstLine="0"/>
        <w:jc w:val="center"/>
        <w:textAlignment w:val="auto"/>
        <w:rPr>
          <w:rFonts w:hint="eastAsia" w:ascii="方正小标宋简体" w:hAnsi="方正小标宋简体" w:eastAsia="方正小标宋简体" w:cs="方正小标宋简体"/>
          <w:b w:val="0"/>
          <w:bCs/>
          <w:i w:val="0"/>
          <w:caps w:val="0"/>
          <w:color w:val="333333"/>
          <w:spacing w:val="0"/>
          <w:sz w:val="44"/>
          <w:szCs w:val="44"/>
          <w:shd w:val="clear" w:color="auto" w:fill="FFFFFF"/>
        </w:rPr>
      </w:pPr>
    </w:p>
    <w:p w14:paraId="13DB3D3A">
      <w:pPr>
        <w:keepNext w:val="0"/>
        <w:keepLines w:val="0"/>
        <w:pageBreakBefore w:val="0"/>
        <w:widowControl w:val="0"/>
        <w:kinsoku/>
        <w:wordWrap/>
        <w:overflowPunct/>
        <w:topLinePunct w:val="0"/>
        <w:autoSpaceDE/>
        <w:autoSpaceDN/>
        <w:bidi w:val="0"/>
        <w:adjustRightInd w:val="0"/>
        <w:snapToGrid/>
        <w:spacing w:beforeAutospacing="0" w:afterAutospacing="0" w:line="560" w:lineRule="exact"/>
        <w:ind w:left="0" w:leftChars="0" w:right="0" w:rightChars="0" w:firstLine="640" w:firstLineChars="200"/>
        <w:jc w:val="both"/>
        <w:textAlignment w:val="auto"/>
        <w:outlineLvl w:val="9"/>
        <w:rPr>
          <w:rFonts w:hint="default" w:ascii="仿宋_GB2312" w:eastAsia="仿宋_GB2312"/>
          <w:color w:val="000000"/>
          <w:sz w:val="32"/>
          <w:szCs w:val="32"/>
          <w:lang w:val="en-US" w:eastAsia="zh-CN" w:bidi="ar"/>
        </w:rPr>
      </w:pPr>
      <w:r>
        <w:rPr>
          <w:rFonts w:hint="eastAsia" w:ascii="仿宋_GB2312" w:eastAsia="仿宋_GB2312" w:cs="Times New Roman"/>
          <w:sz w:val="32"/>
          <w:szCs w:val="32"/>
          <w:lang w:val="en-US" w:eastAsia="zh-CN"/>
        </w:rPr>
        <w:t>根据《中华人民共和国政府信息公开条例》《河北省实施〈中华人民共和国政府信息公开条例〉办法》等规定，发布本年度报告，报告中所列数据统计期限为2025年1月1日至12月31日。</w:t>
      </w:r>
    </w:p>
    <w:p w14:paraId="3D2DE4CE">
      <w:pPr>
        <w:pStyle w:val="7"/>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黑体" w:hAnsi="黑体" w:eastAsia="黑体" w:cs="黑体"/>
          <w:b w:val="0"/>
          <w:bCs/>
          <w:i w:val="0"/>
          <w:caps w:val="0"/>
          <w:color w:val="333333"/>
          <w:spacing w:val="0"/>
          <w:sz w:val="32"/>
          <w:szCs w:val="32"/>
          <w:shd w:val="clear" w:color="auto" w:fill="FFFFFF"/>
        </w:rPr>
      </w:pPr>
      <w:r>
        <w:rPr>
          <w:rFonts w:hint="eastAsia" w:ascii="黑体" w:hAnsi="黑体" w:eastAsia="黑体" w:cs="黑体"/>
          <w:b w:val="0"/>
          <w:bCs/>
          <w:i w:val="0"/>
          <w:caps w:val="0"/>
          <w:color w:val="333333"/>
          <w:spacing w:val="0"/>
          <w:sz w:val="32"/>
          <w:szCs w:val="32"/>
          <w:shd w:val="clear" w:color="auto" w:fill="FFFFFF"/>
        </w:rPr>
        <w:t>一、总体情况</w:t>
      </w:r>
    </w:p>
    <w:p w14:paraId="48213B7A">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kern w:val="0"/>
          <w:sz w:val="32"/>
          <w:szCs w:val="32"/>
          <w:shd w:val="clear" w:fill="FFFFFF"/>
          <w:lang w:val="en-US" w:eastAsia="zh-CN" w:bidi="ar"/>
        </w:rPr>
        <w:t>2025年，张营乡人民政府深入贯彻落实上级关于政府信息公开工作的决策部署，坚持以公开为常态、不公开为例外的原则，健全工作机制，规范公开流程，聚焦群众关切，不断提升政府信息公开的质量和实效，切实保障人民群众的知情权、参与权、表达权和监督权。</w:t>
      </w:r>
    </w:p>
    <w:p w14:paraId="08DE7808">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3" w:firstLineChars="200"/>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shd w:val="clear" w:fill="FFFFFF"/>
        </w:rPr>
        <w:t>（一）主动公开信息情况</w:t>
      </w:r>
    </w:p>
    <w:p w14:paraId="027B2466">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kern w:val="0"/>
          <w:sz w:val="32"/>
          <w:szCs w:val="32"/>
          <w:shd w:val="clear" w:fill="FFFFFF"/>
          <w:lang w:val="en-US" w:eastAsia="zh-CN" w:bidi="ar"/>
        </w:rPr>
        <w:t>本年度，张营乡围绕乡村振兴、民生保障、行政许可、安全生产、惠农政策落实、财政收支等重点领域，主动公开政府信息</w:t>
      </w:r>
      <w:r>
        <w:rPr>
          <w:rStyle w:val="10"/>
          <w:rFonts w:hint="eastAsia" w:ascii="仿宋_GB2312" w:hAnsi="仿宋_GB2312" w:eastAsia="仿宋_GB2312" w:cs="仿宋_GB2312"/>
          <w:b w:val="0"/>
          <w:bCs w:val="0"/>
          <w:color w:val="000000"/>
          <w:kern w:val="0"/>
          <w:sz w:val="32"/>
          <w:szCs w:val="32"/>
          <w:highlight w:val="none"/>
          <w:shd w:val="clear" w:fill="FFFFFF"/>
          <w:lang w:val="en-US" w:eastAsia="zh-CN" w:bidi="ar"/>
        </w:rPr>
        <w:t>267条</w:t>
      </w:r>
      <w:r>
        <w:rPr>
          <w:rFonts w:hint="eastAsia" w:ascii="仿宋_GB2312" w:hAnsi="仿宋_GB2312" w:eastAsia="仿宋_GB2312" w:cs="仿宋_GB2312"/>
          <w:color w:val="000000"/>
          <w:kern w:val="0"/>
          <w:sz w:val="32"/>
          <w:szCs w:val="32"/>
          <w:shd w:val="clear" w:fill="FFFFFF"/>
          <w:lang w:val="en-US" w:eastAsia="zh-CN" w:bidi="ar"/>
        </w:rPr>
        <w:t>。公开渠道以威县政府信息公开平台为主阵地，同步依托乡政务公开栏、村级公示栏、村民代表大会、乡村大喇叭等线下载体，实现线上线下公开互补，确保信息传递及时、覆盖广泛。</w:t>
      </w:r>
    </w:p>
    <w:p w14:paraId="757B0718">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3" w:firstLineChars="200"/>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shd w:val="clear" w:fill="FFFFFF"/>
        </w:rPr>
        <w:t>（二）依申请公开办理情况</w:t>
      </w:r>
    </w:p>
    <w:p w14:paraId="7DC199AF">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kern w:val="0"/>
          <w:sz w:val="32"/>
          <w:szCs w:val="32"/>
          <w:shd w:val="clear" w:fill="FFFFFF"/>
          <w:lang w:val="en-US" w:eastAsia="zh-CN" w:bidi="ar"/>
        </w:rPr>
        <w:t>2025年，张营乡未收到公民、法人及其他组织提出的政府信息公开申请。乡政务公开工作领导小组已明确依申请公开的受理、审查、处理、答复全流程规范，配备专人负责该项工作，确保一旦收到申请，能够依法依规、按时高效办结。</w:t>
      </w:r>
    </w:p>
    <w:p w14:paraId="1BED3C88">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3" w:firstLineChars="200"/>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shd w:val="clear" w:fill="FFFFFF"/>
        </w:rPr>
        <w:t>（三）政府信息管理情况</w:t>
      </w:r>
    </w:p>
    <w:p w14:paraId="22CE308A">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kern w:val="0"/>
          <w:sz w:val="32"/>
          <w:szCs w:val="32"/>
          <w:shd w:val="clear" w:fill="FFFFFF"/>
          <w:lang w:val="en-US" w:eastAsia="zh-CN" w:bidi="ar"/>
        </w:rPr>
        <w:t>张营乡建立健全政府信息公开审核机制，严格落实信息发布前的</w:t>
      </w:r>
      <w:r>
        <w:rPr>
          <w:rStyle w:val="10"/>
          <w:rFonts w:hint="eastAsia" w:ascii="仿宋_GB2312" w:hAnsi="仿宋_GB2312" w:eastAsia="仿宋_GB2312" w:cs="仿宋_GB2312"/>
          <w:b/>
          <w:bCs/>
          <w:color w:val="000000"/>
          <w:kern w:val="0"/>
          <w:sz w:val="32"/>
          <w:szCs w:val="32"/>
          <w:shd w:val="clear" w:fill="FFFFFF"/>
          <w:lang w:val="en-US" w:eastAsia="zh-CN" w:bidi="ar"/>
        </w:rPr>
        <w:t>保密审查</w:t>
      </w:r>
      <w:r>
        <w:rPr>
          <w:rFonts w:hint="eastAsia" w:ascii="仿宋_GB2312" w:hAnsi="仿宋_GB2312" w:eastAsia="仿宋_GB2312" w:cs="仿宋_GB2312"/>
          <w:color w:val="000000"/>
          <w:kern w:val="0"/>
          <w:sz w:val="32"/>
          <w:szCs w:val="32"/>
          <w:shd w:val="clear" w:fill="FFFFFF"/>
          <w:lang w:val="en-US" w:eastAsia="zh-CN" w:bidi="ar"/>
        </w:rPr>
        <w:t>和</w:t>
      </w:r>
      <w:r>
        <w:rPr>
          <w:rStyle w:val="10"/>
          <w:rFonts w:hint="eastAsia" w:ascii="仿宋_GB2312" w:hAnsi="仿宋_GB2312" w:eastAsia="仿宋_GB2312" w:cs="仿宋_GB2312"/>
          <w:b/>
          <w:bCs/>
          <w:color w:val="000000"/>
          <w:kern w:val="0"/>
          <w:sz w:val="32"/>
          <w:szCs w:val="32"/>
          <w:shd w:val="clear" w:fill="FFFFFF"/>
          <w:lang w:val="en-US" w:eastAsia="zh-CN" w:bidi="ar"/>
        </w:rPr>
        <w:t>内容审核</w:t>
      </w:r>
      <w:r>
        <w:rPr>
          <w:rFonts w:hint="eastAsia" w:ascii="仿宋_GB2312" w:hAnsi="仿宋_GB2312" w:eastAsia="仿宋_GB2312" w:cs="仿宋_GB2312"/>
          <w:color w:val="000000"/>
          <w:kern w:val="0"/>
          <w:sz w:val="32"/>
          <w:szCs w:val="32"/>
          <w:shd w:val="clear" w:fill="FFFFFF"/>
          <w:lang w:val="en-US" w:eastAsia="zh-CN" w:bidi="ar"/>
        </w:rPr>
        <w:t>制度，杜绝涉密信息外泄。安排专人负责政府信息的梳理、分类、归档工作，定期对已公开信息进行核查更新，及时清理失效信息，确保公开信息的准确性、完整性和时效性。</w:t>
      </w:r>
    </w:p>
    <w:p w14:paraId="496117B9">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3" w:firstLineChars="200"/>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shd w:val="clear" w:fill="FFFFFF"/>
        </w:rPr>
        <w:t>（四）公开平台建设情况</w:t>
      </w:r>
    </w:p>
    <w:p w14:paraId="0A07AB90">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kern w:val="0"/>
          <w:sz w:val="32"/>
          <w:szCs w:val="32"/>
          <w:shd w:val="clear" w:fill="FFFFFF"/>
          <w:lang w:val="en-US" w:eastAsia="zh-CN" w:bidi="ar"/>
        </w:rPr>
        <w:t>一是规范维护线上平台，依托威县政府信息公开平台及时发布和更新信息，确保平台内容与乡工作推进同步。二是优化线下公开阵地，对乡政务公开栏和 25个村级公示栏进行定期维护，明确更新周期和责任人，确保政策文件、工作动态、财政收支等信息及时上墙。三是畅通咨询渠道，通过乡便民服务中心窗口、咨询电话（0319-6240117）为群众提供信息查询指引和答疑服务。</w:t>
      </w:r>
    </w:p>
    <w:p w14:paraId="4C0DBAF5">
      <w:pPr>
        <w:pStyle w:val="4"/>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firstLine="643" w:firstLineChars="200"/>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shd w:val="clear" w:fill="FFFFFF"/>
        </w:rPr>
        <w:t>（五）监督保障情况</w:t>
      </w:r>
    </w:p>
    <w:p w14:paraId="3E3B143F">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left"/>
        <w:textAlignment w:val="auto"/>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kern w:val="0"/>
          <w:sz w:val="32"/>
          <w:szCs w:val="32"/>
          <w:shd w:val="clear" w:fill="FFFFFF"/>
          <w:lang w:val="en-US" w:eastAsia="zh-CN" w:bidi="ar"/>
        </w:rPr>
        <w:t>张营乡成立政府信息公开工作领导小组，由乡党委副书记、乡长任组长，分管副职任副组长，各科室、村负责人为成员，明确工作职责和分工。将政府信息公开工作纳入年度绩效考核体系，定期开展自查自纠，对公开内容、公开时限、公开渠道进行全面排查，及时整改存在的问题，确保各项工作落到实处。</w:t>
      </w:r>
    </w:p>
    <w:p w14:paraId="2E9CA86B">
      <w:pPr>
        <w:pStyle w:val="7"/>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600" w:lineRule="exact"/>
        <w:ind w:left="0" w:right="0" w:firstLine="640" w:firstLineChars="200"/>
        <w:jc w:val="both"/>
        <w:textAlignment w:val="auto"/>
        <w:rPr>
          <w:rFonts w:hint="eastAsia" w:ascii="黑体" w:hAnsi="黑体" w:eastAsia="黑体" w:cs="黑体"/>
          <w:b w:val="0"/>
          <w:bCs/>
          <w:i w:val="0"/>
          <w:caps w:val="0"/>
          <w:color w:val="333333"/>
          <w:spacing w:val="0"/>
          <w:sz w:val="32"/>
          <w:szCs w:val="32"/>
        </w:rPr>
      </w:pPr>
      <w:r>
        <w:rPr>
          <w:rFonts w:hint="eastAsia" w:ascii="黑体" w:hAnsi="黑体" w:eastAsia="黑体" w:cs="黑体"/>
          <w:b w:val="0"/>
          <w:bCs/>
          <w:i w:val="0"/>
          <w:caps w:val="0"/>
          <w:color w:val="333333"/>
          <w:spacing w:val="0"/>
          <w:sz w:val="32"/>
          <w:szCs w:val="32"/>
          <w:shd w:val="clear" w:fill="FFFFFF"/>
        </w:rPr>
        <w:t>二、主动公开政府信息情况</w:t>
      </w:r>
    </w:p>
    <w:p w14:paraId="46986CDB">
      <w:pPr>
        <w:pStyle w:val="7"/>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tbl>
      <w:tblPr>
        <w:tblStyle w:val="8"/>
        <w:tblW w:w="9740" w:type="dxa"/>
        <w:jc w:val="center"/>
        <w:shd w:val="clear" w:color="auto" w:fill="auto"/>
        <w:tblLayout w:type="fixed"/>
        <w:tblCellMar>
          <w:top w:w="0" w:type="dxa"/>
          <w:left w:w="0" w:type="dxa"/>
          <w:bottom w:w="0" w:type="dxa"/>
          <w:right w:w="0" w:type="dxa"/>
        </w:tblCellMar>
      </w:tblPr>
      <w:tblGrid>
        <w:gridCol w:w="2435"/>
        <w:gridCol w:w="2435"/>
        <w:gridCol w:w="2435"/>
        <w:gridCol w:w="2435"/>
      </w:tblGrid>
      <w:tr w14:paraId="28011465">
        <w:tblPrEx>
          <w:shd w:val="clear" w:color="auto" w:fill="auto"/>
          <w:tblCellMar>
            <w:top w:w="0" w:type="dxa"/>
            <w:left w:w="0" w:type="dxa"/>
            <w:bottom w:w="0" w:type="dxa"/>
            <w:right w:w="0" w:type="dxa"/>
          </w:tblCellMar>
        </w:tblPrEx>
        <w:trPr>
          <w:trHeight w:val="340" w:hRule="atLeast"/>
          <w:jc w:val="center"/>
        </w:trPr>
        <w:tc>
          <w:tcPr>
            <w:tcW w:w="9740" w:type="dxa"/>
            <w:gridSpan w:val="4"/>
            <w:tcBorders>
              <w:top w:val="single" w:color="auto" w:sz="8" w:space="0"/>
              <w:left w:val="single" w:color="auto" w:sz="8" w:space="0"/>
              <w:bottom w:val="single" w:color="auto" w:sz="8" w:space="0"/>
              <w:right w:val="single" w:color="auto" w:sz="8" w:space="0"/>
            </w:tcBorders>
            <w:shd w:val="clear" w:color="auto" w:fill="C6D9F1"/>
            <w:tcMar>
              <w:left w:w="57" w:type="dxa"/>
              <w:right w:w="57" w:type="dxa"/>
            </w:tcMar>
            <w:vAlign w:val="center"/>
          </w:tcPr>
          <w:p w14:paraId="4255FB5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第二十条第（一）项</w:t>
            </w:r>
          </w:p>
        </w:tc>
      </w:tr>
      <w:tr w14:paraId="2D4C62DA">
        <w:tblPrEx>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1825A8B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1AA9999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w:t>
            </w:r>
            <w:r>
              <w:rPr>
                <w:rFonts w:hint="eastAsia" w:ascii="宋体" w:hAnsi="宋体" w:eastAsia="宋体" w:cs="宋体"/>
                <w:kern w:val="0"/>
                <w:sz w:val="20"/>
                <w:szCs w:val="20"/>
                <w:lang w:val="en-US" w:eastAsia="zh-CN" w:bidi="ar"/>
              </w:rPr>
              <w:t>制发件数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51B1B10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本年废止件数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46EFAF7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现行有效件</w:t>
            </w:r>
            <w:r>
              <w:rPr>
                <w:rFonts w:hint="eastAsia" w:ascii="宋体" w:hAnsi="宋体" w:eastAsia="宋体" w:cs="宋体"/>
                <w:kern w:val="0"/>
                <w:sz w:val="20"/>
                <w:szCs w:val="20"/>
                <w:lang w:val="en-US" w:eastAsia="zh-CN" w:bidi="ar"/>
              </w:rPr>
              <w:t>数</w:t>
            </w:r>
          </w:p>
        </w:tc>
      </w:tr>
      <w:tr w14:paraId="700715D4">
        <w:tblPrEx>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219586C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规章</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42ED61B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7362BA9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7429114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1"/>
                <w:szCs w:val="21"/>
                <w:lang w:val="en-US" w:eastAsia="zh-CN" w:bidi="ar"/>
              </w:rPr>
              <w:t>0</w:t>
            </w:r>
          </w:p>
        </w:tc>
      </w:tr>
      <w:tr w14:paraId="26394B89">
        <w:tblPrEx>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494634A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行政规范性文件</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153F721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6638CFD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450C5FD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r>
      <w:tr w14:paraId="5B081923">
        <w:tblPrEx>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14:paraId="7AF9636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第二十条第（五）项</w:t>
            </w:r>
          </w:p>
        </w:tc>
      </w:tr>
      <w:tr w14:paraId="01B38808">
        <w:tblPrEx>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7272EB2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14:paraId="3B38A4B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本年处理决定数量</w:t>
            </w:r>
          </w:p>
        </w:tc>
      </w:tr>
      <w:tr w14:paraId="792AA9F6">
        <w:tblPrEx>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1B03765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行政许可</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14:paraId="2196F0F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1"/>
                <w:szCs w:val="21"/>
                <w:lang w:val="en-US" w:eastAsia="zh-CN" w:bidi="ar"/>
              </w:rPr>
              <w:t>267</w:t>
            </w:r>
          </w:p>
        </w:tc>
      </w:tr>
      <w:tr w14:paraId="5476BB06">
        <w:tblPrEx>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14:paraId="4449025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第二十条第（六）项</w:t>
            </w:r>
          </w:p>
        </w:tc>
      </w:tr>
      <w:tr w14:paraId="029E68C9">
        <w:tblPrEx>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0F3AC3A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7DC1BF8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本年处理决定数量</w:t>
            </w:r>
          </w:p>
        </w:tc>
      </w:tr>
      <w:tr w14:paraId="2E8DFA5D">
        <w:tblPrEx>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30E607F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行政处罚</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14:paraId="5C326EA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r>
      <w:tr w14:paraId="6AC56F16">
        <w:tblPrEx>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4535BE8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行政强制</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14:paraId="7E48CDD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r>
      <w:tr w14:paraId="5C57C17A">
        <w:tblPrEx>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14:paraId="749245B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第二十条第（八）项</w:t>
            </w:r>
          </w:p>
        </w:tc>
      </w:tr>
      <w:tr w14:paraId="57CC7C77">
        <w:tblPrEx>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23067D7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14:paraId="728CCB3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本年收费金额（单位：万元）</w:t>
            </w:r>
          </w:p>
        </w:tc>
      </w:tr>
      <w:tr w14:paraId="33D77C97">
        <w:tblPrEx>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7B54C15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行政事业性收费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14:paraId="07737FB3">
            <w:pPr>
              <w:jc w:val="center"/>
              <w:rPr>
                <w:rFonts w:hint="eastAsia" w:ascii="宋体" w:eastAsiaTheme="minorEastAsia"/>
                <w:sz w:val="24"/>
                <w:szCs w:val="24"/>
                <w:lang w:val="en-US" w:eastAsia="zh-CN"/>
              </w:rPr>
            </w:pPr>
            <w:r>
              <w:rPr>
                <w:rFonts w:hint="eastAsia" w:ascii="宋体"/>
                <w:sz w:val="24"/>
                <w:szCs w:val="24"/>
                <w:lang w:val="en-US" w:eastAsia="zh-CN"/>
              </w:rPr>
              <w:t>0</w:t>
            </w:r>
          </w:p>
        </w:tc>
      </w:tr>
    </w:tbl>
    <w:p w14:paraId="72D2959F">
      <w:pPr>
        <w:keepNext w:val="0"/>
        <w:keepLines w:val="0"/>
        <w:widowControl/>
        <w:suppressLineNumbers w:val="0"/>
        <w:jc w:val="left"/>
      </w:pPr>
    </w:p>
    <w:p w14:paraId="0E0C8C27">
      <w:pPr>
        <w:pStyle w:val="7"/>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640" w:firstLineChars="200"/>
        <w:jc w:val="both"/>
        <w:rPr>
          <w:rFonts w:hint="eastAsia" w:ascii="黑体" w:hAnsi="黑体" w:eastAsia="黑体" w:cs="黑体"/>
          <w:b w:val="0"/>
          <w:bCs/>
          <w:i w:val="0"/>
          <w:caps w:val="0"/>
          <w:color w:val="333333"/>
          <w:spacing w:val="0"/>
          <w:sz w:val="32"/>
          <w:szCs w:val="32"/>
          <w:shd w:val="clear" w:fill="FFFFFF"/>
        </w:rPr>
      </w:pPr>
      <w:r>
        <w:rPr>
          <w:rFonts w:hint="eastAsia" w:ascii="黑体" w:hAnsi="黑体" w:eastAsia="黑体" w:cs="黑体"/>
          <w:b w:val="0"/>
          <w:bCs/>
          <w:i w:val="0"/>
          <w:caps w:val="0"/>
          <w:color w:val="333333"/>
          <w:spacing w:val="0"/>
          <w:sz w:val="32"/>
          <w:szCs w:val="32"/>
          <w:shd w:val="clear" w:fill="FFFFFF"/>
        </w:rPr>
        <w:t>三、收到和处理政府信息公开申请情况</w:t>
      </w:r>
    </w:p>
    <w:p w14:paraId="78D0BE88">
      <w:pPr>
        <w:pStyle w:val="7"/>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caps w:val="0"/>
          <w:color w:val="333333"/>
          <w:spacing w:val="0"/>
          <w:sz w:val="24"/>
          <w:szCs w:val="24"/>
        </w:rPr>
      </w:pPr>
    </w:p>
    <w:tbl>
      <w:tblPr>
        <w:tblStyle w:val="8"/>
        <w:tblW w:w="9806"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
      <w:tblGrid>
        <w:gridCol w:w="765"/>
        <w:gridCol w:w="941"/>
        <w:gridCol w:w="3197"/>
        <w:gridCol w:w="685"/>
        <w:gridCol w:w="734"/>
        <w:gridCol w:w="734"/>
        <w:gridCol w:w="685"/>
        <w:gridCol w:w="685"/>
        <w:gridCol w:w="685"/>
        <w:gridCol w:w="695"/>
      </w:tblGrid>
      <w:tr w14:paraId="41779CE0">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4903" w:type="dxa"/>
            <w:gridSpan w:val="3"/>
            <w:vMerge w:val="restart"/>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14:paraId="33BDC91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楷体" w:hAnsi="楷体" w:eastAsia="楷体" w:cs="楷体"/>
                <w:kern w:val="0"/>
                <w:sz w:val="20"/>
                <w:szCs w:val="20"/>
                <w:lang w:val="en-US" w:eastAsia="zh-CN" w:bidi="ar"/>
              </w:rPr>
              <w:t>（本列数据的勾稽关系为：第一项加第二项之和，等于第三项加第四项之和）</w:t>
            </w:r>
          </w:p>
        </w:tc>
        <w:tc>
          <w:tcPr>
            <w:tcW w:w="4903" w:type="dxa"/>
            <w:gridSpan w:val="7"/>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2CD1560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申请人情况</w:t>
            </w:r>
          </w:p>
        </w:tc>
      </w:tr>
      <w:tr w14:paraId="1E48DE98">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03"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14:paraId="6454D158">
            <w:pPr>
              <w:rPr>
                <w:rFonts w:hint="eastAsia" w:ascii="宋体"/>
                <w:sz w:val="24"/>
                <w:szCs w:val="24"/>
              </w:rPr>
            </w:pPr>
          </w:p>
        </w:tc>
        <w:tc>
          <w:tcPr>
            <w:tcW w:w="685" w:type="dxa"/>
            <w:vMerge w:val="restart"/>
            <w:tcBorders>
              <w:top w:val="nil"/>
              <w:left w:val="nil"/>
              <w:bottom w:val="single" w:color="auto" w:sz="8" w:space="0"/>
              <w:right w:val="single" w:color="auto" w:sz="8" w:space="0"/>
            </w:tcBorders>
            <w:shd w:val="clear" w:color="auto" w:fill="auto"/>
            <w:tcMar>
              <w:left w:w="57" w:type="dxa"/>
              <w:right w:w="57" w:type="dxa"/>
            </w:tcMar>
            <w:vAlign w:val="center"/>
          </w:tcPr>
          <w:p w14:paraId="1CEB754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自然人</w:t>
            </w:r>
          </w:p>
        </w:tc>
        <w:tc>
          <w:tcPr>
            <w:tcW w:w="3523" w:type="dxa"/>
            <w:gridSpan w:val="5"/>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49498B4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法人或其他组织</w:t>
            </w:r>
          </w:p>
        </w:tc>
        <w:tc>
          <w:tcPr>
            <w:tcW w:w="695" w:type="dxa"/>
            <w:vMerge w:val="restart"/>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14:paraId="5CF30FE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总计</w:t>
            </w:r>
          </w:p>
        </w:tc>
      </w:tr>
      <w:tr w14:paraId="3E09DBB9">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03"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14:paraId="51C194BF">
            <w:pPr>
              <w:rPr>
                <w:rFonts w:hint="eastAsia" w:ascii="宋体"/>
                <w:sz w:val="24"/>
                <w:szCs w:val="24"/>
              </w:rPr>
            </w:pPr>
          </w:p>
        </w:tc>
        <w:tc>
          <w:tcPr>
            <w:tcW w:w="685" w:type="dxa"/>
            <w:vMerge w:val="continue"/>
            <w:tcBorders>
              <w:top w:val="nil"/>
              <w:left w:val="nil"/>
              <w:bottom w:val="single" w:color="auto" w:sz="8" w:space="0"/>
              <w:right w:val="single" w:color="auto" w:sz="8" w:space="0"/>
            </w:tcBorders>
            <w:shd w:val="clear" w:color="auto" w:fill="auto"/>
            <w:tcMar>
              <w:left w:w="57" w:type="dxa"/>
              <w:right w:w="57" w:type="dxa"/>
            </w:tcMar>
            <w:vAlign w:val="center"/>
          </w:tcPr>
          <w:p w14:paraId="687B02A9">
            <w:pPr>
              <w:rPr>
                <w:rFonts w:hint="eastAsia" w:ascii="宋体"/>
                <w:sz w:val="24"/>
                <w:szCs w:val="24"/>
              </w:rPr>
            </w:pP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49242E2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00" w:firstLineChars="200"/>
              <w:jc w:val="center"/>
            </w:pPr>
            <w:r>
              <w:rPr>
                <w:rFonts w:hint="eastAsia" w:ascii="宋体" w:hAnsi="宋体" w:eastAsia="宋体" w:cs="宋体"/>
                <w:kern w:val="0"/>
                <w:sz w:val="20"/>
                <w:szCs w:val="20"/>
                <w:lang w:val="en-US" w:eastAsia="zh-CN" w:bidi="ar"/>
              </w:rPr>
              <w:t>商业</w:t>
            </w:r>
          </w:p>
          <w:p w14:paraId="4963805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00" w:firstLineChars="200"/>
              <w:jc w:val="center"/>
            </w:pPr>
            <w:r>
              <w:rPr>
                <w:rFonts w:hint="eastAsia" w:ascii="宋体" w:hAnsi="宋体" w:eastAsia="宋体" w:cs="宋体"/>
                <w:kern w:val="0"/>
                <w:sz w:val="20"/>
                <w:szCs w:val="20"/>
                <w:lang w:val="en-US" w:eastAsia="zh-CN" w:bidi="ar"/>
              </w:rPr>
              <w:t>企业</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308BDCD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00" w:firstLineChars="200"/>
              <w:jc w:val="center"/>
            </w:pPr>
            <w:r>
              <w:rPr>
                <w:rFonts w:hint="eastAsia" w:ascii="宋体" w:hAnsi="宋体" w:eastAsia="宋体" w:cs="宋体"/>
                <w:kern w:val="0"/>
                <w:sz w:val="20"/>
                <w:szCs w:val="20"/>
                <w:lang w:val="en-US" w:eastAsia="zh-CN" w:bidi="ar"/>
              </w:rPr>
              <w:t>科研</w:t>
            </w:r>
          </w:p>
          <w:p w14:paraId="252445B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400" w:firstLineChars="200"/>
              <w:jc w:val="center"/>
            </w:pPr>
            <w:r>
              <w:rPr>
                <w:rFonts w:hint="eastAsia" w:ascii="宋体" w:hAnsi="宋体" w:eastAsia="宋体" w:cs="宋体"/>
                <w:kern w:val="0"/>
                <w:sz w:val="20"/>
                <w:szCs w:val="20"/>
                <w:lang w:val="en-US" w:eastAsia="zh-CN" w:bidi="ar"/>
              </w:rPr>
              <w:t>机构</w:t>
            </w:r>
          </w:p>
        </w:tc>
        <w:tc>
          <w:tcPr>
            <w:tcW w:w="68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54F1E91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社会公益组织</w:t>
            </w:r>
          </w:p>
        </w:tc>
        <w:tc>
          <w:tcPr>
            <w:tcW w:w="68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4432A1A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法律服务机构</w:t>
            </w:r>
          </w:p>
        </w:tc>
        <w:tc>
          <w:tcPr>
            <w:tcW w:w="68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12DD883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其他</w:t>
            </w:r>
          </w:p>
        </w:tc>
        <w:tc>
          <w:tcPr>
            <w:tcW w:w="695" w:type="dxa"/>
            <w:vMerge w:val="continue"/>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14:paraId="7735119D">
            <w:pPr>
              <w:rPr>
                <w:rFonts w:hint="eastAsia" w:ascii="宋体"/>
                <w:sz w:val="24"/>
                <w:szCs w:val="24"/>
              </w:rPr>
            </w:pPr>
          </w:p>
        </w:tc>
      </w:tr>
      <w:tr w14:paraId="7AB52F1D">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348" w:hRule="atLeast"/>
          <w:jc w:val="center"/>
        </w:trPr>
        <w:tc>
          <w:tcPr>
            <w:tcW w:w="4903"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65CB626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一、本年新收政府信息公开申请数量</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23B0B55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629A277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64312AE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7484710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1223527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4089D73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14:paraId="0E42A94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14:paraId="74D23D0C">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03"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0161EA7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二、上年结转政府信息公开申请数量</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131A953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2A987C9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53BAADD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5AA3191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2AF6C1A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4F70C3F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14:paraId="2448AD6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14:paraId="44EB3E6D">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restart"/>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141B0FD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三、本年度办理结果</w:t>
            </w:r>
          </w:p>
        </w:tc>
        <w:tc>
          <w:tcPr>
            <w:tcW w:w="4138"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14:paraId="6D7333B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（一）予以公开</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7164DE5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766CCCB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4443E09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04D86FF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5E106DE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0A59D0D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9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3C27609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14:paraId="73EAB013">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3F806846">
            <w:pPr>
              <w:rPr>
                <w:rFonts w:hint="eastAsia" w:ascii="宋体"/>
                <w:sz w:val="24"/>
                <w:szCs w:val="24"/>
              </w:rPr>
            </w:pPr>
          </w:p>
        </w:tc>
        <w:tc>
          <w:tcPr>
            <w:tcW w:w="4138"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14:paraId="5C5EC49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（二）部分公开</w:t>
            </w:r>
            <w:r>
              <w:rPr>
                <w:rFonts w:hint="eastAsia" w:ascii="楷体" w:hAnsi="楷体" w:eastAsia="楷体" w:cs="楷体"/>
                <w:kern w:val="0"/>
                <w:sz w:val="20"/>
                <w:szCs w:val="20"/>
                <w:lang w:val="en-US" w:eastAsia="zh-CN" w:bidi="ar"/>
              </w:rPr>
              <w:t>（区分处理的，只计这一情形，不计其他情形）</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2D13DD8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5491D6B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5BA4B59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468F516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3AD4FB7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4C2A115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14:paraId="629D184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14:paraId="331CB4C0">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5E35D4BF">
            <w:pPr>
              <w:rPr>
                <w:rFonts w:hint="eastAsia" w:ascii="宋体"/>
                <w:sz w:val="24"/>
                <w:szCs w:val="24"/>
              </w:rPr>
            </w:pPr>
          </w:p>
        </w:tc>
        <w:tc>
          <w:tcPr>
            <w:tcW w:w="941"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14:paraId="4D2C5B5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（三）不予公开</w:t>
            </w: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14:paraId="6339C23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1.属于国家秘密</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14:paraId="483A882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top"/>
          </w:tcPr>
          <w:p w14:paraId="175C1F8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top"/>
          </w:tcPr>
          <w:p w14:paraId="2D0834F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14:paraId="6C203D4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14:paraId="55FA966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14:paraId="48A1055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9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18B50E4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14:paraId="57A7ECA2">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4055CF92">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2F323921">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14:paraId="31C2CF2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2.其他法律行政法规禁止公开</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14:paraId="5ED615D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top"/>
          </w:tcPr>
          <w:p w14:paraId="7AA10A7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top"/>
          </w:tcPr>
          <w:p w14:paraId="1FC960B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14:paraId="41447BD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14:paraId="6FB7971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14:paraId="3A0B27D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14:paraId="4B32AE5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14:paraId="40807CDA">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103C9964">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4A7902A3">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14:paraId="56720D9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3.危及“三安全一稳定”</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14:paraId="7B0AB8F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top"/>
          </w:tcPr>
          <w:p w14:paraId="5D0C7EE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top"/>
          </w:tcPr>
          <w:p w14:paraId="32469A5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14:paraId="34B7CDB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14:paraId="40A7DA2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top"/>
          </w:tcPr>
          <w:p w14:paraId="282DB51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14:paraId="2C36AEC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14:paraId="05A32FD6">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3AF955AF">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2820B424">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14:paraId="320E994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4.保护第三方合法权益</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647EEC8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51441C3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02F7525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425E86F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4A30A74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7039493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14:paraId="3381131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14:paraId="240116A0">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4983E11D">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4E61D711">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14:paraId="5F2339E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5.属于三类内部事务信息</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3A9B8D5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6D07C26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1272757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2C6519B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3E746FD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080912A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14:paraId="7146061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14:paraId="1F55F244">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4B691B0C">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178D7E7E">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14:paraId="690EE2B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6.属于四类过程性信息</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0105554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389283E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61C2162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4178A37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4CBBC0E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7D27F67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eastAsiaTheme="minorEastAsia"/>
                <w:lang w:val="en-US" w:eastAsia="zh-CN"/>
              </w:rPr>
            </w:pPr>
            <w:r>
              <w:rPr>
                <w:rFonts w:hint="eastAsia"/>
                <w:lang w:val="en-US" w:eastAsia="zh-CN"/>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14:paraId="0BE12FE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14:paraId="7FEB16EB">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22822B46">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0F7BA27B">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14:paraId="3137719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7.属于行政执法案卷</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72D520A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04435ED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1C24EFB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265F5C1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3F1D754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3618F01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14:paraId="2BE174C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14:paraId="2CA78F31">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169DCB34">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380314C4">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14:paraId="1025876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8.属于行政查询事项</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0D90860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08FB1F2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3E02EE5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4493B71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0B8F5B9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5482575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14:paraId="60A5BF7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14:paraId="5FB2841B">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0D65934D">
            <w:pPr>
              <w:rPr>
                <w:rFonts w:hint="eastAsia" w:ascii="宋体"/>
                <w:sz w:val="24"/>
                <w:szCs w:val="24"/>
              </w:rPr>
            </w:pPr>
          </w:p>
        </w:tc>
        <w:tc>
          <w:tcPr>
            <w:tcW w:w="941"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14:paraId="7650A3B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（四）无法提供</w:t>
            </w: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14:paraId="209AB16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1.本机关不掌握相关政府信息</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1BA90D9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2F9154A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766E29C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16238FC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40141FC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14CB7A1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14:paraId="3581507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14:paraId="3570710E">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0438E72C">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7810D04C">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14:paraId="6EC49A3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2.没有现成信息需要另行制作</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7147447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47BC86E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3062151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58D4C85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5391064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57ABEA4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14:paraId="409CE53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14:paraId="48B9C5CB">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409660CA">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4F5F27C9">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14:paraId="56C68E1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3.补正后申请内容仍不明确</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0DE6827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6D54F4F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7AA6795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3C25F7F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6B42529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36498F7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14:paraId="1CE8AC4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14:paraId="27A0DE6B">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6478CF0E">
            <w:pPr>
              <w:rPr>
                <w:rFonts w:hint="eastAsia" w:ascii="宋体"/>
                <w:sz w:val="24"/>
                <w:szCs w:val="24"/>
              </w:rPr>
            </w:pPr>
          </w:p>
        </w:tc>
        <w:tc>
          <w:tcPr>
            <w:tcW w:w="941"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14:paraId="7CAE334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（五）不予处理</w:t>
            </w: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14:paraId="4E27709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1.信访举报投诉类申请</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5725DD9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7BF6A9A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44470FC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206FA20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2F39005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7D2902D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14:paraId="2B9C1C4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14:paraId="5E0F9E5A">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47E78989">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7E7C20FA">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14:paraId="28BD885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2.重复申请</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1E503B1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081C6E4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016A37F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06709D1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40B1662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59C55FF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14:paraId="7AC129E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14:paraId="46A2CDF3">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2AE686E2">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217A8B4B">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14:paraId="1A02052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3.要求提供公开出版物</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65D18BD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0046418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02C8001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4DA6481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04C0AF1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7211C49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14:paraId="1D44EAA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14:paraId="4ACC0EDE">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5E9F741E">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0631AD45">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top"/>
          </w:tcPr>
          <w:p w14:paraId="34F3D05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4.无正当理由大量反复申请</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175E967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78FFAFD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17A58D0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275C76D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55E19C4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214D395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14:paraId="3A9A17E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14:paraId="0A061AF0">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779" w:hRule="atLeast"/>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3B39791E">
            <w:pPr>
              <w:rPr>
                <w:rFonts w:hint="eastAsia" w:ascii="宋体"/>
                <w:sz w:val="24"/>
                <w:szCs w:val="24"/>
              </w:rPr>
            </w:pPr>
          </w:p>
        </w:tc>
        <w:tc>
          <w:tcPr>
            <w:tcW w:w="941"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07E9948D">
            <w:pPr>
              <w:rPr>
                <w:rFonts w:hint="eastAsia" w:ascii="宋体"/>
                <w:sz w:val="24"/>
                <w:szCs w:val="24"/>
              </w:rPr>
            </w:pPr>
          </w:p>
        </w:tc>
        <w:tc>
          <w:tcPr>
            <w:tcW w:w="3197" w:type="dxa"/>
            <w:tcBorders>
              <w:top w:val="nil"/>
              <w:left w:val="nil"/>
              <w:bottom w:val="outset" w:color="auto" w:sz="8" w:space="0"/>
              <w:right w:val="single" w:color="auto" w:sz="8" w:space="0"/>
            </w:tcBorders>
            <w:shd w:val="clear" w:color="auto" w:fill="auto"/>
            <w:tcMar>
              <w:left w:w="57" w:type="dxa"/>
              <w:right w:w="57" w:type="dxa"/>
            </w:tcMar>
            <w:vAlign w:val="center"/>
          </w:tcPr>
          <w:p w14:paraId="0EE0D84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5.要求行政机关确认或重新出具已获取信息</w:t>
            </w:r>
          </w:p>
        </w:tc>
        <w:tc>
          <w:tcPr>
            <w:tcW w:w="685" w:type="dxa"/>
            <w:tcBorders>
              <w:top w:val="nil"/>
              <w:left w:val="nil"/>
              <w:bottom w:val="outset" w:color="auto" w:sz="8" w:space="0"/>
              <w:right w:val="single" w:color="auto" w:sz="8" w:space="0"/>
            </w:tcBorders>
            <w:shd w:val="clear" w:color="auto" w:fill="auto"/>
            <w:tcMar>
              <w:left w:w="57" w:type="dxa"/>
              <w:right w:w="57" w:type="dxa"/>
            </w:tcMar>
            <w:vAlign w:val="center"/>
          </w:tcPr>
          <w:p w14:paraId="69E8F30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outset" w:color="auto" w:sz="8" w:space="0"/>
              <w:right w:val="single" w:color="auto" w:sz="8" w:space="0"/>
            </w:tcBorders>
            <w:shd w:val="clear" w:color="auto" w:fill="auto"/>
            <w:tcMar>
              <w:left w:w="57" w:type="dxa"/>
              <w:right w:w="57" w:type="dxa"/>
            </w:tcMar>
            <w:vAlign w:val="center"/>
          </w:tcPr>
          <w:p w14:paraId="6CD1F56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outset" w:color="auto" w:sz="8" w:space="0"/>
              <w:right w:val="single" w:color="auto" w:sz="8" w:space="0"/>
            </w:tcBorders>
            <w:shd w:val="clear" w:color="auto" w:fill="auto"/>
            <w:tcMar>
              <w:left w:w="57" w:type="dxa"/>
              <w:right w:w="57" w:type="dxa"/>
            </w:tcMar>
            <w:vAlign w:val="center"/>
          </w:tcPr>
          <w:p w14:paraId="1D90D68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outset" w:color="auto" w:sz="8" w:space="0"/>
              <w:right w:val="single" w:color="auto" w:sz="8" w:space="0"/>
            </w:tcBorders>
            <w:shd w:val="clear" w:color="auto" w:fill="auto"/>
            <w:tcMar>
              <w:left w:w="57" w:type="dxa"/>
              <w:right w:w="57" w:type="dxa"/>
            </w:tcMar>
            <w:vAlign w:val="center"/>
          </w:tcPr>
          <w:p w14:paraId="5D6FD13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outset" w:color="auto" w:sz="8" w:space="0"/>
              <w:right w:val="single" w:color="auto" w:sz="8" w:space="0"/>
            </w:tcBorders>
            <w:shd w:val="clear" w:color="auto" w:fill="auto"/>
            <w:tcMar>
              <w:left w:w="57" w:type="dxa"/>
              <w:right w:w="57" w:type="dxa"/>
            </w:tcMar>
            <w:vAlign w:val="center"/>
          </w:tcPr>
          <w:p w14:paraId="1CD5FB8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outset" w:color="auto" w:sz="8" w:space="0"/>
              <w:right w:val="single" w:color="auto" w:sz="8" w:space="0"/>
            </w:tcBorders>
            <w:shd w:val="clear" w:color="auto" w:fill="auto"/>
            <w:tcMar>
              <w:left w:w="57" w:type="dxa"/>
              <w:right w:w="57" w:type="dxa"/>
            </w:tcMar>
            <w:vAlign w:val="center"/>
          </w:tcPr>
          <w:p w14:paraId="3A61ABA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95" w:type="dxa"/>
            <w:tcBorders>
              <w:top w:val="nil"/>
              <w:left w:val="nil"/>
              <w:bottom w:val="outset" w:color="auto" w:sz="8" w:space="0"/>
              <w:right w:val="single" w:color="auto" w:sz="8" w:space="0"/>
            </w:tcBorders>
            <w:shd w:val="clear" w:color="auto" w:fill="auto"/>
            <w:tcMar>
              <w:left w:w="57" w:type="dxa"/>
              <w:right w:w="57" w:type="dxa"/>
            </w:tcMar>
            <w:vAlign w:val="center"/>
          </w:tcPr>
          <w:p w14:paraId="1B1A905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14:paraId="7AEA8875">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2850BD99">
            <w:pPr>
              <w:rPr>
                <w:rFonts w:hint="eastAsia" w:ascii="宋体"/>
                <w:sz w:val="24"/>
                <w:szCs w:val="24"/>
              </w:rPr>
            </w:pPr>
          </w:p>
        </w:tc>
        <w:tc>
          <w:tcPr>
            <w:tcW w:w="941" w:type="dxa"/>
            <w:vMerge w:val="restart"/>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14:paraId="11C3AF3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（六）其他处理</w:t>
            </w:r>
          </w:p>
        </w:tc>
        <w:tc>
          <w:tcPr>
            <w:tcW w:w="3197" w:type="dxa"/>
            <w:tcBorders>
              <w:top w:val="nil"/>
              <w:left w:val="nil"/>
              <w:bottom w:val="single" w:color="auto" w:sz="8" w:space="0"/>
              <w:right w:val="single" w:color="auto" w:sz="8" w:space="0"/>
            </w:tcBorders>
            <w:shd w:val="clear" w:color="auto" w:fill="auto"/>
            <w:tcMar>
              <w:left w:w="57" w:type="dxa"/>
              <w:right w:w="57" w:type="dxa"/>
            </w:tcMar>
            <w:vAlign w:val="center"/>
          </w:tcPr>
          <w:p w14:paraId="66CA8AE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1.申请人无正当理由逾期不补正、行政机关不再处理其政府信息公开申请</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05465B3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597F205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0BE9FA4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3A78638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6593C4E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621D75C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14:paraId="0E857F2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14:paraId="4C669422">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3A90DD93">
            <w:pPr>
              <w:rPr>
                <w:rFonts w:hint="eastAsia" w:ascii="宋体"/>
                <w:sz w:val="24"/>
                <w:szCs w:val="24"/>
              </w:rPr>
            </w:pPr>
          </w:p>
        </w:tc>
        <w:tc>
          <w:tcPr>
            <w:tcW w:w="941"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14:paraId="406F25CC">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center"/>
          </w:tcPr>
          <w:p w14:paraId="7BA8FA4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2.申请人逾期未按收费通知要求缴纳费用、行政机关不再处理其政府信息公开申请</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40D0B59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4A9693A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7A24CE2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2521DCC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11E4940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74BA523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14:paraId="48F1F4F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14:paraId="00D65B82">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177AE21C">
            <w:pPr>
              <w:rPr>
                <w:rFonts w:hint="eastAsia" w:ascii="宋体"/>
                <w:sz w:val="24"/>
                <w:szCs w:val="24"/>
              </w:rPr>
            </w:pPr>
          </w:p>
        </w:tc>
        <w:tc>
          <w:tcPr>
            <w:tcW w:w="941"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14:paraId="08754D2A">
            <w:pPr>
              <w:rPr>
                <w:rFonts w:hint="eastAsia" w:ascii="宋体"/>
                <w:sz w:val="24"/>
                <w:szCs w:val="24"/>
              </w:rPr>
            </w:pPr>
          </w:p>
        </w:tc>
        <w:tc>
          <w:tcPr>
            <w:tcW w:w="3197" w:type="dxa"/>
            <w:tcBorders>
              <w:top w:val="nil"/>
              <w:left w:val="nil"/>
              <w:bottom w:val="single" w:color="auto" w:sz="8" w:space="0"/>
              <w:right w:val="single" w:color="auto" w:sz="8" w:space="0"/>
            </w:tcBorders>
            <w:shd w:val="clear" w:color="auto" w:fill="auto"/>
            <w:tcMar>
              <w:left w:w="57" w:type="dxa"/>
              <w:right w:w="57" w:type="dxa"/>
            </w:tcMar>
            <w:vAlign w:val="center"/>
          </w:tcPr>
          <w:p w14:paraId="1DED023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3.其他</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4907628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7286FC1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2BFEF34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2B24848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1A1AC85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1E7A139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14:paraId="321B661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14:paraId="3C124017">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5"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46D246AB">
            <w:pPr>
              <w:rPr>
                <w:rFonts w:hint="eastAsia" w:ascii="宋体"/>
                <w:sz w:val="24"/>
                <w:szCs w:val="24"/>
              </w:rPr>
            </w:pPr>
          </w:p>
        </w:tc>
        <w:tc>
          <w:tcPr>
            <w:tcW w:w="4138"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14:paraId="0B15876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（七）总计</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403CFED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7C0D4D7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1C9BF1F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4F2F0D3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12171D4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1D77E6F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14:paraId="502D01C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p>
        </w:tc>
      </w:tr>
      <w:tr w14:paraId="74B5779A">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03"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4D61B05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四、结转下年度继续办理</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7EEF86A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0DADFCB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734" w:type="dxa"/>
            <w:tcBorders>
              <w:top w:val="nil"/>
              <w:left w:val="nil"/>
              <w:bottom w:val="single" w:color="auto" w:sz="8" w:space="0"/>
              <w:right w:val="single" w:color="auto" w:sz="8" w:space="0"/>
            </w:tcBorders>
            <w:shd w:val="clear" w:color="auto" w:fill="auto"/>
            <w:tcMar>
              <w:left w:w="57" w:type="dxa"/>
              <w:right w:w="57" w:type="dxa"/>
            </w:tcMar>
            <w:vAlign w:val="center"/>
          </w:tcPr>
          <w:p w14:paraId="0CCDC39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1A8890E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793D509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85" w:type="dxa"/>
            <w:tcBorders>
              <w:top w:val="nil"/>
              <w:left w:val="nil"/>
              <w:bottom w:val="single" w:color="auto" w:sz="8" w:space="0"/>
              <w:right w:val="single" w:color="auto" w:sz="8" w:space="0"/>
            </w:tcBorders>
            <w:shd w:val="clear" w:color="auto" w:fill="auto"/>
            <w:tcMar>
              <w:left w:w="57" w:type="dxa"/>
              <w:right w:w="57" w:type="dxa"/>
            </w:tcMar>
            <w:vAlign w:val="center"/>
          </w:tcPr>
          <w:p w14:paraId="781E7D9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eastAsiaTheme="minorEastAsia"/>
                <w:lang w:val="en-US" w:eastAsia="zh-CN"/>
              </w:rPr>
            </w:pPr>
            <w:r>
              <w:rPr>
                <w:rFonts w:hint="eastAsia"/>
                <w:lang w:val="en-US" w:eastAsia="zh-CN"/>
              </w:rPr>
              <w:t>0</w:t>
            </w:r>
          </w:p>
        </w:tc>
        <w:tc>
          <w:tcPr>
            <w:tcW w:w="695" w:type="dxa"/>
            <w:tcBorders>
              <w:top w:val="nil"/>
              <w:left w:val="nil"/>
              <w:bottom w:val="single" w:color="auto" w:sz="8" w:space="0"/>
              <w:right w:val="single" w:color="auto" w:sz="8" w:space="0"/>
            </w:tcBorders>
            <w:shd w:val="clear" w:color="auto" w:fill="auto"/>
            <w:tcMar>
              <w:left w:w="57" w:type="dxa"/>
              <w:right w:w="57" w:type="dxa"/>
            </w:tcMar>
            <w:vAlign w:val="center"/>
          </w:tcPr>
          <w:p w14:paraId="5679D4EA">
            <w:pPr>
              <w:jc w:val="center"/>
              <w:rPr>
                <w:rFonts w:hint="eastAsia" w:ascii="宋体" w:eastAsiaTheme="minorEastAsia"/>
                <w:sz w:val="24"/>
                <w:szCs w:val="24"/>
                <w:lang w:val="en-US" w:eastAsia="zh-CN"/>
              </w:rPr>
            </w:pPr>
            <w:r>
              <w:rPr>
                <w:rFonts w:hint="eastAsia" w:ascii="宋体"/>
                <w:sz w:val="24"/>
                <w:szCs w:val="24"/>
                <w:lang w:val="en-US" w:eastAsia="zh-CN"/>
              </w:rPr>
              <w:t>0</w:t>
            </w:r>
          </w:p>
        </w:tc>
      </w:tr>
    </w:tbl>
    <w:p w14:paraId="4139878E">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caps w:val="0"/>
          <w:color w:val="333333"/>
          <w:spacing w:val="0"/>
          <w:sz w:val="24"/>
          <w:szCs w:val="24"/>
        </w:rPr>
      </w:pPr>
    </w:p>
    <w:p w14:paraId="646A762F">
      <w:pPr>
        <w:pStyle w:val="7"/>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640" w:firstLineChars="200"/>
        <w:jc w:val="both"/>
        <w:rPr>
          <w:rFonts w:hint="eastAsia" w:ascii="黑体" w:hAnsi="黑体" w:eastAsia="黑体" w:cs="黑体"/>
          <w:b w:val="0"/>
          <w:bCs/>
          <w:i w:val="0"/>
          <w:caps w:val="0"/>
          <w:color w:val="333333"/>
          <w:spacing w:val="0"/>
          <w:sz w:val="32"/>
          <w:szCs w:val="32"/>
          <w:shd w:val="clear" w:fill="FFFFFF"/>
        </w:rPr>
      </w:pPr>
      <w:r>
        <w:rPr>
          <w:rFonts w:hint="eastAsia" w:ascii="黑体" w:hAnsi="黑体" w:eastAsia="黑体" w:cs="黑体"/>
          <w:b w:val="0"/>
          <w:bCs/>
          <w:i w:val="0"/>
          <w:caps w:val="0"/>
          <w:color w:val="333333"/>
          <w:spacing w:val="0"/>
          <w:sz w:val="32"/>
          <w:szCs w:val="32"/>
          <w:shd w:val="clear" w:fill="FFFFFF"/>
        </w:rPr>
        <w:t>四、政府信息公开行政复议、行政诉讼情况</w:t>
      </w:r>
    </w:p>
    <w:p w14:paraId="420719AD">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caps w:val="0"/>
          <w:color w:val="333333"/>
          <w:spacing w:val="0"/>
          <w:sz w:val="24"/>
          <w:szCs w:val="24"/>
        </w:rPr>
      </w:pPr>
    </w:p>
    <w:tbl>
      <w:tblPr>
        <w:tblStyle w:val="8"/>
        <w:tblW w:w="974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0" w:type="dxa"/>
          <w:left w:w="0" w:type="dxa"/>
          <w:bottom w:w="0" w:type="dxa"/>
          <w:right w:w="0" w:type="dxa"/>
        </w:tblCellMar>
      </w:tblPr>
      <w:tblGrid>
        <w:gridCol w:w="642"/>
        <w:gridCol w:w="642"/>
        <w:gridCol w:w="642"/>
        <w:gridCol w:w="642"/>
        <w:gridCol w:w="642"/>
        <w:gridCol w:w="643"/>
        <w:gridCol w:w="643"/>
        <w:gridCol w:w="644"/>
        <w:gridCol w:w="644"/>
        <w:gridCol w:w="644"/>
        <w:gridCol w:w="644"/>
        <w:gridCol w:w="644"/>
        <w:gridCol w:w="644"/>
        <w:gridCol w:w="644"/>
        <w:gridCol w:w="744"/>
      </w:tblGrid>
      <w:tr w14:paraId="2CADFA3D">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3210"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578CE97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行政复议</w:t>
            </w:r>
          </w:p>
        </w:tc>
        <w:tc>
          <w:tcPr>
            <w:tcW w:w="6538" w:type="dxa"/>
            <w:gridSpan w:val="10"/>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57E7FE5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行政诉讼</w:t>
            </w:r>
          </w:p>
        </w:tc>
      </w:tr>
      <w:tr w14:paraId="22F10A73">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42"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08DD69A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结果维持</w:t>
            </w:r>
          </w:p>
        </w:tc>
        <w:tc>
          <w:tcPr>
            <w:tcW w:w="642"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6EDDE9C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4CFABD6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其他</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结果</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0497950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072733B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总计</w:t>
            </w:r>
          </w:p>
        </w:tc>
        <w:tc>
          <w:tcPr>
            <w:tcW w:w="3218"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053CA75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未经复议直接起诉</w:t>
            </w:r>
          </w:p>
        </w:tc>
        <w:tc>
          <w:tcPr>
            <w:tcW w:w="3320"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68D2D9F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复议后起诉</w:t>
            </w:r>
          </w:p>
        </w:tc>
      </w:tr>
      <w:tr w14:paraId="3EF67094">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42"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345AE91C">
            <w:pPr>
              <w:rPr>
                <w:rFonts w:hint="eastAsia" w:ascii="宋体"/>
                <w:sz w:val="24"/>
                <w:szCs w:val="24"/>
              </w:rPr>
            </w:pPr>
          </w:p>
        </w:tc>
        <w:tc>
          <w:tcPr>
            <w:tcW w:w="642"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4C3C06E3">
            <w:pPr>
              <w:rPr>
                <w:rFonts w:hint="eastAsia" w:ascii="宋体"/>
                <w:sz w:val="24"/>
                <w:szCs w:val="24"/>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2901AF56">
            <w:pPr>
              <w:rPr>
                <w:rFonts w:hint="eastAsia" w:ascii="宋体"/>
                <w:sz w:val="24"/>
                <w:szCs w:val="24"/>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190C1C72">
            <w:pPr>
              <w:rPr>
                <w:rFonts w:hint="eastAsia" w:ascii="宋体"/>
                <w:sz w:val="24"/>
                <w:szCs w:val="24"/>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0E30644C">
            <w:pPr>
              <w:rPr>
                <w:rFonts w:hint="eastAsia" w:ascii="宋体"/>
                <w:sz w:val="24"/>
                <w:szCs w:val="24"/>
              </w:rPr>
            </w:pP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0DF4AE7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维持</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79CB764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44"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25937AE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其他</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结果</w:t>
            </w:r>
          </w:p>
        </w:tc>
        <w:tc>
          <w:tcPr>
            <w:tcW w:w="644"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216EFCE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44"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320DA61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总计</w:t>
            </w:r>
          </w:p>
        </w:tc>
        <w:tc>
          <w:tcPr>
            <w:tcW w:w="644"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1B1D66F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维持</w:t>
            </w:r>
          </w:p>
        </w:tc>
        <w:tc>
          <w:tcPr>
            <w:tcW w:w="644"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15C46BF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44"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1037B1D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其他</w:t>
            </w:r>
            <w:r>
              <w:rPr>
                <w:rFonts w:hint="eastAsia" w:ascii="宋体" w:hAnsi="宋体" w:eastAsia="宋体" w:cs="宋体"/>
                <w:color w:val="000000"/>
                <w:kern w:val="0"/>
                <w:sz w:val="20"/>
                <w:szCs w:val="20"/>
                <w:lang w:val="en-US" w:eastAsia="zh-CN" w:bidi="ar"/>
              </w:rPr>
              <w:br w:type="textWrapping"/>
            </w:r>
            <w:r>
              <w:rPr>
                <w:rFonts w:hint="eastAsia" w:ascii="宋体" w:hAnsi="宋体" w:eastAsia="宋体" w:cs="宋体"/>
                <w:color w:val="000000"/>
                <w:kern w:val="0"/>
                <w:sz w:val="20"/>
                <w:szCs w:val="20"/>
                <w:lang w:val="en-US" w:eastAsia="zh-CN" w:bidi="ar"/>
              </w:rPr>
              <w:t>结果</w:t>
            </w:r>
          </w:p>
        </w:tc>
        <w:tc>
          <w:tcPr>
            <w:tcW w:w="644"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15B98DE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744"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4D3CEC5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总计</w:t>
            </w:r>
          </w:p>
        </w:tc>
      </w:tr>
      <w:tr w14:paraId="31C9C019">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672" w:hRule="atLeast"/>
          <w:jc w:val="center"/>
        </w:trPr>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10654AD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59FA08A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33FDC83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68E5CC6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73AEAC6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31946F3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6970718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0</w:t>
            </w:r>
          </w:p>
        </w:tc>
        <w:tc>
          <w:tcPr>
            <w:tcW w:w="64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7B24981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0</w:t>
            </w:r>
          </w:p>
        </w:tc>
        <w:tc>
          <w:tcPr>
            <w:tcW w:w="64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7EF731C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w:t>
            </w:r>
          </w:p>
        </w:tc>
        <w:tc>
          <w:tcPr>
            <w:tcW w:w="64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0ED7425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hint="eastAsia" w:ascii="黑体" w:hAnsi="宋体" w:eastAsia="黑体" w:cs="黑体"/>
                <w:kern w:val="0"/>
                <w:sz w:val="20"/>
                <w:szCs w:val="20"/>
                <w:lang w:val="en-US" w:eastAsia="zh-CN" w:bidi="ar"/>
              </w:rPr>
              <w:t>0</w:t>
            </w:r>
          </w:p>
        </w:tc>
        <w:tc>
          <w:tcPr>
            <w:tcW w:w="64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588C13B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w:t>
            </w:r>
          </w:p>
        </w:tc>
        <w:tc>
          <w:tcPr>
            <w:tcW w:w="64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538F58B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w:t>
            </w:r>
          </w:p>
        </w:tc>
        <w:tc>
          <w:tcPr>
            <w:tcW w:w="64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758171F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w:t>
            </w:r>
          </w:p>
        </w:tc>
        <w:tc>
          <w:tcPr>
            <w:tcW w:w="64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7356309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黑体" w:hAnsi="宋体" w:eastAsia="黑体" w:cs="黑体"/>
                <w:kern w:val="0"/>
                <w:sz w:val="20"/>
                <w:szCs w:val="20"/>
                <w:lang w:val="en-US" w:eastAsia="zh-CN" w:bidi="ar"/>
              </w:rPr>
              <w:t>0</w:t>
            </w:r>
          </w:p>
        </w:tc>
        <w:tc>
          <w:tcPr>
            <w:tcW w:w="744"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3199B03F">
            <w:pPr>
              <w:rPr>
                <w:rFonts w:hint="eastAsia" w:ascii="宋体" w:eastAsiaTheme="minorEastAsia"/>
                <w:sz w:val="24"/>
                <w:szCs w:val="24"/>
                <w:lang w:val="en-US" w:eastAsia="zh-CN"/>
              </w:rPr>
            </w:pPr>
            <w:r>
              <w:rPr>
                <w:rFonts w:hint="eastAsia" w:ascii="宋体"/>
                <w:sz w:val="24"/>
                <w:szCs w:val="24"/>
                <w:lang w:val="en-US" w:eastAsia="zh-CN"/>
              </w:rPr>
              <w:t>0</w:t>
            </w:r>
          </w:p>
        </w:tc>
      </w:tr>
    </w:tbl>
    <w:p w14:paraId="5DFAF871">
      <w:pPr>
        <w:keepNext w:val="0"/>
        <w:keepLines w:val="0"/>
        <w:widowControl/>
        <w:suppressLineNumbers w:val="0"/>
        <w:jc w:val="left"/>
      </w:pPr>
    </w:p>
    <w:p w14:paraId="4325697C">
      <w:pPr>
        <w:pStyle w:val="7"/>
        <w:keepNext w:val="0"/>
        <w:keepLines w:val="0"/>
        <w:pageBreakBefore w:val="0"/>
        <w:widowControl w:val="0"/>
        <w:numPr>
          <w:ilvl w:val="0"/>
          <w:numId w:val="0"/>
        </w:numPr>
        <w:suppressLineNumbers w:val="0"/>
        <w:pBdr>
          <w:top w:val="none" w:color="auto" w:sz="0" w:space="0"/>
          <w:left w:val="none" w:color="auto" w:sz="0" w:space="0"/>
          <w:bottom w:val="none" w:color="auto" w:sz="0" w:space="0"/>
          <w:right w:val="none" w:color="auto" w:sz="0" w:space="0"/>
        </w:pBdr>
        <w:shd w:val="clear" w:color="auto"/>
        <w:kinsoku/>
        <w:wordWrap/>
        <w:overflowPunct/>
        <w:topLinePunct w:val="0"/>
        <w:autoSpaceDE/>
        <w:autoSpaceDN w:val="0"/>
        <w:bidi w:val="0"/>
        <w:adjustRightInd/>
        <w:snapToGrid/>
        <w:spacing w:before="0" w:beforeAutospacing="0" w:after="0" w:afterAutospacing="0" w:line="600" w:lineRule="exact"/>
        <w:ind w:right="0" w:rightChars="0" w:firstLine="640" w:firstLineChars="200"/>
        <w:jc w:val="both"/>
        <w:textAlignment w:val="auto"/>
        <w:rPr>
          <w:rFonts w:hint="eastAsia" w:ascii="黑体" w:hAnsi="黑体" w:eastAsia="黑体" w:cs="黑体"/>
          <w:b w:val="0"/>
          <w:bCs/>
          <w:i w:val="0"/>
          <w:caps w:val="0"/>
          <w:color w:val="333333"/>
          <w:spacing w:val="0"/>
          <w:sz w:val="32"/>
          <w:szCs w:val="32"/>
          <w:shd w:val="clear" w:fill="FFFFFF"/>
        </w:rPr>
      </w:pPr>
      <w:r>
        <w:rPr>
          <w:rFonts w:hint="eastAsia" w:ascii="黑体" w:hAnsi="黑体" w:eastAsia="黑体" w:cs="黑体"/>
          <w:b w:val="0"/>
          <w:bCs/>
          <w:i w:val="0"/>
          <w:caps w:val="0"/>
          <w:color w:val="333333"/>
          <w:spacing w:val="0"/>
          <w:sz w:val="32"/>
          <w:szCs w:val="32"/>
          <w:shd w:val="clear" w:fill="FFFFFF"/>
          <w:lang w:eastAsia="zh-CN"/>
        </w:rPr>
        <w:t>五、</w:t>
      </w:r>
      <w:r>
        <w:rPr>
          <w:rFonts w:hint="eastAsia" w:ascii="黑体" w:hAnsi="黑体" w:eastAsia="黑体" w:cs="黑体"/>
          <w:b w:val="0"/>
          <w:bCs/>
          <w:i w:val="0"/>
          <w:caps w:val="0"/>
          <w:color w:val="333333"/>
          <w:spacing w:val="0"/>
          <w:sz w:val="32"/>
          <w:szCs w:val="32"/>
          <w:shd w:val="clear" w:fill="FFFFFF"/>
        </w:rPr>
        <w:t>存在的主要问题及</w:t>
      </w:r>
      <w:r>
        <w:rPr>
          <w:rFonts w:hint="eastAsia" w:ascii="黑体" w:hAnsi="黑体" w:eastAsia="黑体" w:cs="黑体"/>
          <w:b w:val="0"/>
          <w:bCs/>
          <w:i w:val="0"/>
          <w:caps w:val="0"/>
          <w:color w:val="333333"/>
          <w:spacing w:val="0"/>
          <w:sz w:val="32"/>
          <w:szCs w:val="32"/>
          <w:shd w:val="clear" w:fill="FFFFFF"/>
          <w:lang w:eastAsia="zh-CN"/>
        </w:rPr>
        <w:t>改进情况</w:t>
      </w:r>
    </w:p>
    <w:p w14:paraId="1959E488">
      <w:pPr>
        <w:keepNext w:val="0"/>
        <w:keepLines w:val="0"/>
        <w:pageBreakBefore w:val="0"/>
        <w:widowControl w:val="0"/>
        <w:kinsoku/>
        <w:wordWrap/>
        <w:overflowPunct/>
        <w:topLinePunct w:val="0"/>
        <w:autoSpaceDE/>
        <w:bidi w:val="0"/>
        <w:adjustRightInd/>
        <w:snapToGrid/>
        <w:spacing w:line="60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（一）存在的问题</w:t>
      </w:r>
    </w:p>
    <w:p w14:paraId="403DD20B">
      <w:pPr>
        <w:keepNext w:val="0"/>
        <w:keepLines w:val="0"/>
        <w:pageBreakBefore w:val="0"/>
        <w:widowControl w:val="0"/>
        <w:kinsoku/>
        <w:wordWrap/>
        <w:overflowPunct/>
        <w:topLinePunct w:val="0"/>
        <w:autoSpaceDE/>
        <w:bidi w:val="0"/>
        <w:adjustRightInd/>
        <w:snapToGrid/>
        <w:spacing w:line="60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公开内容深度不足：公开信息多以政策文件、工作动态为主，对民生事项的细化解读、办事指南的流程梳理不够充分，群众关注度高的财政资金使用明细公开不够具体。</w:t>
      </w:r>
    </w:p>
    <w:p w14:paraId="09CE148E">
      <w:pPr>
        <w:keepNext w:val="0"/>
        <w:keepLines w:val="0"/>
        <w:pageBreakBefore w:val="0"/>
        <w:widowControl w:val="0"/>
        <w:kinsoku/>
        <w:wordWrap/>
        <w:overflowPunct/>
        <w:topLinePunct w:val="0"/>
        <w:autoSpaceDE/>
        <w:bidi w:val="0"/>
        <w:adjustRightInd/>
        <w:snapToGrid/>
        <w:spacing w:line="60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渠道利用不均衡：线上平台信息更新及时，但线下公示栏存在更新不及时、内容老化的问题，乡村大喇叭等载体的信息传播频次较低。</w:t>
      </w:r>
    </w:p>
    <w:p w14:paraId="39EA005F">
      <w:pPr>
        <w:keepNext w:val="0"/>
        <w:keepLines w:val="0"/>
        <w:pageBreakBefore w:val="0"/>
        <w:widowControl w:val="0"/>
        <w:kinsoku/>
        <w:wordWrap/>
        <w:overflowPunct/>
        <w:topLinePunct w:val="0"/>
        <w:autoSpaceDE/>
        <w:bidi w:val="0"/>
        <w:adjustRightInd/>
        <w:snapToGrid/>
        <w:spacing w:line="60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业务能力有待提升：部分工作人员对政府信息公开的政策理解不够透彻，对公开范围、公开标准的把握不够精准，影响工作质效。</w:t>
      </w:r>
    </w:p>
    <w:p w14:paraId="357F4DD1">
      <w:pPr>
        <w:keepNext w:val="0"/>
        <w:keepLines w:val="0"/>
        <w:pageBreakBefore w:val="0"/>
        <w:widowControl w:val="0"/>
        <w:kinsoku/>
        <w:wordWrap/>
        <w:overflowPunct/>
        <w:topLinePunct w:val="0"/>
        <w:autoSpaceDE/>
        <w:bidi w:val="0"/>
        <w:adjustRightInd/>
        <w:snapToGrid/>
        <w:spacing w:line="60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（二）改进情况</w:t>
      </w:r>
    </w:p>
    <w:p w14:paraId="7968393F">
      <w:pPr>
        <w:keepNext w:val="0"/>
        <w:keepLines w:val="0"/>
        <w:pageBreakBefore w:val="0"/>
        <w:widowControl w:val="0"/>
        <w:kinsoku/>
        <w:wordWrap/>
        <w:overflowPunct/>
        <w:topLinePunct w:val="0"/>
        <w:autoSpaceDE/>
        <w:bidi w:val="0"/>
        <w:adjustRightInd/>
        <w:snapToGrid/>
        <w:spacing w:line="60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聚焦群众关切，丰富公开内容：围绕教育、医疗、养老、乡村振兴等民生领域，增加政策解读类信息发布，细化财政收支、项目建设等信息的公开维度，做到 “应公开尽公开、应细化尽细化”。</w:t>
      </w:r>
    </w:p>
    <w:p w14:paraId="131442A5">
      <w:pPr>
        <w:keepNext w:val="0"/>
        <w:keepLines w:val="0"/>
        <w:pageBreakBefore w:val="0"/>
        <w:widowControl w:val="0"/>
        <w:kinsoku/>
        <w:wordWrap/>
        <w:overflowPunct/>
        <w:topLinePunct w:val="0"/>
        <w:autoSpaceDE/>
        <w:bidi w:val="0"/>
        <w:adjustRightInd/>
        <w:snapToGrid/>
        <w:spacing w:line="60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统筹线上线下，优化公开渠道：建立线下公示栏定期巡检制度，明确每月5日前完成内容更新；增加乡村大喇叭的政策播报频次，每周不少于2次；依托村民微信群，推送便民信息和政策解读。</w:t>
      </w:r>
    </w:p>
    <w:p w14:paraId="38993E7D">
      <w:pPr>
        <w:keepNext w:val="0"/>
        <w:keepLines w:val="0"/>
        <w:pageBreakBefore w:val="0"/>
        <w:widowControl w:val="0"/>
        <w:kinsoku/>
        <w:wordWrap/>
        <w:overflowPunct/>
        <w:topLinePunct w:val="0"/>
        <w:autoSpaceDE/>
        <w:bidi w:val="0"/>
        <w:adjustRightInd/>
        <w:snapToGrid/>
        <w:spacing w:line="600" w:lineRule="exact"/>
        <w:ind w:firstLine="640" w:firstLineChars="200"/>
        <w:textAlignment w:val="auto"/>
        <w:rPr>
          <w:rFonts w:hint="eastAsia" w:ascii="仿宋_GB2312" w:hAnsi="仿宋_GB2312" w:eastAsia="仿宋_GB2312" w:cs="仿宋_GB2312"/>
          <w:sz w:val="32"/>
          <w:szCs w:val="32"/>
          <w:lang w:eastAsia="zh-CN"/>
        </w:rPr>
      </w:pPr>
      <w:r>
        <w:rPr>
          <w:rFonts w:hint="eastAsia" w:ascii="仿宋_GB2312" w:hAnsi="仿宋_GB2312" w:eastAsia="仿宋_GB2312" w:cs="仿宋_GB2312"/>
          <w:sz w:val="32"/>
          <w:szCs w:val="32"/>
          <w:lang w:eastAsia="zh-CN"/>
        </w:rPr>
        <w:t>加强业务培训，提升工作能力：组织开展政府信息公开专题培训，邀请上级业务部门专家授课，重点学习《政府信息公开条例》及相关配套文件，通过案例分析、经验交流等方式，提升工作人员的业务水平和责任意识。</w:t>
      </w:r>
    </w:p>
    <w:p w14:paraId="0454A9CA">
      <w:pPr>
        <w:keepNext w:val="0"/>
        <w:keepLines w:val="0"/>
        <w:pageBreakBefore w:val="0"/>
        <w:widowControl w:val="0"/>
        <w:kinsoku/>
        <w:wordWrap/>
        <w:overflowPunct/>
        <w:topLinePunct w:val="0"/>
        <w:autoSpaceDE/>
        <w:bidi w:val="0"/>
        <w:adjustRightInd/>
        <w:snapToGrid/>
        <w:spacing w:line="60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六、其他需要报告的事项</w:t>
      </w:r>
    </w:p>
    <w:p w14:paraId="5F1AB1E6">
      <w:pPr>
        <w:keepNext w:val="0"/>
        <w:keepLines w:val="0"/>
        <w:pageBreakBefore w:val="0"/>
        <w:widowControl w:val="0"/>
        <w:kinsoku/>
        <w:wordWrap/>
        <w:overflowPunct/>
        <w:topLinePunct w:val="0"/>
        <w:autoSpaceDE/>
        <w:autoSpaceDN/>
        <w:bidi w:val="0"/>
        <w:adjustRightInd/>
        <w:snapToGrid/>
        <w:spacing w:line="600" w:lineRule="exact"/>
        <w:ind w:firstLine="640" w:firstLineChars="200"/>
        <w:textAlignment w:val="auto"/>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认真贯彻执行国务院办公厅《政府信息公开信息处理费管理办法》</w:t>
      </w:r>
      <w:r>
        <w:rPr>
          <w:rFonts w:hint="eastAsia" w:ascii="仿宋_GB2312" w:hAnsi="仿宋_GB2312" w:eastAsia="仿宋_GB2312" w:cs="仿宋_GB2312"/>
          <w:sz w:val="32"/>
          <w:szCs w:val="32"/>
          <w:lang w:eastAsia="zh-CN"/>
        </w:rPr>
        <w:t>和</w:t>
      </w:r>
      <w:r>
        <w:rPr>
          <w:rFonts w:hint="eastAsia" w:ascii="仿宋_GB2312" w:hAnsi="仿宋_GB2312" w:eastAsia="仿宋_GB2312" w:cs="仿宋_GB2312"/>
          <w:sz w:val="32"/>
          <w:szCs w:val="32"/>
        </w:rPr>
        <w:t>《关于政府信息公开处理费管</w:t>
      </w:r>
      <w:bookmarkStart w:id="0" w:name="_GoBack"/>
      <w:bookmarkEnd w:id="0"/>
      <w:r>
        <w:rPr>
          <w:rFonts w:hint="eastAsia" w:ascii="仿宋_GB2312" w:hAnsi="仿宋_GB2312" w:eastAsia="仿宋_GB2312" w:cs="仿宋_GB2312"/>
          <w:sz w:val="32"/>
          <w:szCs w:val="32"/>
        </w:rPr>
        <w:t>理有关事项的通知》。202</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年未收取信息处理费。</w:t>
      </w:r>
    </w:p>
    <w:p w14:paraId="1604C0C6">
      <w:pPr>
        <w:keepNext w:val="0"/>
        <w:keepLines w:val="0"/>
        <w:pageBreakBefore w:val="0"/>
        <w:widowControl w:val="0"/>
        <w:kinsoku/>
        <w:wordWrap/>
        <w:overflowPunct/>
        <w:topLinePunct w:val="0"/>
        <w:autoSpaceDE/>
        <w:bidi w:val="0"/>
        <w:adjustRightInd/>
        <w:snapToGrid/>
        <w:spacing w:line="600" w:lineRule="exact"/>
        <w:jc w:val="right"/>
        <w:textAlignment w:val="auto"/>
        <w:rPr>
          <w:rFonts w:hint="eastAsia" w:ascii="仿宋_GB2312" w:hAnsi="仿宋_GB2312" w:eastAsia="仿宋_GB2312" w:cs="仿宋_GB2312"/>
          <w:sz w:val="32"/>
          <w:szCs w:val="32"/>
        </w:rPr>
      </w:pPr>
    </w:p>
    <w:p w14:paraId="4ACB1BF0">
      <w:pPr>
        <w:keepNext w:val="0"/>
        <w:keepLines w:val="0"/>
        <w:pageBreakBefore w:val="0"/>
        <w:widowControl w:val="0"/>
        <w:kinsoku/>
        <w:wordWrap/>
        <w:overflowPunct/>
        <w:topLinePunct w:val="0"/>
        <w:autoSpaceDE/>
        <w:bidi w:val="0"/>
        <w:adjustRightInd/>
        <w:snapToGrid/>
        <w:spacing w:line="600" w:lineRule="exact"/>
        <w:jc w:val="right"/>
        <w:textAlignment w:val="auto"/>
        <w:rPr>
          <w:rFonts w:hint="eastAsia" w:ascii="仿宋_GB2312" w:hAnsi="仿宋_GB2312" w:eastAsia="仿宋_GB2312" w:cs="仿宋_GB2312"/>
          <w:sz w:val="32"/>
          <w:szCs w:val="32"/>
        </w:rPr>
      </w:pPr>
    </w:p>
    <w:p w14:paraId="757242F7">
      <w:pPr>
        <w:keepNext w:val="0"/>
        <w:keepLines w:val="0"/>
        <w:pageBreakBefore w:val="0"/>
        <w:widowControl w:val="0"/>
        <w:kinsoku/>
        <w:wordWrap/>
        <w:overflowPunct/>
        <w:topLinePunct w:val="0"/>
        <w:autoSpaceDE/>
        <w:bidi w:val="0"/>
        <w:adjustRightInd/>
        <w:snapToGrid/>
        <w:spacing w:line="600" w:lineRule="exact"/>
        <w:jc w:val="righ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6</w:t>
      </w:r>
      <w:r>
        <w:rPr>
          <w:rFonts w:hint="eastAsia" w:ascii="仿宋_GB2312" w:hAnsi="仿宋_GB2312" w:eastAsia="仿宋_GB2312" w:cs="仿宋_GB2312"/>
          <w:sz w:val="32"/>
          <w:szCs w:val="32"/>
        </w:rPr>
        <w:t>年1月</w:t>
      </w:r>
      <w:r>
        <w:rPr>
          <w:rFonts w:hint="eastAsia" w:ascii="仿宋_GB2312" w:hAnsi="仿宋_GB2312" w:eastAsia="仿宋_GB2312" w:cs="仿宋_GB2312"/>
          <w:sz w:val="32"/>
          <w:szCs w:val="32"/>
          <w:lang w:val="en-US" w:eastAsia="zh-CN"/>
        </w:rPr>
        <w:t>20</w:t>
      </w:r>
      <w:r>
        <w:rPr>
          <w:rFonts w:hint="eastAsia" w:ascii="仿宋_GB2312" w:hAnsi="仿宋_GB2312" w:eastAsia="仿宋_GB2312" w:cs="仿宋_GB2312"/>
          <w:sz w:val="32"/>
          <w:szCs w:val="32"/>
        </w:rPr>
        <w:t>日</w:t>
      </w:r>
      <w:r>
        <w:rPr>
          <w:rFonts w:hint="eastAsia" w:ascii="仿宋_GB2312" w:hAnsi="仿宋_GB2312" w:eastAsia="仿宋_GB2312" w:cs="仿宋_GB2312"/>
          <w:sz w:val="32"/>
          <w:szCs w:val="32"/>
          <w:lang w:val="en-US" w:eastAsia="zh-CN"/>
        </w:rPr>
        <w:t xml:space="preserve">  </w:t>
      </w:r>
    </w:p>
    <w:p w14:paraId="13F000C8">
      <w:pPr>
        <w:keepNext w:val="0"/>
        <w:keepLines w:val="0"/>
        <w:pageBreakBefore w:val="0"/>
        <w:widowControl w:val="0"/>
        <w:kinsoku/>
        <w:wordWrap/>
        <w:overflowPunct/>
        <w:topLinePunct w:val="0"/>
        <w:autoSpaceDE/>
        <w:bidi w:val="0"/>
        <w:adjustRightInd/>
        <w:snapToGrid/>
        <w:spacing w:line="600" w:lineRule="exact"/>
        <w:jc w:val="right"/>
        <w:textAlignment w:val="auto"/>
        <w:rPr>
          <w:rFonts w:hint="default" w:ascii="仿宋_GB2312" w:hAnsi="仿宋_GB2312" w:eastAsia="仿宋_GB2312" w:cs="仿宋_GB2312"/>
          <w:sz w:val="32"/>
          <w:szCs w:val="32"/>
          <w:lang w:val="en-US"/>
        </w:rPr>
      </w:pPr>
      <w:r>
        <w:rPr>
          <w:rFonts w:hint="eastAsia" w:ascii="仿宋_GB2312" w:hAnsi="仿宋_GB2312" w:eastAsia="仿宋_GB2312" w:cs="仿宋_GB2312"/>
          <w:sz w:val="32"/>
          <w:szCs w:val="32"/>
          <w:lang w:val="en-US" w:eastAsia="zh-CN"/>
        </w:rPr>
        <w:t>威县张营乡人民政府</w:t>
      </w:r>
    </w:p>
    <w:sectPr>
      <w:headerReference r:id="rId3" w:type="default"/>
      <w:footerReference r:id="rId4" w:type="default"/>
      <w:pgSz w:w="11906" w:h="16838"/>
      <w:pgMar w:top="2098" w:right="1474" w:bottom="1984" w:left="1587" w:header="851" w:footer="992" w:gutter="0"/>
      <w:pgNumType w:fmt="numberInDash"/>
      <w:cols w:space="0" w:num="1"/>
      <w:rtlGutter w:val="0"/>
      <w:docGrid w:type="lines" w:linePitch="318"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50"/>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方正小标宋简体">
    <w:panose1 w:val="03000509000000000000"/>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95D014">
    <w:pPr>
      <w:pStyle w:val="5"/>
    </w:pPr>
    <w:r>
      <w:rPr>
        <w:sz w:val="18"/>
      </w:rPr>
      <mc:AlternateContent>
        <mc:Choice Requires="wps">
          <w:drawing>
            <wp:anchor distT="0" distB="0" distL="114300" distR="114300" simplePos="0" relativeHeight="251659264" behindDoc="0" locked="0" layoutInCell="1" allowOverlap="1">
              <wp:simplePos x="0" y="0"/>
              <wp:positionH relativeFrom="margin">
                <wp:posOffset>2582545</wp:posOffset>
              </wp:positionH>
              <wp:positionV relativeFrom="paragraph">
                <wp:posOffset>-419735</wp:posOffset>
              </wp:positionV>
              <wp:extent cx="1828800" cy="65659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6565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6003957">
                          <w:pPr>
                            <w:pStyle w:val="5"/>
                            <w:rPr>
                              <w:rFonts w:hint="eastAsia" w:eastAsiaTheme="minorEastAsia"/>
                              <w:lang w:eastAsia="zh-CN"/>
                            </w:rPr>
                          </w:pP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1</w:t>
                          </w:r>
                          <w:r>
                            <w:rPr>
                              <w:rFonts w:hint="eastAsia" w:ascii="宋体" w:hAnsi="宋体" w:eastAsia="宋体" w:cs="宋体"/>
                              <w:sz w:val="28"/>
                              <w:szCs w:val="28"/>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noAutofit/>
                    </wps:bodyPr>
                  </wps:wsp>
                </a:graphicData>
              </a:graphic>
            </wp:anchor>
          </w:drawing>
        </mc:Choice>
        <mc:Fallback>
          <w:pict>
            <v:shape id="_x0000_s1026" o:spid="_x0000_s1026" o:spt="202" type="#_x0000_t202" style="position:absolute;left:0pt;margin-left:203.35pt;margin-top:-33.05pt;height:51.7pt;width:144pt;mso-position-horizontal-relative:margin;mso-wrap-style:none;z-index:251659264;mso-width-relative:page;mso-height-relative:page;" filled="f" stroked="f" coordsize="21600,21600" o:gfxdata="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">
              <v:fill on="f" focussize="0,0"/>
              <v:stroke on="f" weight="0.5pt"/>
              <v:imagedata o:title=""/>
              <o:lock v:ext="edit" aspectratio="f"/>
              <v:textbox inset="0mm,0mm,0mm,0mm">
                <w:txbxContent>
                  <w:p w14:paraId="56003957">
                    <w:pPr>
                      <w:pStyle w:val="5"/>
                      <w:rPr>
                        <w:rFonts w:hint="eastAsia" w:eastAsiaTheme="minorEastAsia"/>
                        <w:lang w:eastAsia="zh-CN"/>
                      </w:rPr>
                    </w:pP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1</w:t>
                    </w:r>
                    <w:r>
                      <w:rPr>
                        <w:rFonts w:hint="eastAsia" w:ascii="宋体" w:hAnsi="宋体" w:eastAsia="宋体" w:cs="宋体"/>
                        <w:sz w:val="28"/>
                        <w:szCs w:val="28"/>
                        <w:lang w:eastAsia="zh-CN"/>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A710B4">
    <w:pPr>
      <w:pStyle w:val="6"/>
      <w:pBdr>
        <w:bottom w:val="none" w:color="auto" w:sz="0" w:space="1"/>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9"/>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A46C4"/>
    <w:rsid w:val="008A46C4"/>
    <w:rsid w:val="03D53AB8"/>
    <w:rsid w:val="0AEF04FA"/>
    <w:rsid w:val="101C7A8D"/>
    <w:rsid w:val="138B57D3"/>
    <w:rsid w:val="182D35C9"/>
    <w:rsid w:val="198B7C78"/>
    <w:rsid w:val="1CAF5E68"/>
    <w:rsid w:val="2BC446DC"/>
    <w:rsid w:val="2DB271AD"/>
    <w:rsid w:val="2DE8558B"/>
    <w:rsid w:val="303834AB"/>
    <w:rsid w:val="329D5EB5"/>
    <w:rsid w:val="37ED04CC"/>
    <w:rsid w:val="3AC27A19"/>
    <w:rsid w:val="41840E02"/>
    <w:rsid w:val="491B727C"/>
    <w:rsid w:val="4B602128"/>
    <w:rsid w:val="53A51C8F"/>
    <w:rsid w:val="564A1575"/>
    <w:rsid w:val="564C7C4C"/>
    <w:rsid w:val="56DC7C88"/>
    <w:rsid w:val="5979504A"/>
    <w:rsid w:val="5E004F1F"/>
    <w:rsid w:val="62E67E08"/>
    <w:rsid w:val="6E920EDB"/>
    <w:rsid w:val="6F4D7E96"/>
    <w:rsid w:val="6FE70F3F"/>
    <w:rsid w:val="72E065CE"/>
    <w:rsid w:val="73A9585E"/>
    <w:rsid w:val="73FD28CA"/>
    <w:rsid w:val="78F273FF"/>
    <w:rsid w:val="7E716C6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3">
    <w:name w:val="heading 2"/>
    <w:basedOn w:val="1"/>
    <w:next w:val="1"/>
    <w:semiHidden/>
    <w:unhideWhenUsed/>
    <w:qFormat/>
    <w:uiPriority w:val="0"/>
    <w:pPr>
      <w:spacing w:before="0" w:beforeAutospacing="1" w:after="0" w:afterAutospacing="1"/>
      <w:jc w:val="left"/>
    </w:pPr>
    <w:rPr>
      <w:rFonts w:hint="eastAsia" w:ascii="宋体" w:hAnsi="宋体" w:eastAsia="宋体" w:cs="宋体"/>
      <w:b/>
      <w:bCs/>
      <w:kern w:val="0"/>
      <w:sz w:val="36"/>
      <w:szCs w:val="36"/>
      <w:lang w:val="en-US" w:eastAsia="zh-CN" w:bidi="ar"/>
    </w:rPr>
  </w:style>
  <w:style w:type="paragraph" w:styleId="4">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9">
    <w:name w:val="Default Paragraph Font"/>
    <w:semiHidden/>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2">
    <w:name w:val="Normal Indent"/>
    <w:basedOn w:val="1"/>
    <w:next w:val="1"/>
    <w:qFormat/>
    <w:uiPriority w:val="0"/>
    <w:pPr>
      <w:ind w:firstLine="420"/>
    </w:pPr>
    <w:rPr>
      <w:szCs w:val="21"/>
    </w:rPr>
  </w:style>
  <w:style w:type="paragraph" w:styleId="5">
    <w:name w:val="footer"/>
    <w:basedOn w:val="1"/>
    <w:qFormat/>
    <w:uiPriority w:val="0"/>
    <w:pPr>
      <w:tabs>
        <w:tab w:val="center" w:pos="4153"/>
        <w:tab w:val="right" w:pos="8306"/>
      </w:tabs>
      <w:snapToGrid w:val="0"/>
      <w:jc w:val="left"/>
    </w:pPr>
    <w:rPr>
      <w:sz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7">
    <w:name w:val="Normal (Web)"/>
    <w:basedOn w:val="1"/>
    <w:qFormat/>
    <w:uiPriority w:val="0"/>
    <w:pPr>
      <w:spacing w:before="0" w:beforeAutospacing="1" w:after="0" w:afterAutospacing="1"/>
      <w:ind w:left="0" w:right="0"/>
      <w:jc w:val="left"/>
    </w:pPr>
    <w:rPr>
      <w:kern w:val="0"/>
      <w:sz w:val="24"/>
      <w:lang w:val="en-US" w:eastAsia="zh-CN" w:bidi="ar"/>
    </w:rPr>
  </w:style>
  <w:style w:type="character" w:styleId="10">
    <w:name w:val="Strong"/>
    <w:basedOn w:val="9"/>
    <w:qFormat/>
    <w:uiPriority w:val="0"/>
    <w:rPr>
      <w:b/>
    </w:rPr>
  </w:style>
  <w:style w:type="character" w:styleId="11">
    <w:name w:val="FollowedHyperlink"/>
    <w:basedOn w:val="9"/>
    <w:qFormat/>
    <w:uiPriority w:val="0"/>
    <w:rPr>
      <w:rFonts w:hint="eastAsia" w:ascii="微软雅黑" w:hAnsi="微软雅黑" w:eastAsia="微软雅黑" w:cs="微软雅黑"/>
      <w:color w:val="800080"/>
      <w:u w:val="none"/>
    </w:rPr>
  </w:style>
  <w:style w:type="character" w:styleId="12">
    <w:name w:val="Emphasis"/>
    <w:basedOn w:val="9"/>
    <w:qFormat/>
    <w:uiPriority w:val="0"/>
    <w:rPr>
      <w:rFonts w:hint="eastAsia" w:ascii="微软雅黑" w:hAnsi="微软雅黑" w:eastAsia="微软雅黑" w:cs="微软雅黑"/>
      <w:u w:val="none"/>
    </w:rPr>
  </w:style>
  <w:style w:type="character" w:styleId="13">
    <w:name w:val="Hyperlink"/>
    <w:basedOn w:val="9"/>
    <w:qFormat/>
    <w:uiPriority w:val="0"/>
    <w:rPr>
      <w:rFonts w:hint="eastAsia" w:ascii="微软雅黑" w:hAnsi="微软雅黑" w:eastAsia="微软雅黑" w:cs="微软雅黑"/>
      <w:color w:val="0000FF"/>
      <w:u w:val="none"/>
    </w:rPr>
  </w:style>
  <w:style w:type="character" w:customStyle="1" w:styleId="14">
    <w:name w:val="hover20"/>
    <w:basedOn w:val="9"/>
    <w:qFormat/>
    <w:uiPriority w:val="0"/>
    <w:rPr>
      <w:color w:val="CC0000"/>
    </w:rPr>
  </w:style>
  <w:style w:type="character" w:customStyle="1" w:styleId="15">
    <w:name w:val="curr3"/>
    <w:basedOn w:val="9"/>
    <w:qFormat/>
    <w:uiPriority w:val="0"/>
    <w:rPr>
      <w:color w:val="FFFFFF"/>
      <w:shd w:val="clear" w:fill="CC0000"/>
    </w:rPr>
  </w:style>
  <w:style w:type="character" w:customStyle="1" w:styleId="16">
    <w:name w:val="yzm"/>
    <w:basedOn w:val="9"/>
    <w:qFormat/>
    <w:uiPriority w:val="0"/>
    <w:rPr>
      <w:color w:val="999999"/>
      <w:sz w:val="21"/>
      <w:szCs w:val="21"/>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6</Pages>
  <Words>2374</Words>
  <Characters>2452</Characters>
  <Lines>0</Lines>
  <Paragraphs>0</Paragraphs>
  <TotalTime>16</TotalTime>
  <ScaleCrop>false</ScaleCrop>
  <LinksUpToDate>false</LinksUpToDate>
  <CharactersWithSpaces>2469</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2022-01-04T15:51:00Z</dcterms:created>
  <dc:creator>Administrator</dc:creator>
  <cp:lastModifiedBy>潘智广</cp:lastModifiedBy>
  <cp:lastPrinted>2022-01-13T10:56:00Z</cp:lastPrinted>
  <dcterms:modified xsi:type="dcterms:W3CDTF">2026-01-21T09:15:27Z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KSOTemplateDocerSaveRecord">
    <vt:lpwstr>eyJoZGlkIjoiN2ZjOTYyYTcxNmY0YzlhZjEzYzVkYmJlYTllNTc2YTgiLCJ1c2VySWQiOiIzNTA2OTQyNTIifQ==</vt:lpwstr>
  </property>
  <property fmtid="{D5CDD505-2E9C-101B-9397-08002B2CF9AE}" pid="4" name="ICV">
    <vt:lpwstr>52E49B0DD04349049D1E7559A7FA9D3D_13</vt:lpwstr>
  </property>
</Properties>
</file>