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99459C">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default" w:ascii="方正小标宋简体" w:hAnsi="方正小标宋简体" w:eastAsia="方正小标宋简体" w:cs="方正小标宋简体"/>
          <w:b w:val="0"/>
          <w:bCs/>
          <w:i w:val="0"/>
          <w:caps w:val="0"/>
          <w:color w:val="333333"/>
          <w:spacing w:val="0"/>
          <w:sz w:val="44"/>
          <w:szCs w:val="44"/>
          <w:shd w:val="clear" w:color="auto" w:fill="FFFFFF"/>
          <w:lang w:val="en-US" w:eastAsia="zh-CN"/>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威县枣园镇</w:t>
      </w:r>
    </w:p>
    <w:p w14:paraId="3728A819">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202</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5</w:t>
      </w:r>
      <w:bookmarkStart w:id="0" w:name="_GoBack"/>
      <w:bookmarkEnd w:id="0"/>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年政府信息公开工作年度报告</w:t>
      </w:r>
    </w:p>
    <w:p w14:paraId="425E32A7">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p>
    <w:p w14:paraId="238ECFE6">
      <w:pPr>
        <w:keepNext w:val="0"/>
        <w:keepLines w:val="0"/>
        <w:pageBreakBefore w:val="0"/>
        <w:widowControl w:val="0"/>
        <w:kinsoku/>
        <w:wordWrap/>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本年度报告依据《中华人民共和国政府信息公开条例》（以下简称《条例》）编制而成，由枣园镇人民政府负责具体编撰工作。报告涵盖总体情况、主动公开政府信息状况、收到和处理政府信息公开申请情形、政府信息公开引发的行政复议及行政诉讼情况、现存主要问题与改进举措以及其他需报告事项等六个板块，报告中的数据统计时段为 2025 年 1 月 1 日至 12 月 31 日。</w:t>
      </w:r>
    </w:p>
    <w:p w14:paraId="7E48F57B">
      <w:pPr>
        <w:keepNext w:val="0"/>
        <w:keepLines w:val="0"/>
        <w:pageBreakBefore w:val="0"/>
        <w:widowControl w:val="0"/>
        <w:kinsoku/>
        <w:wordWrap/>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仿宋_GB2312" w:eastAsia="仿宋_GB2312"/>
          <w:color w:val="000000"/>
          <w:sz w:val="32"/>
          <w:szCs w:val="32"/>
          <w:lang w:val="en-US" w:eastAsia="zh-CN" w:bidi="ar"/>
        </w:rPr>
      </w:pPr>
      <w:r>
        <w:rPr>
          <w:rFonts w:hint="eastAsia" w:ascii="仿宋_GB2312" w:eastAsia="仿宋_GB2312" w:cs="Times New Roman"/>
          <w:sz w:val="32"/>
          <w:szCs w:val="32"/>
          <w:lang w:val="en-US" w:eastAsia="zh-CN"/>
        </w:rPr>
        <w:t>如对本报告有任何疑问，请与枣园镇党政办公室联系，电话：0319—6061181。</w:t>
      </w:r>
    </w:p>
    <w:p w14:paraId="5223F1A1">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rPr>
        <w:t>一、总体情况</w:t>
      </w:r>
    </w:p>
    <w:p w14:paraId="3FDD54BF">
      <w:pPr>
        <w:pStyle w:val="5"/>
        <w:keepNext w:val="0"/>
        <w:keepLines w:val="0"/>
        <w:pageBreakBefore w:val="0"/>
        <w:widowControl w:val="0"/>
        <w:kinsoku/>
        <w:wordWrap/>
        <w:overflowPunct/>
        <w:topLinePunct w:val="0"/>
        <w:autoSpaceDE/>
        <w:autoSpaceDN/>
        <w:bidi w:val="0"/>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推进政府信息公开，是</w:t>
      </w:r>
      <w:r>
        <w:rPr>
          <w:rFonts w:hint="eastAsia" w:ascii="仿宋_GB2312" w:hAnsi="仿宋_GB2312" w:eastAsia="仿宋_GB2312" w:cs="仿宋_GB2312"/>
          <w:sz w:val="32"/>
          <w:szCs w:val="32"/>
          <w:lang w:eastAsia="zh-CN"/>
        </w:rPr>
        <w:t>枣园镇</w:t>
      </w:r>
      <w:r>
        <w:rPr>
          <w:rFonts w:hint="eastAsia" w:ascii="仿宋_GB2312" w:hAnsi="仿宋_GB2312" w:eastAsia="仿宋_GB2312" w:cs="仿宋_GB2312"/>
          <w:sz w:val="32"/>
          <w:szCs w:val="32"/>
        </w:rPr>
        <w:t>人民政府落实《条例》的关键一招，更是深入践行政务公开理念、加速政府职能转变、达成管理模式创新、全力打造人民满意的服务型政府的重中之重。</w:t>
      </w:r>
      <w:r>
        <w:rPr>
          <w:rFonts w:hint="eastAsia" w:ascii="仿宋_GB2312" w:hAnsi="仿宋_GB2312" w:eastAsia="仿宋_GB2312" w:cs="仿宋_GB2312"/>
          <w:sz w:val="32"/>
          <w:szCs w:val="32"/>
          <w:lang w:eastAsia="zh-CN"/>
        </w:rPr>
        <w:t>枣园镇</w:t>
      </w:r>
      <w:r>
        <w:rPr>
          <w:rFonts w:hint="eastAsia" w:ascii="仿宋_GB2312" w:hAnsi="仿宋_GB2312" w:eastAsia="仿宋_GB2312" w:cs="仿宋_GB2312"/>
          <w:sz w:val="32"/>
          <w:szCs w:val="32"/>
        </w:rPr>
        <w:t>始终严格遵循《条例》要求，将政府信息公开工作视作强化党风廉政建设、推动依法行政、紧密党群干群联系的有力抓手，全力以赴推动该项工作向广度拓展、向深度进军。</w:t>
      </w:r>
    </w:p>
    <w:p w14:paraId="0D3CE224">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val="0"/>
          <w:bCs w:val="0"/>
          <w:i w:val="0"/>
          <w:caps w:val="0"/>
          <w:color w:val="333333"/>
          <w:spacing w:val="0"/>
          <w:sz w:val="32"/>
          <w:szCs w:val="32"/>
          <w:shd w:val="clear" w:color="auto" w:fill="FFFFFF"/>
        </w:rPr>
        <w:t>（一）</w:t>
      </w:r>
      <w:r>
        <w:rPr>
          <w:rFonts w:hint="eastAsia" w:ascii="楷体_GB2312" w:hAnsi="楷体_GB2312" w:eastAsia="楷体_GB2312" w:cs="楷体_GB2312"/>
          <w:b w:val="0"/>
          <w:bCs w:val="0"/>
          <w:sz w:val="32"/>
          <w:szCs w:val="32"/>
        </w:rPr>
        <w:t>主动公开</w:t>
      </w:r>
      <w:r>
        <w:rPr>
          <w:rFonts w:hint="eastAsia" w:ascii="楷体_GB2312" w:hAnsi="楷体_GB2312" w:eastAsia="楷体_GB2312" w:cs="楷体_GB2312"/>
          <w:b w:val="0"/>
          <w:bCs w:val="0"/>
          <w:sz w:val="32"/>
          <w:szCs w:val="32"/>
          <w:lang w:eastAsia="zh-CN"/>
        </w:rPr>
        <w:t>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kern w:val="0"/>
          <w:sz w:val="32"/>
          <w:szCs w:val="32"/>
          <w:lang w:val="en-US" w:eastAsia="zh-CN" w:bidi="ar"/>
        </w:rPr>
        <w:t>枣园镇积极推进政府信息公开工作，通过政府网站、公示栏等多渠道发布政府信息，办结民情热线117件。同时，加强审核机制，召开培训会，并严格把关审查。全年未发生信息公开失泄密情况，确保公开的政府信息权威性、安全性和公信力，提高政府信息公开的透明度和公开性。</w:t>
      </w:r>
    </w:p>
    <w:p w14:paraId="538B3F25">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楷体_GB2312" w:hAnsi="楷体_GB2312" w:eastAsia="楷体_GB2312" w:cs="楷体_GB2312"/>
          <w:b w:val="0"/>
          <w:bCs w:val="0"/>
          <w:i w:val="0"/>
          <w:caps w:val="0"/>
          <w:color w:val="333333"/>
          <w:spacing w:val="0"/>
          <w:kern w:val="2"/>
          <w:sz w:val="32"/>
          <w:szCs w:val="32"/>
          <w:shd w:val="clear" w:color="auto" w:fill="FFFFFF"/>
          <w:lang w:val="en-US" w:eastAsia="zh-CN" w:bidi="ar-SA"/>
        </w:rPr>
        <w:t>（二）依申请公开办理情况。</w:t>
      </w:r>
      <w:r>
        <w:rPr>
          <w:rFonts w:hint="eastAsia" w:ascii="仿宋_GB2312" w:hAnsi="仿宋_GB2312" w:eastAsia="仿宋_GB2312" w:cs="仿宋_GB2312"/>
          <w:kern w:val="0"/>
          <w:sz w:val="32"/>
          <w:szCs w:val="32"/>
          <w:lang w:val="en-US" w:eastAsia="zh-CN" w:bidi="ar"/>
        </w:rPr>
        <w:t>我镇2025年度未收到依申请公开政府信息事项，未发生因信息公开引起的行政复议、诉讼。</w:t>
      </w:r>
    </w:p>
    <w:p w14:paraId="7AD469FD">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楷体_GB2312" w:hAnsi="楷体_GB2312" w:eastAsia="楷体_GB2312" w:cs="楷体_GB2312"/>
          <w:b w:val="0"/>
          <w:bCs w:val="0"/>
          <w:i w:val="0"/>
          <w:caps w:val="0"/>
          <w:color w:val="333333"/>
          <w:spacing w:val="0"/>
          <w:kern w:val="2"/>
          <w:sz w:val="32"/>
          <w:szCs w:val="32"/>
          <w:shd w:val="clear" w:color="auto" w:fill="FFFFFF"/>
          <w:lang w:val="en-US" w:eastAsia="zh-CN" w:bidi="ar-SA"/>
        </w:rPr>
        <w:t>（三）政府信息管理情况。</w:t>
      </w:r>
      <w:r>
        <w:rPr>
          <w:rFonts w:hint="eastAsia" w:ascii="仿宋_GB2312" w:hAnsi="仿宋_GB2312" w:eastAsia="仿宋_GB2312" w:cs="仿宋_GB2312"/>
          <w:kern w:val="0"/>
          <w:sz w:val="32"/>
          <w:szCs w:val="32"/>
          <w:lang w:val="en-US" w:eastAsia="zh-CN" w:bidi="ar"/>
        </w:rPr>
        <w:t>贯彻落实政府信息公开条例。加强对新条例的宣传解读，准确把握新条例各项规定，提高政务公开工作制度化标准化水平，对照新条例要求全面梳理应当主动公开的政府信息，进一步规范政务公开工作。</w:t>
      </w:r>
    </w:p>
    <w:p w14:paraId="25603CB2">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楷体_GB2312" w:hAnsi="楷体_GB2312" w:eastAsia="楷体_GB2312" w:cs="楷体_GB2312"/>
          <w:b w:val="0"/>
          <w:bCs w:val="0"/>
          <w:i w:val="0"/>
          <w:caps w:val="0"/>
          <w:color w:val="333333"/>
          <w:spacing w:val="0"/>
          <w:kern w:val="2"/>
          <w:sz w:val="32"/>
          <w:szCs w:val="32"/>
          <w:shd w:val="clear" w:color="auto" w:fill="FFFFFF"/>
          <w:lang w:val="en-US" w:eastAsia="zh-CN" w:bidi="ar-SA"/>
        </w:rPr>
        <w:t>（四）公开平台建设情况。</w:t>
      </w:r>
      <w:r>
        <w:rPr>
          <w:rFonts w:hint="eastAsia" w:ascii="仿宋_GB2312" w:hAnsi="仿宋_GB2312" w:eastAsia="仿宋_GB2312" w:cs="仿宋_GB2312"/>
          <w:kern w:val="0"/>
          <w:sz w:val="32"/>
          <w:szCs w:val="32"/>
          <w:lang w:val="en-US" w:eastAsia="zh-CN" w:bidi="ar"/>
        </w:rPr>
        <w:t>切实加强政府信息公开平台、政务新媒体等公开平台建设工作，充分利用镇行政综合服务中心和各村的综合服务平台进行及时有效的宣传，建立政务新媒体监管制度，保障政务新媒体健康有序发展。</w:t>
      </w:r>
    </w:p>
    <w:p w14:paraId="2333DA15">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楷体_GB2312" w:hAnsi="楷体_GB2312" w:eastAsia="楷体_GB2312" w:cs="楷体_GB2312"/>
          <w:b w:val="0"/>
          <w:bCs w:val="0"/>
          <w:i w:val="0"/>
          <w:caps w:val="0"/>
          <w:color w:val="333333"/>
          <w:spacing w:val="0"/>
          <w:kern w:val="2"/>
          <w:sz w:val="32"/>
          <w:szCs w:val="32"/>
          <w:shd w:val="clear" w:color="auto" w:fill="FFFFFF"/>
          <w:lang w:val="en-US" w:eastAsia="zh-CN" w:bidi="ar-SA"/>
        </w:rPr>
        <w:t>（五）监督保障情况。</w:t>
      </w:r>
      <w:r>
        <w:rPr>
          <w:rFonts w:hint="eastAsia" w:ascii="仿宋_GB2312" w:hAnsi="仿宋_GB2312" w:eastAsia="仿宋_GB2312" w:cs="仿宋_GB2312"/>
          <w:kern w:val="0"/>
          <w:sz w:val="32"/>
          <w:szCs w:val="32"/>
          <w:lang w:val="en-US" w:eastAsia="zh-CN" w:bidi="ar"/>
        </w:rPr>
        <w:t>镇政府在工作中坚持督促与指导并重原则，主要领导定期听取政务公开工作汇报，并对做好政务公开工作进行部署；主管人员具体负责推动政务公开工作，对公示内容进行编辑，主要领导和主管领导紧盯进度，严把质量关，确保公示内容真实精准。</w:t>
      </w:r>
    </w:p>
    <w:p w14:paraId="710ABF9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二、主动公开政府信息情况</w:t>
      </w:r>
    </w:p>
    <w:p w14:paraId="3DAD1803">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740" w:type="dxa"/>
        <w:jc w:val="center"/>
        <w:shd w:val="clear" w:color="auto" w:fill="auto"/>
        <w:tblLayout w:type="fixed"/>
        <w:tblCellMar>
          <w:top w:w="0" w:type="dxa"/>
          <w:left w:w="0" w:type="dxa"/>
          <w:bottom w:w="0" w:type="dxa"/>
          <w:right w:w="0" w:type="dxa"/>
        </w:tblCellMar>
      </w:tblPr>
      <w:tblGrid>
        <w:gridCol w:w="2435"/>
        <w:gridCol w:w="2435"/>
        <w:gridCol w:w="2435"/>
        <w:gridCol w:w="2435"/>
      </w:tblGrid>
      <w:tr w14:paraId="7B5606E1">
        <w:tblPrEx>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5CB7C7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74DEC4F5">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41065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4360C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BDB15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63FE2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0712067D">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6A449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0D18D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70796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A5C60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4559C2E4">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1EA39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1BCB1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107634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687AA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616BE93A">
        <w:tblPrEx>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713E32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7BC1FE76">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A11C8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7185B4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42D67C6B">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224DE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37D890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332396CC">
        <w:tblPrEx>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21567C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7854C1B3">
        <w:tblPrEx>
          <w:shd w:val="clear" w:color="auto" w:fill="auto"/>
          <w:tblCellMar>
            <w:top w:w="0" w:type="dxa"/>
            <w:left w:w="0" w:type="dxa"/>
            <w:bottom w:w="0" w:type="dxa"/>
            <w:right w:w="0" w:type="dxa"/>
          </w:tblCellMar>
        </w:tblPrEx>
        <w:trPr>
          <w:trHeight w:val="355"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68CFF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E3389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106C4957">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42F6F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675881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6435FD93">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BC6C6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6354B7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486F39B7">
        <w:tblPrEx>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58B925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5A96DDEB">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D4192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794FC3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161A94D7">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DB264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4E7019B8">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7FFA7870">
      <w:pPr>
        <w:keepNext w:val="0"/>
        <w:keepLines w:val="0"/>
        <w:widowControl/>
        <w:suppressLineNumbers w:val="0"/>
        <w:jc w:val="left"/>
      </w:pPr>
    </w:p>
    <w:p w14:paraId="073DBB5D">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三、收到和处理政府信息公开申请情况</w:t>
      </w:r>
    </w:p>
    <w:p w14:paraId="2CCFF358">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5"/>
        <w:gridCol w:w="941"/>
        <w:gridCol w:w="3197"/>
        <w:gridCol w:w="685"/>
        <w:gridCol w:w="734"/>
        <w:gridCol w:w="734"/>
        <w:gridCol w:w="685"/>
        <w:gridCol w:w="685"/>
        <w:gridCol w:w="685"/>
        <w:gridCol w:w="637"/>
      </w:tblGrid>
      <w:tr w14:paraId="156E7D1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221DB5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45"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23356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52212EA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3022ED5D">
            <w:pPr>
              <w:rPr>
                <w:rFonts w:hint="eastAsia" w:ascii="宋体"/>
                <w:sz w:val="24"/>
                <w:szCs w:val="24"/>
              </w:rPr>
            </w:pPr>
          </w:p>
        </w:tc>
        <w:tc>
          <w:tcPr>
            <w:tcW w:w="685"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0663F4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23"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7CA4D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37"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0F66AA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39411F2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3ACC49CF">
            <w:pPr>
              <w:rPr>
                <w:rFonts w:hint="eastAsia" w:ascii="宋体"/>
                <w:sz w:val="24"/>
                <w:szCs w:val="24"/>
              </w:rPr>
            </w:pPr>
          </w:p>
        </w:tc>
        <w:tc>
          <w:tcPr>
            <w:tcW w:w="685"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072F2791">
            <w:pPr>
              <w:rPr>
                <w:rFonts w:hint="eastAsia" w:ascii="宋体"/>
                <w:sz w:val="24"/>
                <w:szCs w:val="24"/>
              </w:rPr>
            </w:pP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292D7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商业</w:t>
            </w:r>
          </w:p>
          <w:p w14:paraId="26F0FC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企业</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0DD4E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科研</w:t>
            </w:r>
          </w:p>
          <w:p w14:paraId="1DDA0E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1C9EC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25CC2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0EF47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37"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17AD272F">
            <w:pPr>
              <w:rPr>
                <w:rFonts w:hint="eastAsia" w:ascii="宋体"/>
                <w:sz w:val="24"/>
                <w:szCs w:val="24"/>
              </w:rPr>
            </w:pPr>
          </w:p>
        </w:tc>
      </w:tr>
      <w:tr w14:paraId="3EA0C01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32371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EBD19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C7D68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DA4FA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23FCB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5C967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124CA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1E0CF4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7463873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3F38B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7DB57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CDF1D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09F89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F6550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64D9E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82FE4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2B574F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2DE57A5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E70B8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0BB67A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5E8DF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6A64B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3EA55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E5C22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D53B1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73245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27640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2091407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D9CA5B8">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55AF9F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6350E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75B60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38456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78467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2C354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492B8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67CB16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490EE27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31C01D2">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3C0890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3E59AC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0FF9E8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189587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2DF2DB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32AA9E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26A2AA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164AB8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EDA35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1451B5C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8C58EBC">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3D4B0FE">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95399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076C39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5D9602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0A0FB8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4A6E6A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1BEF7F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69BDB1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37AFF2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60A8185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2866371">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2C1160E">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37749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3C56BC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25CCDB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67D709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5EF97F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6916E0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247508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2BC353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BAAD27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E194DED">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9B381DA">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1E905A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BE9BD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86F1F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B70CA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FD0B6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AE910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ADBD6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62CFA5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0469407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75CA0AD">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073C0F6">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0DA543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8A6EB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84756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C0D95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D7C5F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57239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F797F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369714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00A7102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58F1E05">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7AA9E69">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035D25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D5BD7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55370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246F6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ECE14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59268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37174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7E5F1F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6A5BF77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65C12B3">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B737480">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76784E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55218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4B4AA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97390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C17BA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92816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A23AB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0E2000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00614E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810CEE8">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343C670">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A63B1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41BD7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204BA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EABAE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B0C22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749B7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BAD14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64EBE8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185B34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47F0E32">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689DDB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23B28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979B9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9F7B3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42195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F21C4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65197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51FBA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674450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13E19CF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0E0BF55">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E4CF5CA">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126829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BDCA2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91D61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FB400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5650D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F5698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CAA84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3904B0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1AB01BD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90969DD">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F5BB699">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121EA4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B7C5D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551B3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2259E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67776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DCF22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14E89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594DF4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27B0EBB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87A1F6F">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2FE913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3BE9A4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5E485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DECBE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4CE4D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44860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E4064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DE0C4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1E8AAB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E7E5D8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B7AC2CA">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72DAE5A">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3C415E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1A440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3AC45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35B7C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D968D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B61CD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62162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19BD8A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9BBD00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F7B9FF2">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19CFB7D">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7D11ED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62688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CCDAD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93C37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D3E9E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98ECF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1C638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1DF590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17D87D3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F85C3D0">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C6AD77A">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1D6185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C336A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D55AA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DCFF8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6B82D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9E4DC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70203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26D46E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062B2C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C23FA05">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2F1C94B">
            <w:pPr>
              <w:rPr>
                <w:rFonts w:hint="eastAsia" w:ascii="宋体"/>
                <w:sz w:val="24"/>
                <w:szCs w:val="24"/>
              </w:rPr>
            </w:pPr>
          </w:p>
        </w:tc>
        <w:tc>
          <w:tcPr>
            <w:tcW w:w="3197" w:type="dxa"/>
            <w:tcBorders>
              <w:top w:val="nil"/>
              <w:left w:val="nil"/>
              <w:bottom w:val="outset" w:color="auto" w:sz="8" w:space="0"/>
              <w:right w:val="single" w:color="auto" w:sz="8" w:space="0"/>
            </w:tcBorders>
            <w:shd w:val="clear" w:color="auto" w:fill="auto"/>
            <w:tcMar>
              <w:left w:w="57" w:type="dxa"/>
              <w:right w:w="57" w:type="dxa"/>
            </w:tcMar>
            <w:vAlign w:val="center"/>
          </w:tcPr>
          <w:p w14:paraId="0648CA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0E53CB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14:paraId="7E4B64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14:paraId="64B91F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5F6FCF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13A291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7ADB61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7" w:type="dxa"/>
            <w:tcBorders>
              <w:top w:val="nil"/>
              <w:left w:val="nil"/>
              <w:bottom w:val="outset" w:color="auto" w:sz="8" w:space="0"/>
              <w:right w:val="single" w:color="auto" w:sz="8" w:space="0"/>
            </w:tcBorders>
            <w:shd w:val="clear" w:color="auto" w:fill="auto"/>
            <w:tcMar>
              <w:left w:w="57" w:type="dxa"/>
              <w:right w:w="57" w:type="dxa"/>
            </w:tcMar>
            <w:vAlign w:val="center"/>
          </w:tcPr>
          <w:p w14:paraId="4DEC90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C7A6C3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B4CE045">
            <w:pPr>
              <w:rPr>
                <w:rFonts w:hint="eastAsia" w:ascii="宋体"/>
                <w:sz w:val="24"/>
                <w:szCs w:val="24"/>
              </w:rPr>
            </w:pPr>
          </w:p>
        </w:tc>
        <w:tc>
          <w:tcPr>
            <w:tcW w:w="941"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382281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45210F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AA636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BCBA0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3937C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F809D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3EB46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D9A27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47532D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72F83A7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8E6F5AD">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0113B456">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1381CC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9727A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D8DBB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3A334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F38D8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BCB65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69582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1E42B4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1F4F38D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A75938E">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41C73F2A">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3B3DF1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4B13F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C29AC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0058F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4300F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3E011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7119A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37FCCC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1848DE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8FC5D08">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4EA33D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0D890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7EC15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A64F7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97BD2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CDCBB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036CF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482AF5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2DCCC7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245C2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43566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5DDC0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9A311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977909A">
            <w:pPr>
              <w:jc w:val="center"/>
              <w:rPr>
                <w:rFonts w:hint="eastAsia" w:ascii="宋体" w:hAnsiTheme="minorHAnsi" w:eastAsiaTheme="minorEastAsia" w:cstheme="minorBidi"/>
                <w:kern w:val="2"/>
                <w:sz w:val="24"/>
                <w:szCs w:val="24"/>
                <w:lang w:val="en-US" w:eastAsia="zh-CN" w:bidi="ar-SA"/>
              </w:rPr>
            </w:pPr>
            <w:r>
              <w:rPr>
                <w:rFonts w:hint="eastAsia" w:ascii="宋体"/>
                <w:sz w:val="24"/>
                <w:szCs w:val="24"/>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F3F87F6">
            <w:pPr>
              <w:jc w:val="center"/>
              <w:rPr>
                <w:rFonts w:hint="eastAsia" w:ascii="宋体" w:hAnsiTheme="minorHAnsi" w:eastAsiaTheme="minorEastAsia" w:cstheme="minorBidi"/>
                <w:kern w:val="2"/>
                <w:sz w:val="24"/>
                <w:szCs w:val="24"/>
                <w:lang w:val="en-US" w:eastAsia="zh-CN" w:bidi="ar-SA"/>
              </w:rPr>
            </w:pPr>
            <w:r>
              <w:rPr>
                <w:rFonts w:hint="eastAsia" w:ascii="宋体"/>
                <w:sz w:val="24"/>
                <w:szCs w:val="24"/>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118B186">
            <w:pPr>
              <w:jc w:val="center"/>
              <w:rPr>
                <w:rFonts w:hint="eastAsia" w:ascii="宋体" w:hAnsiTheme="minorHAnsi" w:eastAsiaTheme="minorEastAsia" w:cstheme="minorBidi"/>
                <w:kern w:val="2"/>
                <w:sz w:val="24"/>
                <w:szCs w:val="24"/>
                <w:lang w:val="en-US" w:eastAsia="zh-CN" w:bidi="ar-SA"/>
              </w:rPr>
            </w:pPr>
            <w:r>
              <w:rPr>
                <w:rFonts w:hint="eastAsia" w:ascii="宋体"/>
                <w:sz w:val="24"/>
                <w:szCs w:val="24"/>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77055D2D">
            <w:pPr>
              <w:jc w:val="center"/>
              <w:rPr>
                <w:rFonts w:hint="eastAsia" w:ascii="宋体" w:hAnsiTheme="minorHAnsi" w:eastAsiaTheme="minorEastAsia" w:cstheme="minorBidi"/>
                <w:kern w:val="2"/>
                <w:sz w:val="24"/>
                <w:szCs w:val="24"/>
                <w:lang w:val="en-US" w:eastAsia="zh-CN" w:bidi="ar-SA"/>
              </w:rPr>
            </w:pPr>
            <w:r>
              <w:rPr>
                <w:rFonts w:hint="eastAsia" w:ascii="宋体"/>
                <w:sz w:val="24"/>
                <w:szCs w:val="24"/>
                <w:lang w:val="en-US" w:eastAsia="zh-CN"/>
              </w:rPr>
              <w:t>0</w:t>
            </w:r>
          </w:p>
        </w:tc>
      </w:tr>
    </w:tbl>
    <w:p w14:paraId="096D964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p w14:paraId="5392B90A">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四、政府信息公开行政复议、行政诉讼情况</w:t>
      </w:r>
    </w:p>
    <w:p w14:paraId="100C51F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2"/>
        <w:gridCol w:w="642"/>
        <w:gridCol w:w="642"/>
        <w:gridCol w:w="642"/>
        <w:gridCol w:w="642"/>
        <w:gridCol w:w="643"/>
        <w:gridCol w:w="643"/>
        <w:gridCol w:w="644"/>
        <w:gridCol w:w="644"/>
        <w:gridCol w:w="644"/>
        <w:gridCol w:w="644"/>
        <w:gridCol w:w="644"/>
        <w:gridCol w:w="644"/>
        <w:gridCol w:w="644"/>
        <w:gridCol w:w="744"/>
      </w:tblGrid>
      <w:tr w14:paraId="11A6011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91401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3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CA539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668E1B2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EA356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FC03E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617B7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F30AC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C522F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03B05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32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ED578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15D5D27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B04644D">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FD47FAB">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ED081A2">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BA85B5B">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D113C39">
            <w:pPr>
              <w:rPr>
                <w:rFonts w:hint="eastAsia" w:ascii="宋体"/>
                <w:sz w:val="24"/>
                <w:szCs w:val="24"/>
              </w:rPr>
            </w:pP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AD77A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3E5B9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4AE36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79481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0721C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96A78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9A436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97E57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50511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7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49A07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2A599BE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47397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r>
              <w:rPr>
                <w:rFonts w:ascii="黑体" w:hAnsi="宋体" w:eastAsia="黑体" w:cs="黑体"/>
                <w:kern w:val="0"/>
                <w:sz w:val="20"/>
                <w:szCs w:val="20"/>
                <w:lang w:val="en-US" w:eastAsia="zh-CN" w:bidi="ar"/>
              </w:rPr>
              <w:t>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000A0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4D435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2E3CD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8ED28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0BC7F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47F5C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5A24A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BA60E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4EA61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CA612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B2AE4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EB2BE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34EF4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7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62726E5">
            <w:pPr>
              <w:rPr>
                <w:rFonts w:hint="eastAsia" w:ascii="宋体" w:eastAsiaTheme="minorEastAsia"/>
                <w:sz w:val="24"/>
                <w:szCs w:val="24"/>
                <w:lang w:val="en-US" w:eastAsia="zh-CN"/>
              </w:rPr>
            </w:pPr>
            <w:r>
              <w:rPr>
                <w:rFonts w:hint="eastAsia" w:ascii="宋体"/>
                <w:sz w:val="24"/>
                <w:szCs w:val="24"/>
                <w:lang w:val="en-US" w:eastAsia="zh-CN"/>
              </w:rPr>
              <w:t>0</w:t>
            </w:r>
          </w:p>
        </w:tc>
      </w:tr>
    </w:tbl>
    <w:p w14:paraId="57124DA8">
      <w:pPr>
        <w:keepNext w:val="0"/>
        <w:keepLines w:val="0"/>
        <w:widowControl/>
        <w:suppressLineNumbers w:val="0"/>
        <w:jc w:val="left"/>
      </w:pPr>
    </w:p>
    <w:p w14:paraId="3D2CEC74">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val="0"/>
        <w:bidi w:val="0"/>
        <w:adjustRightInd/>
        <w:snapToGrid/>
        <w:spacing w:before="0" w:beforeAutospacing="0" w:after="0" w:afterAutospacing="0" w:line="600" w:lineRule="exact"/>
        <w:ind w:right="0" w:rightChars="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lang w:eastAsia="zh-CN"/>
        </w:rPr>
        <w:t>五、</w:t>
      </w:r>
      <w:r>
        <w:rPr>
          <w:rFonts w:hint="eastAsia" w:ascii="黑体" w:hAnsi="黑体" w:eastAsia="黑体" w:cs="黑体"/>
          <w:b w:val="0"/>
          <w:bCs/>
          <w:i w:val="0"/>
          <w:caps w:val="0"/>
          <w:color w:val="333333"/>
          <w:spacing w:val="0"/>
          <w:sz w:val="32"/>
          <w:szCs w:val="32"/>
          <w:shd w:val="clear" w:fill="FFFFFF"/>
        </w:rPr>
        <w:t>存在的主要问题及</w:t>
      </w:r>
      <w:r>
        <w:rPr>
          <w:rFonts w:hint="eastAsia" w:ascii="黑体" w:hAnsi="黑体" w:eastAsia="黑体" w:cs="黑体"/>
          <w:b w:val="0"/>
          <w:bCs/>
          <w:i w:val="0"/>
          <w:caps w:val="0"/>
          <w:color w:val="333333"/>
          <w:spacing w:val="0"/>
          <w:sz w:val="32"/>
          <w:szCs w:val="32"/>
          <w:shd w:val="clear" w:fill="FFFFFF"/>
          <w:lang w:eastAsia="zh-CN"/>
        </w:rPr>
        <w:t>改进情况</w:t>
      </w:r>
    </w:p>
    <w:p w14:paraId="1B7014D4">
      <w:pPr>
        <w:pStyle w:val="5"/>
        <w:keepNext w:val="0"/>
        <w:keepLines w:val="0"/>
        <w:pageBreakBefore w:val="0"/>
        <w:widowControl w:val="0"/>
        <w:kinsoku/>
        <w:wordWrap/>
        <w:overflowPunct/>
        <w:topLinePunct w:val="0"/>
        <w:autoSpaceDE/>
        <w:autoSpaceDN/>
        <w:bidi w:val="0"/>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存在的问题：</w:t>
      </w:r>
      <w:r>
        <w:rPr>
          <w:rFonts w:hint="eastAsia" w:ascii="仿宋_GB2312" w:hAnsi="仿宋_GB2312" w:eastAsia="仿宋_GB2312" w:cs="仿宋_GB2312"/>
          <w:sz w:val="32"/>
          <w:szCs w:val="32"/>
        </w:rPr>
        <w:t>信息公开广度深度不足，部分群众关切信息公开不及时、不全面</w:t>
      </w:r>
      <w:r>
        <w:rPr>
          <w:rFonts w:hint="default" w:ascii="仿宋_GB2312" w:hAnsi="仿宋_GB2312" w:eastAsia="仿宋_GB2312" w:cs="仿宋_GB2312"/>
          <w:sz w:val="32"/>
          <w:szCs w:val="32"/>
        </w:rPr>
        <w:t>；政务工作效率</w:t>
      </w:r>
      <w:r>
        <w:rPr>
          <w:rFonts w:hint="eastAsia" w:ascii="仿宋_GB2312" w:hAnsi="仿宋_GB2312" w:eastAsia="仿宋_GB2312" w:cs="仿宋_GB2312"/>
          <w:sz w:val="32"/>
          <w:szCs w:val="32"/>
          <w:lang w:val="en-US" w:eastAsia="zh-CN"/>
        </w:rPr>
        <w:t>不高，速度较慢</w:t>
      </w:r>
      <w:r>
        <w:rPr>
          <w:rFonts w:hint="eastAsia" w:ascii="仿宋_GB2312" w:hAnsi="仿宋_GB2312" w:eastAsia="仿宋_GB2312" w:cs="仿宋_GB2312"/>
          <w:sz w:val="32"/>
          <w:szCs w:val="32"/>
        </w:rPr>
        <w:t>。</w:t>
      </w:r>
    </w:p>
    <w:p w14:paraId="44FE0289">
      <w:pPr>
        <w:pStyle w:val="5"/>
        <w:keepNext w:val="0"/>
        <w:keepLines w:val="0"/>
        <w:pageBreakBefore w:val="0"/>
        <w:widowControl w:val="0"/>
        <w:kinsoku/>
        <w:wordWrap/>
        <w:overflowPunct/>
        <w:topLinePunct w:val="0"/>
        <w:autoSpaceDE/>
        <w:autoSpaceDN/>
        <w:bidi w:val="0"/>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改进情况：一是强化政务人员主动公开意识，定期培训，鼓励挖掘民生等多领域信息，多渠道及时公开</w:t>
      </w:r>
      <w:r>
        <w:rPr>
          <w:rFonts w:hint="eastAsia" w:ascii="仿宋_GB2312" w:hAnsi="仿宋_GB2312" w:eastAsia="仿宋_GB2312" w:cs="仿宋_GB2312"/>
          <w:sz w:val="32"/>
          <w:szCs w:val="32"/>
        </w:rPr>
        <w:t>。二是提升协同能力，打破部门壁垒，梳理优化流程，明确各环节时限，依规办事防拖延，提效增速。</w:t>
      </w:r>
    </w:p>
    <w:p w14:paraId="4F9DC8D5">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六、其他需要报告的事项</w:t>
      </w:r>
    </w:p>
    <w:p w14:paraId="5ABF162A">
      <w:pPr>
        <w:pStyle w:val="5"/>
        <w:keepNext w:val="0"/>
        <w:keepLines w:val="0"/>
        <w:pageBreakBefore w:val="0"/>
        <w:widowControl w:val="0"/>
        <w:kinsoku/>
        <w:wordWrap/>
        <w:overflowPunct/>
        <w:topLinePunct w:val="0"/>
        <w:autoSpaceDE/>
        <w:autoSpaceDN/>
        <w:bidi w:val="0"/>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枣园镇</w:t>
      </w:r>
      <w:r>
        <w:rPr>
          <w:rFonts w:hint="eastAsia" w:ascii="仿宋_GB2312" w:hAnsi="仿宋_GB2312" w:eastAsia="仿宋_GB2312" w:cs="仿宋_GB2312"/>
          <w:sz w:val="32"/>
          <w:szCs w:val="32"/>
        </w:rPr>
        <w:t>认真贯彻执行国务院办公厅《政府信息公开信息处理费管理办法》和《关于政府信息公开处理费管理有关事项的通知》。202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年未收取信息处理费。</w:t>
      </w:r>
    </w:p>
    <w:p w14:paraId="298BCDED">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p>
    <w:p w14:paraId="3AF6A118">
      <w:pPr>
        <w:keepNext w:val="0"/>
        <w:keepLines w:val="0"/>
        <w:pageBreakBefore w:val="0"/>
        <w:widowControl w:val="0"/>
        <w:kinsoku/>
        <w:wordWrap/>
        <w:overflowPunct/>
        <w:topLinePunct w:val="0"/>
        <w:autoSpaceDE/>
        <w:bidi w:val="0"/>
        <w:adjustRightInd/>
        <w:snapToGrid/>
        <w:spacing w:line="600" w:lineRule="exact"/>
        <w:jc w:val="center"/>
        <w:textAlignment w:val="auto"/>
        <w:rPr>
          <w:rFonts w:hint="default"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rPr>
        <w:t xml:space="preserve">                                        枣园镇人民政府</w:t>
      </w:r>
    </w:p>
    <w:p w14:paraId="47DE3AFA"/>
    <w:sectPr>
      <w:headerReference r:id="rId3" w:type="default"/>
      <w:footerReference r:id="rId4" w:type="default"/>
      <w:pgSz w:w="11906" w:h="16838"/>
      <w:pgMar w:top="2098" w:right="1474" w:bottom="1984" w:left="1587"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黑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439EEF50">
    <w:panose1 w:val="02010609060101010101"/>
    <w:charset w:val="86"/>
    <w:family w:val="auto"/>
    <w:pitch w:val="default"/>
    <w:sig w:usb0="00000001"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F15C1">
    <w:pPr>
      <w:pStyle w:val="3"/>
    </w:pPr>
    <w:r>
      <w:rPr>
        <w:sz w:val="18"/>
      </w:rPr>
      <mc:AlternateContent>
        <mc:Choice Requires="wps">
          <w:drawing>
            <wp:anchor distT="0" distB="0" distL="114300" distR="114300" simplePos="0" relativeHeight="251659264" behindDoc="0" locked="0" layoutInCell="1" allowOverlap="1">
              <wp:simplePos x="0" y="0"/>
              <wp:positionH relativeFrom="margin">
                <wp:posOffset>2582545</wp:posOffset>
              </wp:positionH>
              <wp:positionV relativeFrom="paragraph">
                <wp:posOffset>-419735</wp:posOffset>
              </wp:positionV>
              <wp:extent cx="1828800" cy="65659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656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D4F446">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3.35pt;margin-top:-33.05pt;height:51.7pt;width:144pt;mso-position-horizontal-relative:margin;mso-wrap-style:none;z-index:251659264;mso-width-relative:page;mso-height-relative:page;" filled="f" stroked="f" coordsize="21600,21600" o:gfxdata="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MS3ZwvaAAAACgEAAA8AAAAAAAAAAQAgAAAAIgAAAGRycy9kb3du&#10;cmV2LnhtbFBLAQIUABQAAAAIAIdO4kDJAfy0NgIAAGAEAAAOAAAAAAAAAAEAIAAAACkBAABkcnMv&#10;ZTJvRG9jLnhtbFBLBQYAAAAABgAGAFkBAADRBQAAAAA=&#10;">
              <v:fill on="f" focussize="0,0"/>
              <v:stroke on="f" weight="0.5pt"/>
              <v:imagedata o:title=""/>
              <o:lock v:ext="edit" aspectratio="f"/>
              <v:textbox inset="0mm,0mm,0mm,0mm">
                <w:txbxContent>
                  <w:p w14:paraId="40D4F446">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EAEDE3">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341E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9</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2026-01-21T09:35:27Z</dcterms:created>
  <dc:creator>Administrator</dc:creator>
  <cp:lastModifiedBy>杨翠-贵祥广告</cp:lastModifiedBy>
  <dcterms:modified xsi:type="dcterms:W3CDTF">2026-01-21T09:52:02Z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eyJoZGlkIjoiNzdhYWY3ZTNlZWY2MWEyNGYwZTFkMjEzZjE3ZWNlZTUiLCJ1c2VySWQiOiIyNzU0Mjg0OTQifQ==</vt:lpwstr>
  </property>
  <property fmtid="{D5CDD505-2E9C-101B-9397-08002B2CF9AE}" pid="4" name="ICV">
    <vt:lpwstr>A3B6BC27C05C4F6A810562BA089E0B1D_12</vt:lpwstr>
  </property>
</Properties>
</file>