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100E77E">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default" w:ascii="方正小标宋简体" w:hAnsi="方正小标宋简体" w:eastAsia="方正小标宋简体" w:cs="方正小标宋简体"/>
          <w:b w:val="0"/>
          <w:bCs/>
          <w:i w:val="0"/>
          <w:caps w:val="0"/>
          <w:color w:val="333333"/>
          <w:spacing w:val="0"/>
          <w:sz w:val="44"/>
          <w:szCs w:val="44"/>
          <w:shd w:val="clear" w:color="auto" w:fill="FFFFFF"/>
          <w:lang w:val="en-US" w:eastAsia="zh-CN"/>
        </w:rPr>
      </w:pPr>
      <w:r>
        <w:rPr>
          <w:rFonts w:hint="eastAsia" w:ascii="方正小标宋简体" w:hAnsi="方正小标宋简体" w:eastAsia="方正小标宋简体" w:cs="方正小标宋简体"/>
          <w:b w:val="0"/>
          <w:bCs/>
          <w:i w:val="0"/>
          <w:caps w:val="0"/>
          <w:color w:val="333333"/>
          <w:spacing w:val="0"/>
          <w:sz w:val="44"/>
          <w:szCs w:val="44"/>
          <w:shd w:val="clear" w:color="auto" w:fill="FFFFFF"/>
          <w:lang w:val="en-US" w:eastAsia="zh-CN"/>
        </w:rPr>
        <w:t>威县市场监督管理局</w:t>
      </w:r>
    </w:p>
    <w:p w14:paraId="04360675">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方正小标宋简体" w:hAnsi="方正小标宋简体" w:eastAsia="方正小标宋简体" w:cs="方正小标宋简体"/>
          <w:b w:val="0"/>
          <w:bCs/>
          <w:i w:val="0"/>
          <w:caps w:val="0"/>
          <w:color w:val="333333"/>
          <w:spacing w:val="0"/>
          <w:sz w:val="44"/>
          <w:szCs w:val="44"/>
          <w:shd w:val="clear" w:color="auto" w:fill="FFFFFF"/>
        </w:rPr>
      </w:pPr>
      <w:r>
        <w:rPr>
          <w:rFonts w:hint="eastAsia" w:ascii="方正小标宋简体" w:hAnsi="方正小标宋简体" w:eastAsia="方正小标宋简体" w:cs="方正小标宋简体"/>
          <w:b w:val="0"/>
          <w:bCs/>
          <w:i w:val="0"/>
          <w:caps w:val="0"/>
          <w:color w:val="333333"/>
          <w:spacing w:val="0"/>
          <w:sz w:val="44"/>
          <w:szCs w:val="44"/>
          <w:shd w:val="clear" w:color="auto" w:fill="FFFFFF"/>
        </w:rPr>
        <w:t>202</w:t>
      </w:r>
      <w:r>
        <w:rPr>
          <w:rFonts w:hint="eastAsia" w:ascii="方正小标宋简体" w:hAnsi="方正小标宋简体" w:eastAsia="方正小标宋简体" w:cs="方正小标宋简体"/>
          <w:b w:val="0"/>
          <w:bCs/>
          <w:i w:val="0"/>
          <w:caps w:val="0"/>
          <w:color w:val="333333"/>
          <w:spacing w:val="0"/>
          <w:sz w:val="44"/>
          <w:szCs w:val="44"/>
          <w:shd w:val="clear" w:color="auto" w:fill="FFFFFF"/>
          <w:lang w:val="en-US" w:eastAsia="zh-CN"/>
        </w:rPr>
        <w:t>5</w:t>
      </w:r>
      <w:r>
        <w:rPr>
          <w:rFonts w:hint="eastAsia" w:ascii="方正小标宋简体" w:hAnsi="方正小标宋简体" w:eastAsia="方正小标宋简体" w:cs="方正小标宋简体"/>
          <w:b w:val="0"/>
          <w:bCs/>
          <w:i w:val="0"/>
          <w:caps w:val="0"/>
          <w:color w:val="333333"/>
          <w:spacing w:val="0"/>
          <w:sz w:val="44"/>
          <w:szCs w:val="44"/>
          <w:shd w:val="clear" w:color="auto" w:fill="FFFFFF"/>
        </w:rPr>
        <w:t>年政府信息公开工作年度报告</w:t>
      </w:r>
    </w:p>
    <w:p w14:paraId="11809487">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方正小标宋简体" w:hAnsi="方正小标宋简体" w:eastAsia="方正小标宋简体" w:cs="方正小标宋简体"/>
          <w:b w:val="0"/>
          <w:bCs/>
          <w:i w:val="0"/>
          <w:caps w:val="0"/>
          <w:color w:val="333333"/>
          <w:spacing w:val="0"/>
          <w:sz w:val="44"/>
          <w:szCs w:val="44"/>
          <w:shd w:val="clear" w:color="auto" w:fill="FFFFFF"/>
        </w:rPr>
      </w:pPr>
    </w:p>
    <w:p w14:paraId="090278AD">
      <w:pPr>
        <w:keepNext w:val="0"/>
        <w:keepLines w:val="0"/>
        <w:pageBreakBefore w:val="0"/>
        <w:widowControl w:val="0"/>
        <w:kinsoku/>
        <w:wordWrap/>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仿宋_GB2312" w:eastAsia="仿宋_GB2312"/>
          <w:color w:val="000000"/>
          <w:sz w:val="32"/>
          <w:szCs w:val="32"/>
          <w:lang w:val="en-US" w:eastAsia="zh-CN" w:bidi="ar"/>
        </w:rPr>
      </w:pPr>
      <w:r>
        <w:rPr>
          <w:rFonts w:hint="eastAsia" w:ascii="仿宋_GB2312" w:eastAsia="仿宋_GB2312" w:cs="Times New Roman"/>
          <w:sz w:val="32"/>
          <w:szCs w:val="32"/>
          <w:lang w:val="en-US" w:eastAsia="zh-CN"/>
        </w:rPr>
        <w:t>根据《中华人民共和国政府信息公开条例》《河北省实施〈中华人民共和国政府信息公开条例〉办法》等规定，发布本年度报告，报告中所列数据统计期限为2025年1月1日至12月31日。</w:t>
      </w:r>
    </w:p>
    <w:p w14:paraId="492F12BB">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黑体" w:hAnsi="黑体" w:eastAsia="黑体" w:cs="黑体"/>
          <w:b w:val="0"/>
          <w:bCs/>
          <w:i w:val="0"/>
          <w:caps w:val="0"/>
          <w:color w:val="333333"/>
          <w:spacing w:val="0"/>
          <w:sz w:val="32"/>
          <w:szCs w:val="32"/>
          <w:shd w:val="clear" w:color="auto" w:fill="FFFFFF"/>
        </w:rPr>
      </w:pPr>
      <w:r>
        <w:rPr>
          <w:rFonts w:hint="eastAsia" w:ascii="黑体" w:hAnsi="黑体" w:eastAsia="黑体" w:cs="黑体"/>
          <w:b w:val="0"/>
          <w:bCs/>
          <w:i w:val="0"/>
          <w:caps w:val="0"/>
          <w:color w:val="333333"/>
          <w:spacing w:val="0"/>
          <w:sz w:val="32"/>
          <w:szCs w:val="32"/>
          <w:shd w:val="clear" w:color="auto" w:fill="FFFFFF"/>
        </w:rPr>
        <w:t>一、总体情况</w:t>
      </w:r>
    </w:p>
    <w:p w14:paraId="5D58C620">
      <w:pPr>
        <w:pStyle w:val="5"/>
        <w:keepNext w:val="0"/>
        <w:keepLines w:val="0"/>
        <w:pageBreakBefore w:val="0"/>
        <w:widowControl w:val="0"/>
        <w:kinsoku/>
        <w:wordWrap/>
        <w:overflowPunct/>
        <w:topLinePunct w:val="0"/>
        <w:autoSpaceDE/>
        <w:autoSpaceDN/>
        <w:bidi w:val="0"/>
        <w:snapToGrid/>
        <w:spacing w:beforeAutospacing="0" w:afterAutospacing="0"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2025年，威县市场监督管理局坚持以习近平新时代中国特色社会主义思想为指导，深入贯彻落实党中央、国务院关于政务公开工作决策部署和省、市以及县委、县政府工作安排，围绕落实市场监管职能，扎实推进政府信息公开工作规范化、制度化、标准化管理，进一步加强政府信息公开平台建设和教育培训，推进公开责任落实、提升公开服务能力，切实提高政府部门公信力，为市场监管工作接受社会各界和人民群众的监督提供有力保障，为提升威县市场监管工作和服务水平发挥积极作用。</w:t>
      </w:r>
    </w:p>
    <w:p w14:paraId="493356F6">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640" w:firstLineChars="200"/>
        <w:jc w:val="both"/>
        <w:textAlignment w:val="auto"/>
        <w:rPr>
          <w:rFonts w:hint="default" w:ascii="仿宋_GB2312" w:hAnsi="仿宋_GB2312" w:eastAsia="仿宋_GB2312" w:cs="仿宋_GB2312"/>
          <w:kern w:val="0"/>
          <w:sz w:val="32"/>
          <w:szCs w:val="32"/>
          <w:lang w:val="en-US" w:eastAsia="zh-CN" w:bidi="ar"/>
        </w:rPr>
      </w:pPr>
      <w:r>
        <w:rPr>
          <w:rFonts w:hint="eastAsia" w:ascii="楷体_GB2312" w:hAnsi="楷体_GB2312" w:eastAsia="楷体_GB2312" w:cs="楷体_GB2312"/>
          <w:b w:val="0"/>
          <w:bCs w:val="0"/>
          <w:i w:val="0"/>
          <w:caps w:val="0"/>
          <w:color w:val="333333"/>
          <w:spacing w:val="0"/>
          <w:sz w:val="32"/>
          <w:szCs w:val="32"/>
          <w:shd w:val="clear" w:color="auto" w:fill="FFFFFF"/>
        </w:rPr>
        <w:t>（一）</w:t>
      </w:r>
      <w:r>
        <w:rPr>
          <w:rFonts w:hint="eastAsia" w:ascii="楷体_GB2312" w:hAnsi="楷体_GB2312" w:eastAsia="楷体_GB2312" w:cs="楷体_GB2312"/>
          <w:b w:val="0"/>
          <w:bCs w:val="0"/>
          <w:sz w:val="32"/>
          <w:szCs w:val="32"/>
        </w:rPr>
        <w:t>主动公开</w:t>
      </w:r>
      <w:r>
        <w:rPr>
          <w:rFonts w:hint="eastAsia" w:ascii="楷体_GB2312" w:hAnsi="楷体_GB2312" w:eastAsia="楷体_GB2312" w:cs="楷体_GB2312"/>
          <w:b w:val="0"/>
          <w:bCs w:val="0"/>
          <w:sz w:val="32"/>
          <w:szCs w:val="32"/>
          <w:lang w:eastAsia="zh-CN"/>
        </w:rPr>
        <w:t>情况。</w:t>
      </w:r>
      <w:r>
        <w:rPr>
          <w:rFonts w:hint="eastAsia" w:ascii="仿宋_GB2312" w:hAnsi="仿宋_GB2312" w:eastAsia="仿宋_GB2312" w:cs="仿宋_GB2312"/>
          <w:kern w:val="0"/>
          <w:sz w:val="32"/>
          <w:szCs w:val="32"/>
          <w:lang w:val="en-US" w:eastAsia="zh-CN" w:bidi="ar"/>
        </w:rPr>
        <w:t>坚持“公开为常态、不公开为例外”原则，建立健全制度，召开培训会，加大政府信息主动公开力度，不断提升政务公开生命力。2025年，我局在政府网站和信息公开平台公开发布机构信息、政策文件、食品药品安全等方面政务信息56条。全年未发生信息公开失泄密情况。</w:t>
      </w:r>
    </w:p>
    <w:p w14:paraId="0EAD5D15">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仿宋_GB2312" w:hAnsi="仿宋_GB2312" w:eastAsia="仿宋_GB2312" w:cs="仿宋_GB2312"/>
          <w:kern w:val="0"/>
          <w:sz w:val="32"/>
          <w:szCs w:val="32"/>
          <w:lang w:val="en-US" w:eastAsia="zh-CN" w:bidi="ar"/>
        </w:rPr>
      </w:pPr>
      <w:r>
        <w:rPr>
          <w:rFonts w:hint="eastAsia" w:ascii="楷体_GB2312" w:hAnsi="楷体_GB2312" w:eastAsia="楷体_GB2312" w:cs="楷体_GB2312"/>
          <w:b w:val="0"/>
          <w:bCs w:val="0"/>
          <w:kern w:val="2"/>
          <w:sz w:val="32"/>
          <w:szCs w:val="32"/>
          <w:lang w:val="en-US" w:eastAsia="zh-CN" w:bidi="ar-SA"/>
        </w:rPr>
        <w:t>（二）依申请公开情况。</w:t>
      </w:r>
      <w:r>
        <w:rPr>
          <w:rFonts w:hint="eastAsia" w:ascii="仿宋_GB2312" w:hAnsi="仿宋_GB2312" w:eastAsia="仿宋_GB2312" w:cs="仿宋_GB2312"/>
          <w:kern w:val="0"/>
          <w:sz w:val="32"/>
          <w:szCs w:val="32"/>
          <w:lang w:val="en-US" w:eastAsia="zh-CN" w:bidi="ar"/>
        </w:rPr>
        <w:t>今年以来，我局未收到政府信息公开申请。</w:t>
      </w:r>
    </w:p>
    <w:p w14:paraId="007C4AA3">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仿宋_GB2312" w:hAnsi="仿宋_GB2312" w:eastAsia="仿宋_GB2312" w:cs="仿宋_GB2312"/>
          <w:kern w:val="0"/>
          <w:sz w:val="32"/>
          <w:szCs w:val="32"/>
          <w:lang w:val="en-US" w:eastAsia="zh-CN" w:bidi="ar"/>
        </w:rPr>
      </w:pPr>
      <w:r>
        <w:rPr>
          <w:rFonts w:hint="eastAsia" w:ascii="楷体_GB2312" w:hAnsi="楷体_GB2312" w:eastAsia="楷体_GB2312" w:cs="楷体_GB2312"/>
          <w:b w:val="0"/>
          <w:bCs w:val="0"/>
          <w:kern w:val="2"/>
          <w:sz w:val="32"/>
          <w:szCs w:val="32"/>
          <w:lang w:val="en-US" w:eastAsia="zh-CN" w:bidi="ar-SA"/>
        </w:rPr>
        <w:t>（三）政府信息管理情况。</w:t>
      </w:r>
      <w:r>
        <w:rPr>
          <w:rFonts w:hint="eastAsia" w:ascii="仿宋_GB2312" w:hAnsi="仿宋_GB2312" w:eastAsia="仿宋_GB2312" w:cs="仿宋_GB2312"/>
          <w:kern w:val="0"/>
          <w:sz w:val="32"/>
          <w:szCs w:val="32"/>
          <w:lang w:val="en-US" w:eastAsia="zh-CN" w:bidi="ar"/>
        </w:rPr>
        <w:t>我局高度重视政府信息公开工作，对政府信息实现专人负责制，确保政府信息公开各项工作落到实处。建立健全信息安全管理制度，进一步明确信息公开流程、范围、途径，为全面推行政府信息公开，确保网站及时更新提供了坚实的制度保障。严格信息“三审”制度，按照“谁公开、谁负责”和“先审查、后公开”的原则，加强上网信息审核把关，没审核的信息一律不上网，确保信息公开标准化、规范化运行，着力提升政府信息公开质量。</w:t>
      </w:r>
    </w:p>
    <w:p w14:paraId="1FC187D3">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仿宋_GB2312" w:hAnsi="仿宋_GB2312" w:eastAsia="仿宋_GB2312" w:cs="仿宋_GB2312"/>
          <w:kern w:val="0"/>
          <w:sz w:val="32"/>
          <w:szCs w:val="32"/>
          <w:lang w:val="en-US" w:eastAsia="zh-CN" w:bidi="ar"/>
        </w:rPr>
      </w:pPr>
      <w:r>
        <w:rPr>
          <w:rFonts w:hint="eastAsia" w:ascii="楷体_GB2312" w:hAnsi="楷体_GB2312" w:eastAsia="楷体_GB2312" w:cs="楷体_GB2312"/>
          <w:b w:val="0"/>
          <w:bCs w:val="0"/>
          <w:kern w:val="2"/>
          <w:sz w:val="32"/>
          <w:szCs w:val="32"/>
          <w:lang w:val="en-US" w:eastAsia="zh-CN" w:bidi="ar-SA"/>
        </w:rPr>
        <w:t>（四）监督保障情况。</w:t>
      </w:r>
      <w:r>
        <w:rPr>
          <w:rFonts w:hint="eastAsia" w:ascii="仿宋_GB2312" w:hAnsi="仿宋_GB2312" w:eastAsia="仿宋_GB2312" w:cs="仿宋_GB2312"/>
          <w:kern w:val="0"/>
          <w:sz w:val="32"/>
          <w:szCs w:val="32"/>
          <w:lang w:val="en-US" w:eastAsia="zh-CN" w:bidi="ar"/>
        </w:rPr>
        <w:t>我局把政务公开工作全面贯穿于办文办会办事等日常工作中，确保工作分工得到落实。积极参加政务公开工作专题培训，丰富知识，提高认识，不断增长工作本领。</w:t>
      </w:r>
    </w:p>
    <w:p w14:paraId="3C6A0412">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left="0" w:right="0" w:firstLine="640" w:firstLineChars="200"/>
        <w:jc w:val="both"/>
        <w:textAlignment w:val="auto"/>
        <w:rPr>
          <w:rFonts w:hint="eastAsia" w:ascii="黑体" w:hAnsi="黑体" w:eastAsia="黑体" w:cs="黑体"/>
          <w:b w:val="0"/>
          <w:bCs/>
          <w:i w:val="0"/>
          <w:caps w:val="0"/>
          <w:color w:val="333333"/>
          <w:spacing w:val="0"/>
          <w:sz w:val="32"/>
          <w:szCs w:val="32"/>
        </w:rPr>
      </w:pPr>
      <w:r>
        <w:rPr>
          <w:rFonts w:hint="eastAsia" w:ascii="黑体" w:hAnsi="黑体" w:eastAsia="黑体" w:cs="黑体"/>
          <w:b w:val="0"/>
          <w:bCs/>
          <w:i w:val="0"/>
          <w:caps w:val="0"/>
          <w:color w:val="333333"/>
          <w:spacing w:val="0"/>
          <w:sz w:val="32"/>
          <w:szCs w:val="32"/>
          <w:shd w:val="clear" w:fill="FFFFFF"/>
        </w:rPr>
        <w:t>二、主动公开政府信息情况</w:t>
      </w:r>
    </w:p>
    <w:p w14:paraId="1C6DB715">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tbl>
      <w:tblPr>
        <w:tblStyle w:val="6"/>
        <w:tblW w:w="9740" w:type="dxa"/>
        <w:jc w:val="center"/>
        <w:shd w:val="clear" w:color="auto" w:fill="auto"/>
        <w:tblLayout w:type="fixed"/>
        <w:tblCellMar>
          <w:top w:w="0" w:type="dxa"/>
          <w:left w:w="0" w:type="dxa"/>
          <w:bottom w:w="0" w:type="dxa"/>
          <w:right w:w="0" w:type="dxa"/>
        </w:tblCellMar>
      </w:tblPr>
      <w:tblGrid>
        <w:gridCol w:w="2435"/>
        <w:gridCol w:w="2435"/>
        <w:gridCol w:w="2435"/>
        <w:gridCol w:w="2435"/>
      </w:tblGrid>
      <w:tr w14:paraId="78A52E5F">
        <w:tblPrEx>
          <w:tblCellMar>
            <w:top w:w="0" w:type="dxa"/>
            <w:left w:w="0" w:type="dxa"/>
            <w:bottom w:w="0" w:type="dxa"/>
            <w:right w:w="0" w:type="dxa"/>
          </w:tblCellMar>
        </w:tblPrEx>
        <w:trPr>
          <w:trHeight w:val="340" w:hRule="atLeast"/>
          <w:jc w:val="center"/>
        </w:trPr>
        <w:tc>
          <w:tcPr>
            <w:tcW w:w="9740" w:type="dxa"/>
            <w:gridSpan w:val="4"/>
            <w:tcBorders>
              <w:top w:val="single" w:color="auto" w:sz="8" w:space="0"/>
              <w:left w:val="single" w:color="auto" w:sz="8" w:space="0"/>
              <w:bottom w:val="single" w:color="auto" w:sz="8" w:space="0"/>
              <w:right w:val="single" w:color="auto" w:sz="8" w:space="0"/>
            </w:tcBorders>
            <w:shd w:val="clear" w:color="auto" w:fill="C6D9F1"/>
            <w:tcMar>
              <w:left w:w="57" w:type="dxa"/>
              <w:right w:w="57" w:type="dxa"/>
            </w:tcMar>
            <w:vAlign w:val="center"/>
          </w:tcPr>
          <w:p w14:paraId="4AEBFD6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第二十条第（一）项</w:t>
            </w:r>
          </w:p>
        </w:tc>
      </w:tr>
      <w:tr w14:paraId="22D324E9">
        <w:tblPrEx>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0EF6740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11F2643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w:t>
            </w:r>
            <w:r>
              <w:rPr>
                <w:rFonts w:hint="eastAsia" w:ascii="宋体" w:hAnsi="宋体" w:eastAsia="宋体" w:cs="宋体"/>
                <w:kern w:val="0"/>
                <w:sz w:val="20"/>
                <w:szCs w:val="20"/>
                <w:lang w:val="en-US" w:eastAsia="zh-CN" w:bidi="ar"/>
              </w:rPr>
              <w:t>制发件数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70F9D36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本年废止件数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548C96C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现行有效件</w:t>
            </w:r>
            <w:r>
              <w:rPr>
                <w:rFonts w:hint="eastAsia" w:ascii="宋体" w:hAnsi="宋体" w:eastAsia="宋体" w:cs="宋体"/>
                <w:kern w:val="0"/>
                <w:sz w:val="20"/>
                <w:szCs w:val="20"/>
                <w:lang w:val="en-US" w:eastAsia="zh-CN" w:bidi="ar"/>
              </w:rPr>
              <w:t>数</w:t>
            </w:r>
          </w:p>
        </w:tc>
      </w:tr>
      <w:tr w14:paraId="6D158F1F">
        <w:tblPrEx>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4CEBD17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规章</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187AD4A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486433F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28E343A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1"/>
                <w:szCs w:val="21"/>
                <w:lang w:val="en-US" w:eastAsia="zh-CN" w:bidi="ar"/>
              </w:rPr>
              <w:t>0</w:t>
            </w:r>
          </w:p>
        </w:tc>
      </w:tr>
      <w:tr w14:paraId="541D6CCB">
        <w:tblPrEx>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7DC1F53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行政规范性文件</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14E96FA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5D72052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3051115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r>
      <w:tr w14:paraId="0CCF7970">
        <w:tblPrEx>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14:paraId="1746BEA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第二十条第（五）项</w:t>
            </w:r>
          </w:p>
        </w:tc>
      </w:tr>
      <w:tr w14:paraId="239C6C78">
        <w:tblPrEx>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4A8C353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3051D24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本年处理决定数量</w:t>
            </w:r>
          </w:p>
        </w:tc>
      </w:tr>
      <w:tr w14:paraId="0B731AB5">
        <w:tblPrEx>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4FEAD61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行政许可</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0D1E911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1"/>
                <w:szCs w:val="21"/>
                <w:lang w:val="en-US" w:eastAsia="zh-CN" w:bidi="ar"/>
              </w:rPr>
              <w:t>0</w:t>
            </w:r>
          </w:p>
        </w:tc>
      </w:tr>
      <w:tr w14:paraId="3BC343EB">
        <w:tblPrEx>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14:paraId="21F65AB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第二十条第（六）项</w:t>
            </w:r>
          </w:p>
        </w:tc>
      </w:tr>
      <w:tr w14:paraId="043FE766">
        <w:tblPrEx>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51A138B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0713173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本年处理决定数量</w:t>
            </w:r>
          </w:p>
        </w:tc>
      </w:tr>
      <w:tr w14:paraId="5938F549">
        <w:tblPrEx>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276C624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行政处罚</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10FB47F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eastAsiaTheme="minorEastAsia"/>
                <w:lang w:val="en-US" w:eastAsia="zh-CN"/>
              </w:rPr>
            </w:pPr>
            <w:r>
              <w:rPr>
                <w:rFonts w:hint="eastAsia"/>
                <w:lang w:val="en-US" w:eastAsia="zh-CN"/>
              </w:rPr>
              <w:t>22</w:t>
            </w:r>
          </w:p>
        </w:tc>
      </w:tr>
      <w:tr w14:paraId="63B2EDF0">
        <w:tblPrEx>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41F4AE6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行政强制</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5B5AB78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r>
      <w:tr w14:paraId="1DB17018">
        <w:tblPrEx>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14:paraId="4EF8E7F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第二十条第（八）项</w:t>
            </w:r>
          </w:p>
        </w:tc>
      </w:tr>
      <w:tr w14:paraId="26BE6C80">
        <w:tblPrEx>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7B3DF79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14:paraId="0D2D0BE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本年收费金额（单位：万元）</w:t>
            </w:r>
          </w:p>
        </w:tc>
      </w:tr>
      <w:tr w14:paraId="5C240B6E">
        <w:tblPrEx>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592381B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行政事业性收费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14:paraId="1A04A749">
            <w:pPr>
              <w:jc w:val="center"/>
              <w:rPr>
                <w:rFonts w:hint="eastAsia" w:ascii="宋体" w:eastAsiaTheme="minorEastAsia"/>
                <w:sz w:val="24"/>
                <w:szCs w:val="24"/>
                <w:lang w:val="en-US" w:eastAsia="zh-CN"/>
              </w:rPr>
            </w:pPr>
            <w:r>
              <w:rPr>
                <w:rFonts w:hint="eastAsia" w:ascii="宋体"/>
                <w:sz w:val="24"/>
                <w:szCs w:val="24"/>
                <w:lang w:val="en-US" w:eastAsia="zh-CN"/>
              </w:rPr>
              <w:t>0</w:t>
            </w:r>
          </w:p>
        </w:tc>
      </w:tr>
    </w:tbl>
    <w:p w14:paraId="1BBE8BD0">
      <w:pPr>
        <w:keepNext w:val="0"/>
        <w:keepLines w:val="0"/>
        <w:widowControl/>
        <w:suppressLineNumbers w:val="0"/>
        <w:jc w:val="left"/>
      </w:pPr>
    </w:p>
    <w:p w14:paraId="615E4638">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640" w:firstLineChars="200"/>
        <w:jc w:val="both"/>
        <w:rPr>
          <w:rFonts w:hint="eastAsia" w:ascii="黑体" w:hAnsi="黑体" w:eastAsia="黑体" w:cs="黑体"/>
          <w:b w:val="0"/>
          <w:bCs/>
          <w:i w:val="0"/>
          <w:caps w:val="0"/>
          <w:color w:val="333333"/>
          <w:spacing w:val="0"/>
          <w:sz w:val="32"/>
          <w:szCs w:val="32"/>
          <w:shd w:val="clear" w:fill="FFFFFF"/>
        </w:rPr>
      </w:pPr>
      <w:r>
        <w:rPr>
          <w:rFonts w:hint="eastAsia" w:ascii="黑体" w:hAnsi="黑体" w:eastAsia="黑体" w:cs="黑体"/>
          <w:b w:val="0"/>
          <w:bCs/>
          <w:i w:val="0"/>
          <w:caps w:val="0"/>
          <w:color w:val="333333"/>
          <w:spacing w:val="0"/>
          <w:sz w:val="32"/>
          <w:szCs w:val="32"/>
          <w:shd w:val="clear" w:fill="FFFFFF"/>
        </w:rPr>
        <w:t>三、收到和处理政府信息公开申请情况</w:t>
      </w:r>
    </w:p>
    <w:p w14:paraId="0637F84B">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tbl>
      <w:tblPr>
        <w:tblStyle w:val="6"/>
        <w:tblW w:w="9806"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
      <w:tblGrid>
        <w:gridCol w:w="765"/>
        <w:gridCol w:w="941"/>
        <w:gridCol w:w="3197"/>
        <w:gridCol w:w="685"/>
        <w:gridCol w:w="734"/>
        <w:gridCol w:w="734"/>
        <w:gridCol w:w="685"/>
        <w:gridCol w:w="685"/>
        <w:gridCol w:w="685"/>
        <w:gridCol w:w="695"/>
      </w:tblGrid>
      <w:tr w14:paraId="463693B3">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03" w:type="dxa"/>
            <w:gridSpan w:val="3"/>
            <w:vMerge w:val="restart"/>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14:paraId="3D555B6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楷体" w:hAnsi="楷体" w:eastAsia="楷体" w:cs="楷体"/>
                <w:kern w:val="0"/>
                <w:sz w:val="20"/>
                <w:szCs w:val="20"/>
                <w:lang w:val="en-US" w:eastAsia="zh-CN" w:bidi="ar"/>
              </w:rPr>
              <w:t>（本列数据的勾稽关系为：第一项加第二项之和，等于第三项加第四项之和）</w:t>
            </w:r>
          </w:p>
        </w:tc>
        <w:tc>
          <w:tcPr>
            <w:tcW w:w="4903" w:type="dxa"/>
            <w:gridSpan w:val="7"/>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267E5DA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申请人情况</w:t>
            </w:r>
          </w:p>
        </w:tc>
      </w:tr>
      <w:tr w14:paraId="5DFB8E8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03"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14:paraId="5665E576">
            <w:pPr>
              <w:rPr>
                <w:rFonts w:hint="eastAsia" w:ascii="宋体"/>
                <w:sz w:val="24"/>
                <w:szCs w:val="24"/>
              </w:rPr>
            </w:pPr>
          </w:p>
        </w:tc>
        <w:tc>
          <w:tcPr>
            <w:tcW w:w="685" w:type="dxa"/>
            <w:vMerge w:val="restart"/>
            <w:tcBorders>
              <w:top w:val="nil"/>
              <w:left w:val="nil"/>
              <w:bottom w:val="single" w:color="auto" w:sz="8" w:space="0"/>
              <w:right w:val="single" w:color="auto" w:sz="8" w:space="0"/>
            </w:tcBorders>
            <w:shd w:val="clear" w:color="auto" w:fill="auto"/>
            <w:tcMar>
              <w:left w:w="57" w:type="dxa"/>
              <w:right w:w="57" w:type="dxa"/>
            </w:tcMar>
            <w:vAlign w:val="center"/>
          </w:tcPr>
          <w:p w14:paraId="5C6F6D6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自然人</w:t>
            </w:r>
          </w:p>
        </w:tc>
        <w:tc>
          <w:tcPr>
            <w:tcW w:w="3523" w:type="dxa"/>
            <w:gridSpan w:val="5"/>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0B8C07B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法人或其他组织</w:t>
            </w:r>
          </w:p>
        </w:tc>
        <w:tc>
          <w:tcPr>
            <w:tcW w:w="695" w:type="dxa"/>
            <w:vMerge w:val="restart"/>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14:paraId="77F7F32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总计</w:t>
            </w:r>
          </w:p>
        </w:tc>
      </w:tr>
      <w:tr w14:paraId="7CA05CCF">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03"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14:paraId="26271C32">
            <w:pPr>
              <w:rPr>
                <w:rFonts w:hint="eastAsia" w:ascii="宋体"/>
                <w:sz w:val="24"/>
                <w:szCs w:val="24"/>
              </w:rPr>
            </w:pPr>
          </w:p>
        </w:tc>
        <w:tc>
          <w:tcPr>
            <w:tcW w:w="685" w:type="dxa"/>
            <w:vMerge w:val="continue"/>
            <w:tcBorders>
              <w:top w:val="nil"/>
              <w:left w:val="nil"/>
              <w:bottom w:val="single" w:color="auto" w:sz="8" w:space="0"/>
              <w:right w:val="single" w:color="auto" w:sz="8" w:space="0"/>
            </w:tcBorders>
            <w:shd w:val="clear" w:color="auto" w:fill="auto"/>
            <w:tcMar>
              <w:left w:w="57" w:type="dxa"/>
              <w:right w:w="57" w:type="dxa"/>
            </w:tcMar>
            <w:vAlign w:val="center"/>
          </w:tcPr>
          <w:p w14:paraId="646D8440">
            <w:pPr>
              <w:rPr>
                <w:rFonts w:hint="eastAsia" w:ascii="宋体"/>
                <w:sz w:val="24"/>
                <w:szCs w:val="24"/>
              </w:rPr>
            </w:pP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17D4372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00" w:firstLineChars="200"/>
              <w:jc w:val="center"/>
            </w:pPr>
            <w:r>
              <w:rPr>
                <w:rFonts w:hint="eastAsia" w:ascii="宋体" w:hAnsi="宋体" w:eastAsia="宋体" w:cs="宋体"/>
                <w:kern w:val="0"/>
                <w:sz w:val="20"/>
                <w:szCs w:val="20"/>
                <w:lang w:val="en-US" w:eastAsia="zh-CN" w:bidi="ar"/>
              </w:rPr>
              <w:t>商业</w:t>
            </w:r>
          </w:p>
          <w:p w14:paraId="1DC1548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00" w:firstLineChars="200"/>
              <w:jc w:val="center"/>
            </w:pPr>
            <w:r>
              <w:rPr>
                <w:rFonts w:hint="eastAsia" w:ascii="宋体" w:hAnsi="宋体" w:eastAsia="宋体" w:cs="宋体"/>
                <w:kern w:val="0"/>
                <w:sz w:val="20"/>
                <w:szCs w:val="20"/>
                <w:lang w:val="en-US" w:eastAsia="zh-CN" w:bidi="ar"/>
              </w:rPr>
              <w:t>企业</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78F9780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00" w:firstLineChars="200"/>
              <w:jc w:val="center"/>
            </w:pPr>
            <w:r>
              <w:rPr>
                <w:rFonts w:hint="eastAsia" w:ascii="宋体" w:hAnsi="宋体" w:eastAsia="宋体" w:cs="宋体"/>
                <w:kern w:val="0"/>
                <w:sz w:val="20"/>
                <w:szCs w:val="20"/>
                <w:lang w:val="en-US" w:eastAsia="zh-CN" w:bidi="ar"/>
              </w:rPr>
              <w:t>科研</w:t>
            </w:r>
          </w:p>
          <w:p w14:paraId="64D3ABA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00" w:firstLineChars="200"/>
              <w:jc w:val="center"/>
            </w:pPr>
            <w:r>
              <w:rPr>
                <w:rFonts w:hint="eastAsia" w:ascii="宋体" w:hAnsi="宋体" w:eastAsia="宋体" w:cs="宋体"/>
                <w:kern w:val="0"/>
                <w:sz w:val="20"/>
                <w:szCs w:val="20"/>
                <w:lang w:val="en-US" w:eastAsia="zh-CN" w:bidi="ar"/>
              </w:rPr>
              <w:t>机构</w:t>
            </w:r>
          </w:p>
        </w:tc>
        <w:tc>
          <w:tcPr>
            <w:tcW w:w="68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30E1BEC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社会公益组织</w:t>
            </w:r>
          </w:p>
        </w:tc>
        <w:tc>
          <w:tcPr>
            <w:tcW w:w="68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6D9505E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法律服务机构</w:t>
            </w:r>
          </w:p>
        </w:tc>
        <w:tc>
          <w:tcPr>
            <w:tcW w:w="68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104FC8E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其他</w:t>
            </w:r>
          </w:p>
        </w:tc>
        <w:tc>
          <w:tcPr>
            <w:tcW w:w="695" w:type="dxa"/>
            <w:vMerge w:val="continue"/>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14:paraId="55525188">
            <w:pPr>
              <w:rPr>
                <w:rFonts w:hint="eastAsia" w:ascii="宋体"/>
                <w:sz w:val="24"/>
                <w:szCs w:val="24"/>
              </w:rPr>
            </w:pPr>
          </w:p>
        </w:tc>
      </w:tr>
      <w:tr w14:paraId="49038F14">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348" w:hRule="atLeast"/>
          <w:jc w:val="center"/>
        </w:trPr>
        <w:tc>
          <w:tcPr>
            <w:tcW w:w="4903"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25D3F3E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一、本年新收政府信息公开申请数量</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6A91EBC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3B1877F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6FE628F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1C114ED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590696D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54C910A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61B2268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69240643">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03"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15C9EB7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二、上年结转政府信息公开申请数量</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1862906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0E180DE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107E555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1B53B38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67ABBB1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1EAE6AF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6BA7DFA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6B70E69B">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5" w:type="dxa"/>
            <w:vMerge w:val="restart"/>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13BC558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三、本年度办理结果</w:t>
            </w:r>
          </w:p>
        </w:tc>
        <w:tc>
          <w:tcPr>
            <w:tcW w:w="4138"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14:paraId="7D6020B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（一）予以公开</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750FF10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3C6D472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2EDA3CF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190E2F8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18D7F67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7E1F04C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9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762CC48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14:paraId="668917E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415293C7">
            <w:pPr>
              <w:rPr>
                <w:rFonts w:hint="eastAsia" w:ascii="宋体"/>
                <w:sz w:val="24"/>
                <w:szCs w:val="24"/>
              </w:rPr>
            </w:pPr>
          </w:p>
        </w:tc>
        <w:tc>
          <w:tcPr>
            <w:tcW w:w="4138"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14:paraId="0613B3E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（二）部分公开</w:t>
            </w:r>
            <w:r>
              <w:rPr>
                <w:rFonts w:hint="eastAsia" w:ascii="楷体" w:hAnsi="楷体" w:eastAsia="楷体" w:cs="楷体"/>
                <w:kern w:val="0"/>
                <w:sz w:val="20"/>
                <w:szCs w:val="20"/>
                <w:lang w:val="en-US" w:eastAsia="zh-CN" w:bidi="ar"/>
              </w:rPr>
              <w:t>（区分处理的，只计这一情形，不计其他情形）</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2C80696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482FD2D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303A16F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546381B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1477907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432F139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283FA04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14:paraId="71CA0AF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11F3338B">
            <w:pPr>
              <w:rPr>
                <w:rFonts w:hint="eastAsia" w:ascii="宋体"/>
                <w:sz w:val="24"/>
                <w:szCs w:val="24"/>
              </w:rPr>
            </w:pPr>
          </w:p>
        </w:tc>
        <w:tc>
          <w:tcPr>
            <w:tcW w:w="941"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14:paraId="50C7FD9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（三）不予公开</w:t>
            </w: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3DB0E9A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1.属于国家秘密</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14:paraId="73A8999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top"/>
          </w:tcPr>
          <w:p w14:paraId="13EF086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top"/>
          </w:tcPr>
          <w:p w14:paraId="41355DC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14:paraId="09CCAE5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14:paraId="70B4FD5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14:paraId="6DFDB4B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9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696F68E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14:paraId="41894AA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75901926">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61443CDF">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396801A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2.其他法律行政法规禁止公开</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14:paraId="4BE795F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top"/>
          </w:tcPr>
          <w:p w14:paraId="6B41368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top"/>
          </w:tcPr>
          <w:p w14:paraId="56224CE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14:paraId="3359982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14:paraId="38A3744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14:paraId="67F7923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376C3C6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14:paraId="5D89DEF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4CFB89CF">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68B1D0E6">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7BCDA1D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3.危及“三安全一稳定”</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14:paraId="4D28D43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top"/>
          </w:tcPr>
          <w:p w14:paraId="13B9488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top"/>
          </w:tcPr>
          <w:p w14:paraId="3D1A2BF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14:paraId="14A9B95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14:paraId="6F1C929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14:paraId="5BD174F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6F304D9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6EC40AB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3DB5DCEA">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20B86E84">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51598C7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4.保护第三方合法权益</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2698D40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6B9949C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487900E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374DB63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029CE99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1739F8B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5DF43FB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10A1644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7D589EAE">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6855EE68">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1AB2F84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5.属于三类内部事务信息</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4FFFCF2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79D2672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65C1DC5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17C2F06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1C90EC4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5E62240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689B20E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121393E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7CF34FD9">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3D6EAF43">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2F37E8F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6.属于四类过程性信息</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3BEAF86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383EFDE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2AF625E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2981E94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1879CD4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276DD4D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2657D99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14:paraId="5C538E2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1DF59CEF">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1F9FF7F0">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56A123A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7.属于行政执法案卷</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2BD4EDF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0B5EF6A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4A3A86F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4A2E8D6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0A26945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1A951C2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4E495BF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0A836E34">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758A58FA">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2E34D741">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5B682C6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8.属于行政查询事项</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1B40895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7598DE8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1E77816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76E1030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48337B2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2301925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132CD1E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6CFDFE44">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04AEF1AC">
            <w:pPr>
              <w:rPr>
                <w:rFonts w:hint="eastAsia" w:ascii="宋体"/>
                <w:sz w:val="24"/>
                <w:szCs w:val="24"/>
              </w:rPr>
            </w:pPr>
          </w:p>
        </w:tc>
        <w:tc>
          <w:tcPr>
            <w:tcW w:w="941"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14:paraId="3A34A93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（四）无法提供</w:t>
            </w: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4C4F236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1.本机关不掌握相关政府信息</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2F2137C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33BBD4E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3B935D2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1A78596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7166CB5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7B9A6B1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17AD041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43FE0A93">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0E163DCE">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23D27490">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6B43711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2.没有现成信息需要另行制作</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712FB79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428F5DA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63EB37E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0BDA637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15C76EC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615C53C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3BD8955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14:paraId="4A81BE63">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02110371">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743CCA52">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3736688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3.补正后申请内容仍不明确</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3A8EFE3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235C1B8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1B3ED24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3CEF028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39F39DF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54612E1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01EC403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00FB3C5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7F7120EA">
            <w:pPr>
              <w:rPr>
                <w:rFonts w:hint="eastAsia" w:ascii="宋体"/>
                <w:sz w:val="24"/>
                <w:szCs w:val="24"/>
              </w:rPr>
            </w:pPr>
          </w:p>
        </w:tc>
        <w:tc>
          <w:tcPr>
            <w:tcW w:w="941"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14:paraId="1336B0A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（五）不予处理</w:t>
            </w: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5A1D473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1.信访举报投诉类申请</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298FB4B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28C2AE4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0DFD372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1D1326C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2B9CACB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0E6787E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4CC3A95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788EAC0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023C2200">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052F9491">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4F715E7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2.重复申请</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3B7DCE9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7145C28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306E3BC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562AE2F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13F677B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495EB7C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6881E26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68E00E65">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204E5E5D">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4D2CBB0F">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5048783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3.要求提供公开出版物</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08D7E5C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0276532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10C5727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2E3105C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5A89A8B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5A938BF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0B1639B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62FBDF7B">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2D05BCFF">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322D5B81">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6F055ED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4.无正当理由大量反复申请</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660F952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3CE20F8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1302C89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70A6F3C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24FB490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08A5DCF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2CAD656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2502609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779" w:hRule="atLeast"/>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5B433257">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76574093">
            <w:pPr>
              <w:rPr>
                <w:rFonts w:hint="eastAsia" w:ascii="宋体"/>
                <w:sz w:val="24"/>
                <w:szCs w:val="24"/>
              </w:rPr>
            </w:pPr>
          </w:p>
        </w:tc>
        <w:tc>
          <w:tcPr>
            <w:tcW w:w="3197" w:type="dxa"/>
            <w:tcBorders>
              <w:top w:val="nil"/>
              <w:left w:val="nil"/>
              <w:bottom w:val="outset" w:color="auto" w:sz="8" w:space="0"/>
              <w:right w:val="single" w:color="auto" w:sz="8" w:space="0"/>
            </w:tcBorders>
            <w:shd w:val="clear" w:color="auto" w:fill="auto"/>
            <w:tcMar>
              <w:left w:w="57" w:type="dxa"/>
              <w:right w:w="57" w:type="dxa"/>
            </w:tcMar>
            <w:vAlign w:val="center"/>
          </w:tcPr>
          <w:p w14:paraId="7A8376B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5.要求行政机关确认或重新出具已获取信息</w:t>
            </w:r>
          </w:p>
        </w:tc>
        <w:tc>
          <w:tcPr>
            <w:tcW w:w="685" w:type="dxa"/>
            <w:tcBorders>
              <w:top w:val="nil"/>
              <w:left w:val="nil"/>
              <w:bottom w:val="outset" w:color="auto" w:sz="8" w:space="0"/>
              <w:right w:val="single" w:color="auto" w:sz="8" w:space="0"/>
            </w:tcBorders>
            <w:shd w:val="clear" w:color="auto" w:fill="auto"/>
            <w:tcMar>
              <w:left w:w="57" w:type="dxa"/>
              <w:right w:w="57" w:type="dxa"/>
            </w:tcMar>
            <w:vAlign w:val="center"/>
          </w:tcPr>
          <w:p w14:paraId="470AD14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outset" w:color="auto" w:sz="8" w:space="0"/>
              <w:right w:val="single" w:color="auto" w:sz="8" w:space="0"/>
            </w:tcBorders>
            <w:shd w:val="clear" w:color="auto" w:fill="auto"/>
            <w:tcMar>
              <w:left w:w="57" w:type="dxa"/>
              <w:right w:w="57" w:type="dxa"/>
            </w:tcMar>
            <w:vAlign w:val="center"/>
          </w:tcPr>
          <w:p w14:paraId="7DE0454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outset" w:color="auto" w:sz="8" w:space="0"/>
              <w:right w:val="single" w:color="auto" w:sz="8" w:space="0"/>
            </w:tcBorders>
            <w:shd w:val="clear" w:color="auto" w:fill="auto"/>
            <w:tcMar>
              <w:left w:w="57" w:type="dxa"/>
              <w:right w:w="57" w:type="dxa"/>
            </w:tcMar>
            <w:vAlign w:val="center"/>
          </w:tcPr>
          <w:p w14:paraId="358DDE7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outset" w:color="auto" w:sz="8" w:space="0"/>
              <w:right w:val="single" w:color="auto" w:sz="8" w:space="0"/>
            </w:tcBorders>
            <w:shd w:val="clear" w:color="auto" w:fill="auto"/>
            <w:tcMar>
              <w:left w:w="57" w:type="dxa"/>
              <w:right w:w="57" w:type="dxa"/>
            </w:tcMar>
            <w:vAlign w:val="center"/>
          </w:tcPr>
          <w:p w14:paraId="2D0AA54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outset" w:color="auto" w:sz="8" w:space="0"/>
              <w:right w:val="single" w:color="auto" w:sz="8" w:space="0"/>
            </w:tcBorders>
            <w:shd w:val="clear" w:color="auto" w:fill="auto"/>
            <w:tcMar>
              <w:left w:w="57" w:type="dxa"/>
              <w:right w:w="57" w:type="dxa"/>
            </w:tcMar>
            <w:vAlign w:val="center"/>
          </w:tcPr>
          <w:p w14:paraId="576A631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outset" w:color="auto" w:sz="8" w:space="0"/>
              <w:right w:val="single" w:color="auto" w:sz="8" w:space="0"/>
            </w:tcBorders>
            <w:shd w:val="clear" w:color="auto" w:fill="auto"/>
            <w:tcMar>
              <w:left w:w="57" w:type="dxa"/>
              <w:right w:w="57" w:type="dxa"/>
            </w:tcMar>
            <w:vAlign w:val="center"/>
          </w:tcPr>
          <w:p w14:paraId="6519142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outset" w:color="auto" w:sz="8" w:space="0"/>
              <w:right w:val="single" w:color="auto" w:sz="8" w:space="0"/>
            </w:tcBorders>
            <w:shd w:val="clear" w:color="auto" w:fill="auto"/>
            <w:tcMar>
              <w:left w:w="57" w:type="dxa"/>
              <w:right w:w="57" w:type="dxa"/>
            </w:tcMar>
            <w:vAlign w:val="center"/>
          </w:tcPr>
          <w:p w14:paraId="2198AC8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4CF1BA17">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5110D744">
            <w:pPr>
              <w:rPr>
                <w:rFonts w:hint="eastAsia" w:ascii="宋体"/>
                <w:sz w:val="24"/>
                <w:szCs w:val="24"/>
              </w:rPr>
            </w:pPr>
          </w:p>
        </w:tc>
        <w:tc>
          <w:tcPr>
            <w:tcW w:w="941" w:type="dxa"/>
            <w:vMerge w:val="restart"/>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14:paraId="026DD1D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（六）其他处理</w:t>
            </w:r>
          </w:p>
        </w:tc>
        <w:tc>
          <w:tcPr>
            <w:tcW w:w="3197" w:type="dxa"/>
            <w:tcBorders>
              <w:top w:val="nil"/>
              <w:left w:val="nil"/>
              <w:bottom w:val="single" w:color="auto" w:sz="8" w:space="0"/>
              <w:right w:val="single" w:color="auto" w:sz="8" w:space="0"/>
            </w:tcBorders>
            <w:shd w:val="clear" w:color="auto" w:fill="auto"/>
            <w:tcMar>
              <w:left w:w="57" w:type="dxa"/>
              <w:right w:w="57" w:type="dxa"/>
            </w:tcMar>
            <w:vAlign w:val="center"/>
          </w:tcPr>
          <w:p w14:paraId="7F91777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1.申请人无正当理由逾期不补正、行政机关不再处理其政府信息公开申请</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43E6F6F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75E832A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35C5A4F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0D25601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0C19EC7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509A88C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40D8CD1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0D63E595">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1E5B35C6">
            <w:pPr>
              <w:rPr>
                <w:rFonts w:hint="eastAsia" w:ascii="宋体"/>
                <w:sz w:val="24"/>
                <w:szCs w:val="24"/>
              </w:rPr>
            </w:pPr>
          </w:p>
        </w:tc>
        <w:tc>
          <w:tcPr>
            <w:tcW w:w="941"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14:paraId="34A86339">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center"/>
          </w:tcPr>
          <w:p w14:paraId="0C9FA14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2.申请人逾期未按收费通知要求缴纳费用、行政机关不再处理其政府信息公开申请</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1A43AB0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4D46C97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59A975C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5DA9A36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1E7EDC9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291FC09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0A4A58B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4008133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30A336D3">
            <w:pPr>
              <w:rPr>
                <w:rFonts w:hint="eastAsia" w:ascii="宋体"/>
                <w:sz w:val="24"/>
                <w:szCs w:val="24"/>
              </w:rPr>
            </w:pPr>
          </w:p>
        </w:tc>
        <w:tc>
          <w:tcPr>
            <w:tcW w:w="941"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14:paraId="41963DEA">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center"/>
          </w:tcPr>
          <w:p w14:paraId="2DB406F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bookmarkStart w:id="0" w:name="_GoBack"/>
            <w:bookmarkEnd w:id="0"/>
            <w:r>
              <w:rPr>
                <w:rFonts w:hint="eastAsia" w:ascii="宋体" w:hAnsi="宋体" w:eastAsia="宋体" w:cs="宋体"/>
                <w:kern w:val="0"/>
                <w:sz w:val="20"/>
                <w:szCs w:val="20"/>
                <w:lang w:val="en-US" w:eastAsia="zh-CN" w:bidi="ar"/>
              </w:rPr>
              <w:t>3.其他</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7BB8E1F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15AF188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55D810D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3F7FA6E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15502AD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1F16A9A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115759B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4D72E1A3">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50504A5C">
            <w:pPr>
              <w:rPr>
                <w:rFonts w:hint="eastAsia" w:ascii="宋体"/>
                <w:sz w:val="24"/>
                <w:szCs w:val="24"/>
              </w:rPr>
            </w:pPr>
          </w:p>
        </w:tc>
        <w:tc>
          <w:tcPr>
            <w:tcW w:w="4138"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14:paraId="44341B6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（七）总计</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1084651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09337A6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03F23FE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780D25B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4DF43E9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567F29F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742F599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66356F1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03"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6ACC411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四、结转下年度继续办理</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2791269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3BB302D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7AACE37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008CD6C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595A16E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0D26815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7880FBE4">
            <w:pPr>
              <w:jc w:val="center"/>
              <w:rPr>
                <w:rFonts w:hint="eastAsia" w:ascii="宋体" w:eastAsiaTheme="minorEastAsia"/>
                <w:sz w:val="24"/>
                <w:szCs w:val="24"/>
                <w:lang w:val="en-US" w:eastAsia="zh-CN"/>
              </w:rPr>
            </w:pPr>
            <w:r>
              <w:rPr>
                <w:rFonts w:hint="eastAsia" w:ascii="宋体"/>
                <w:sz w:val="24"/>
                <w:szCs w:val="24"/>
                <w:lang w:val="en-US" w:eastAsia="zh-CN"/>
              </w:rPr>
              <w:t>0</w:t>
            </w:r>
          </w:p>
        </w:tc>
      </w:tr>
    </w:tbl>
    <w:p w14:paraId="666CD8E8">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caps w:val="0"/>
          <w:color w:val="333333"/>
          <w:spacing w:val="0"/>
          <w:sz w:val="24"/>
          <w:szCs w:val="24"/>
        </w:rPr>
      </w:pPr>
    </w:p>
    <w:p w14:paraId="40F4D9DE">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640" w:firstLineChars="200"/>
        <w:jc w:val="both"/>
        <w:rPr>
          <w:rFonts w:hint="eastAsia" w:ascii="黑体" w:hAnsi="黑体" w:eastAsia="黑体" w:cs="黑体"/>
          <w:b w:val="0"/>
          <w:bCs/>
          <w:i w:val="0"/>
          <w:caps w:val="0"/>
          <w:color w:val="333333"/>
          <w:spacing w:val="0"/>
          <w:sz w:val="32"/>
          <w:szCs w:val="32"/>
          <w:shd w:val="clear" w:fill="FFFFFF"/>
        </w:rPr>
      </w:pPr>
      <w:r>
        <w:rPr>
          <w:rFonts w:hint="eastAsia" w:ascii="黑体" w:hAnsi="黑体" w:eastAsia="黑体" w:cs="黑体"/>
          <w:b w:val="0"/>
          <w:bCs/>
          <w:i w:val="0"/>
          <w:caps w:val="0"/>
          <w:color w:val="333333"/>
          <w:spacing w:val="0"/>
          <w:sz w:val="32"/>
          <w:szCs w:val="32"/>
          <w:shd w:val="clear" w:fill="FFFFFF"/>
        </w:rPr>
        <w:t>四、政府信息公开行政复议、行政诉讼情况</w:t>
      </w:r>
    </w:p>
    <w:p w14:paraId="24CD61BD">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caps w:val="0"/>
          <w:color w:val="333333"/>
          <w:spacing w:val="0"/>
          <w:sz w:val="24"/>
          <w:szCs w:val="24"/>
        </w:rPr>
      </w:pPr>
    </w:p>
    <w:tbl>
      <w:tblPr>
        <w:tblStyle w:val="6"/>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
      <w:tblGrid>
        <w:gridCol w:w="642"/>
        <w:gridCol w:w="642"/>
        <w:gridCol w:w="642"/>
        <w:gridCol w:w="642"/>
        <w:gridCol w:w="642"/>
        <w:gridCol w:w="643"/>
        <w:gridCol w:w="643"/>
        <w:gridCol w:w="644"/>
        <w:gridCol w:w="644"/>
        <w:gridCol w:w="644"/>
        <w:gridCol w:w="644"/>
        <w:gridCol w:w="644"/>
        <w:gridCol w:w="644"/>
        <w:gridCol w:w="644"/>
        <w:gridCol w:w="744"/>
      </w:tblGrid>
      <w:tr w14:paraId="50A4079F">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3210"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266A31C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行政复议</w:t>
            </w:r>
          </w:p>
        </w:tc>
        <w:tc>
          <w:tcPr>
            <w:tcW w:w="6538" w:type="dxa"/>
            <w:gridSpan w:val="10"/>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018B539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行政诉讼</w:t>
            </w:r>
          </w:p>
        </w:tc>
      </w:tr>
      <w:tr w14:paraId="4BA6B877">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642"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227095F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结果维持</w:t>
            </w:r>
          </w:p>
        </w:tc>
        <w:tc>
          <w:tcPr>
            <w:tcW w:w="642"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0BBECEE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147A20B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其他</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结果</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1DFFD0C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3118972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总计</w:t>
            </w:r>
          </w:p>
        </w:tc>
        <w:tc>
          <w:tcPr>
            <w:tcW w:w="3218"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2D77928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未经复议直接起诉</w:t>
            </w:r>
          </w:p>
        </w:tc>
        <w:tc>
          <w:tcPr>
            <w:tcW w:w="3320"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014701D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复议后起诉</w:t>
            </w:r>
          </w:p>
        </w:tc>
      </w:tr>
      <w:tr w14:paraId="10D4CC17">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642"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119DE6DD">
            <w:pPr>
              <w:rPr>
                <w:rFonts w:hint="eastAsia" w:ascii="宋体"/>
                <w:sz w:val="24"/>
                <w:szCs w:val="24"/>
              </w:rPr>
            </w:pPr>
          </w:p>
        </w:tc>
        <w:tc>
          <w:tcPr>
            <w:tcW w:w="642"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57C7E7E9">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494CDD18">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4F03F5A8">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1A1D9BAF">
            <w:pPr>
              <w:rPr>
                <w:rFonts w:hint="eastAsia" w:ascii="宋体"/>
                <w:sz w:val="24"/>
                <w:szCs w:val="24"/>
              </w:rPr>
            </w:pP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42CB1C8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维持</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68F2335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4F36723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其他</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结果</w:t>
            </w:r>
          </w:p>
        </w:tc>
        <w:tc>
          <w:tcPr>
            <w:tcW w:w="6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7AEEDA3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6FA3D6E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c>
          <w:tcPr>
            <w:tcW w:w="6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6B21A07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维持</w:t>
            </w:r>
          </w:p>
        </w:tc>
        <w:tc>
          <w:tcPr>
            <w:tcW w:w="6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27EA509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70A81F3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其他</w:t>
            </w:r>
            <w:r>
              <w:rPr>
                <w:rFonts w:hint="eastAsia" w:ascii="宋体" w:hAnsi="宋体" w:eastAsia="宋体" w:cs="宋体"/>
                <w:color w:val="000000"/>
                <w:kern w:val="0"/>
                <w:sz w:val="20"/>
                <w:szCs w:val="20"/>
                <w:lang w:val="en-US" w:eastAsia="zh-CN" w:bidi="ar"/>
              </w:rPr>
              <w:br w:type="textWrapping"/>
            </w:r>
            <w:r>
              <w:rPr>
                <w:rFonts w:hint="eastAsia" w:ascii="宋体" w:hAnsi="宋体" w:eastAsia="宋体" w:cs="宋体"/>
                <w:color w:val="000000"/>
                <w:kern w:val="0"/>
                <w:sz w:val="20"/>
                <w:szCs w:val="20"/>
                <w:lang w:val="en-US" w:eastAsia="zh-CN" w:bidi="ar"/>
              </w:rPr>
              <w:t>结果</w:t>
            </w:r>
          </w:p>
        </w:tc>
        <w:tc>
          <w:tcPr>
            <w:tcW w:w="6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258BDDA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7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7C9F671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r>
      <w:tr w14:paraId="70971F6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672" w:hRule="atLeast"/>
          <w:jc w:val="center"/>
        </w:trPr>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408793D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097EDC9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277DE2E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7F0284C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468D8F8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449016F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59F345B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1494241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75D416A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129C074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7326115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04DE0E1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7C90627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0E0618F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7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2C257213">
            <w:pPr>
              <w:rPr>
                <w:rFonts w:hint="eastAsia" w:ascii="宋体" w:eastAsiaTheme="minorEastAsia"/>
                <w:sz w:val="24"/>
                <w:szCs w:val="24"/>
                <w:lang w:val="en-US" w:eastAsia="zh-CN"/>
              </w:rPr>
            </w:pPr>
            <w:r>
              <w:rPr>
                <w:rFonts w:hint="eastAsia" w:ascii="宋体"/>
                <w:sz w:val="24"/>
                <w:szCs w:val="24"/>
                <w:lang w:val="en-US" w:eastAsia="zh-CN"/>
              </w:rPr>
              <w:t>0</w:t>
            </w:r>
          </w:p>
        </w:tc>
      </w:tr>
    </w:tbl>
    <w:p w14:paraId="24A3132D">
      <w:pPr>
        <w:keepNext w:val="0"/>
        <w:keepLines w:val="0"/>
        <w:widowControl/>
        <w:suppressLineNumbers w:val="0"/>
        <w:jc w:val="left"/>
      </w:pPr>
    </w:p>
    <w:p w14:paraId="1A9BE47E">
      <w:pPr>
        <w:pStyle w:val="5"/>
        <w:keepNext w:val="0"/>
        <w:keepLines w:val="0"/>
        <w:pageBreakBefore w:val="0"/>
        <w:widowControl w:val="0"/>
        <w:numPr>
          <w:ilvl w:val="0"/>
          <w:numId w:val="0"/>
        </w:numPr>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val="0"/>
        <w:bidi w:val="0"/>
        <w:adjustRightInd/>
        <w:snapToGrid/>
        <w:spacing w:before="0" w:beforeAutospacing="0" w:after="0" w:afterAutospacing="0" w:line="600" w:lineRule="exact"/>
        <w:ind w:right="0" w:rightChars="0" w:firstLine="640" w:firstLineChars="200"/>
        <w:jc w:val="both"/>
        <w:textAlignment w:val="auto"/>
        <w:rPr>
          <w:rFonts w:hint="eastAsia" w:ascii="黑体" w:hAnsi="黑体" w:eastAsia="黑体" w:cs="黑体"/>
          <w:b w:val="0"/>
          <w:bCs/>
          <w:i w:val="0"/>
          <w:caps w:val="0"/>
          <w:color w:val="333333"/>
          <w:spacing w:val="0"/>
          <w:sz w:val="32"/>
          <w:szCs w:val="32"/>
          <w:shd w:val="clear" w:fill="FFFFFF"/>
        </w:rPr>
      </w:pPr>
      <w:r>
        <w:rPr>
          <w:rFonts w:hint="eastAsia" w:ascii="黑体" w:hAnsi="黑体" w:eastAsia="黑体" w:cs="黑体"/>
          <w:b w:val="0"/>
          <w:bCs/>
          <w:i w:val="0"/>
          <w:caps w:val="0"/>
          <w:color w:val="333333"/>
          <w:spacing w:val="0"/>
          <w:sz w:val="32"/>
          <w:szCs w:val="32"/>
          <w:shd w:val="clear" w:fill="FFFFFF"/>
          <w:lang w:eastAsia="zh-CN"/>
        </w:rPr>
        <w:t>五、</w:t>
      </w:r>
      <w:r>
        <w:rPr>
          <w:rFonts w:hint="eastAsia" w:ascii="黑体" w:hAnsi="黑体" w:eastAsia="黑体" w:cs="黑体"/>
          <w:b w:val="0"/>
          <w:bCs/>
          <w:i w:val="0"/>
          <w:caps w:val="0"/>
          <w:color w:val="333333"/>
          <w:spacing w:val="0"/>
          <w:sz w:val="32"/>
          <w:szCs w:val="32"/>
          <w:shd w:val="clear" w:fill="FFFFFF"/>
        </w:rPr>
        <w:t>存在的主要问题及</w:t>
      </w:r>
      <w:r>
        <w:rPr>
          <w:rFonts w:hint="eastAsia" w:ascii="黑体" w:hAnsi="黑体" w:eastAsia="黑体" w:cs="黑体"/>
          <w:b w:val="0"/>
          <w:bCs/>
          <w:i w:val="0"/>
          <w:caps w:val="0"/>
          <w:color w:val="333333"/>
          <w:spacing w:val="0"/>
          <w:sz w:val="32"/>
          <w:szCs w:val="32"/>
          <w:shd w:val="clear" w:fill="FFFFFF"/>
          <w:lang w:eastAsia="zh-CN"/>
        </w:rPr>
        <w:t>改进情况</w:t>
      </w:r>
    </w:p>
    <w:p w14:paraId="5EADCDE4">
      <w:pPr>
        <w:keepNext w:val="0"/>
        <w:keepLines w:val="0"/>
        <w:pageBreakBefore w:val="0"/>
        <w:widowControl w:val="0"/>
        <w:kinsoku/>
        <w:wordWrap/>
        <w:overflowPunct/>
        <w:topLinePunct w:val="0"/>
        <w:autoSpaceDE/>
        <w:bidi w:val="0"/>
        <w:adjustRightInd/>
        <w:snapToGrid/>
        <w:spacing w:line="60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我局将继续抓好政务公开工作，一是加大对国家局、省局相关政策文件和政策解读的转载力度。二是进一步规范和拓宽主动公开的内容，将食品药品安全监管工作，放心消费、公平竞争等工作信息内容将进一步丰富，并利用新媒体，扩大公开的影响力。</w:t>
      </w:r>
    </w:p>
    <w:p w14:paraId="434C358A">
      <w:pPr>
        <w:keepNext w:val="0"/>
        <w:keepLines w:val="0"/>
        <w:pageBreakBefore w:val="0"/>
        <w:widowControl w:val="0"/>
        <w:kinsoku/>
        <w:wordWrap/>
        <w:overflowPunct/>
        <w:topLinePunct w:val="0"/>
        <w:autoSpaceDE/>
        <w:bidi w:val="0"/>
        <w:adjustRightInd/>
        <w:snapToGrid/>
        <w:spacing w:line="60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六、其他需要报告的事项</w:t>
      </w:r>
    </w:p>
    <w:p w14:paraId="15EBCAC1">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认真贯彻执行国务院办公厅《政府信息公开信息处理费管理办法》</w:t>
      </w:r>
      <w:r>
        <w:rPr>
          <w:rFonts w:hint="eastAsia" w:ascii="仿宋_GB2312" w:hAnsi="仿宋_GB2312" w:eastAsia="仿宋_GB2312" w:cs="仿宋_GB2312"/>
          <w:sz w:val="32"/>
          <w:szCs w:val="32"/>
          <w:lang w:eastAsia="zh-CN"/>
        </w:rPr>
        <w:t>和</w:t>
      </w:r>
      <w:r>
        <w:rPr>
          <w:rFonts w:hint="eastAsia" w:ascii="仿宋_GB2312" w:hAnsi="仿宋_GB2312" w:eastAsia="仿宋_GB2312" w:cs="仿宋_GB2312"/>
          <w:sz w:val="32"/>
          <w:szCs w:val="32"/>
        </w:rPr>
        <w:t>《关于政府信息公开处理费管理有关事项的通知》。202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年未收取信息处理费。</w:t>
      </w:r>
    </w:p>
    <w:p w14:paraId="609CD02E">
      <w:pPr>
        <w:keepNext w:val="0"/>
        <w:keepLines w:val="0"/>
        <w:pageBreakBefore w:val="0"/>
        <w:widowControl w:val="0"/>
        <w:kinsoku/>
        <w:wordWrap/>
        <w:overflowPunct/>
        <w:topLinePunct w:val="0"/>
        <w:autoSpaceDE/>
        <w:bidi w:val="0"/>
        <w:adjustRightInd/>
        <w:snapToGrid/>
        <w:spacing w:line="600" w:lineRule="exact"/>
        <w:jc w:val="right"/>
        <w:textAlignment w:val="auto"/>
        <w:rPr>
          <w:rFonts w:hint="eastAsia" w:ascii="仿宋_GB2312" w:hAnsi="仿宋_GB2312" w:eastAsia="仿宋_GB2312" w:cs="仿宋_GB2312"/>
          <w:sz w:val="32"/>
          <w:szCs w:val="32"/>
        </w:rPr>
      </w:pPr>
    </w:p>
    <w:p w14:paraId="690D1260">
      <w:pPr>
        <w:keepNext w:val="0"/>
        <w:keepLines w:val="0"/>
        <w:pageBreakBefore w:val="0"/>
        <w:widowControl w:val="0"/>
        <w:kinsoku/>
        <w:wordWrap/>
        <w:overflowPunct/>
        <w:topLinePunct w:val="0"/>
        <w:autoSpaceDE/>
        <w:bidi w:val="0"/>
        <w:adjustRightInd/>
        <w:snapToGrid/>
        <w:spacing w:line="600" w:lineRule="exact"/>
        <w:jc w:val="right"/>
        <w:textAlignment w:val="auto"/>
        <w:rPr>
          <w:rFonts w:hint="eastAsia" w:ascii="仿宋_GB2312" w:hAnsi="仿宋_GB2312" w:eastAsia="仿宋_GB2312" w:cs="仿宋_GB2312"/>
          <w:sz w:val="32"/>
          <w:szCs w:val="32"/>
        </w:rPr>
      </w:pPr>
    </w:p>
    <w:p w14:paraId="580D59C3">
      <w:pPr>
        <w:keepNext w:val="0"/>
        <w:keepLines w:val="0"/>
        <w:pageBreakBefore w:val="0"/>
        <w:widowControl w:val="0"/>
        <w:kinsoku/>
        <w:wordWrap w:val="0"/>
        <w:overflowPunct/>
        <w:topLinePunct w:val="0"/>
        <w:autoSpaceDE/>
        <w:bidi w:val="0"/>
        <w:adjustRightInd/>
        <w:snapToGrid/>
        <w:spacing w:line="600" w:lineRule="exact"/>
        <w:jc w:val="right"/>
        <w:textAlignment w:val="auto"/>
        <w:rPr>
          <w:rFonts w:hint="default"/>
          <w:lang w:val="en-US" w:eastAsia="zh-CN"/>
        </w:rPr>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lang w:val="en-US" w:eastAsia="zh-CN"/>
        </w:rPr>
        <w:t>13</w:t>
      </w:r>
      <w:r>
        <w:rPr>
          <w:rFonts w:hint="eastAsia" w:ascii="仿宋_GB2312" w:hAnsi="仿宋_GB2312" w:eastAsia="仿宋_GB2312" w:cs="仿宋_GB2312"/>
          <w:sz w:val="32"/>
          <w:szCs w:val="32"/>
        </w:rPr>
        <w:t>日</w:t>
      </w:r>
      <w:r>
        <w:rPr>
          <w:rFonts w:hint="eastAsia" w:ascii="仿宋_GB2312" w:hAnsi="仿宋_GB2312" w:eastAsia="仿宋_GB2312" w:cs="仿宋_GB2312"/>
          <w:sz w:val="32"/>
          <w:szCs w:val="32"/>
          <w:lang w:val="en-US" w:eastAsia="zh-CN"/>
        </w:rPr>
        <w:t xml:space="preserve"> </w:t>
      </w:r>
    </w:p>
    <w:p w14:paraId="273D737F">
      <w:pPr>
        <w:keepNext w:val="0"/>
        <w:keepLines w:val="0"/>
        <w:pageBreakBefore w:val="0"/>
        <w:widowControl w:val="0"/>
        <w:kinsoku/>
        <w:wordWrap/>
        <w:overflowPunct/>
        <w:topLinePunct w:val="0"/>
        <w:autoSpaceDE/>
        <w:bidi w:val="0"/>
        <w:adjustRightInd/>
        <w:snapToGrid/>
        <w:spacing w:line="600" w:lineRule="exact"/>
        <w:jc w:val="right"/>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威县市场监督管理局</w:t>
      </w:r>
    </w:p>
    <w:sectPr>
      <w:headerReference r:id="rId3" w:type="default"/>
      <w:footerReference r:id="rId4" w:type="default"/>
      <w:pgSz w:w="11906" w:h="16838"/>
      <w:pgMar w:top="2098" w:right="1474" w:bottom="1984" w:left="1587" w:header="851" w:footer="992" w:gutter="0"/>
      <w:pgNumType w:fmt="numberInDash"/>
      <w:cols w:space="0" w:num="1"/>
      <w:rtlGutter w:val="0"/>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50"/>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1555A0">
    <w:pPr>
      <w:pStyle w:val="3"/>
    </w:pPr>
    <w:r>
      <w:rPr>
        <w:sz w:val="18"/>
      </w:rPr>
      <mc:AlternateContent>
        <mc:Choice Requires="wps">
          <w:drawing>
            <wp:anchor distT="0" distB="0" distL="114300" distR="114300" simplePos="0" relativeHeight="251659264" behindDoc="0" locked="0" layoutInCell="1" allowOverlap="1">
              <wp:simplePos x="0" y="0"/>
              <wp:positionH relativeFrom="margin">
                <wp:posOffset>2582545</wp:posOffset>
              </wp:positionH>
              <wp:positionV relativeFrom="paragraph">
                <wp:posOffset>-419735</wp:posOffset>
              </wp:positionV>
              <wp:extent cx="1828800" cy="65659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6565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6FB3C44">
                          <w:pPr>
                            <w:pStyle w:val="3"/>
                            <w:rPr>
                              <w:rFonts w:hint="eastAsia" w:eastAsiaTheme="minorEastAsia"/>
                              <w:lang w:eastAsia="zh-CN"/>
                            </w:rPr>
                          </w:pP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1</w:t>
                          </w:r>
                          <w:r>
                            <w:rPr>
                              <w:rFonts w:hint="eastAsia" w:ascii="宋体" w:hAnsi="宋体" w:eastAsia="宋体" w:cs="宋体"/>
                              <w:sz w:val="28"/>
                              <w:szCs w:val="2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noAutofit/>
                    </wps:bodyPr>
                  </wps:wsp>
                </a:graphicData>
              </a:graphic>
            </wp:anchor>
          </w:drawing>
        </mc:Choice>
        <mc:Fallback>
          <w:pict>
            <v:shape id="_x0000_s1026" o:spid="_x0000_s1026" o:spt="202" type="#_x0000_t202" style="position:absolute;left:0pt;margin-left:203.35pt;margin-top:-33.05pt;height:51.7pt;width:144pt;mso-position-horizontal-relative:margin;mso-wrap-style:none;z-index:251659264;mso-width-relative:page;mso-height-relative:page;" filled="f" stroked="f" coordsize="21600,21600" o:gfxdata="UEsDBAoAAAAAAIdO4kAAAAAAAAAAAAAAAAAEAAAAZHJzL1BLAwQUAAAACACHTuJAxLdnC9oAAAAK&#10;AQAADwAAAGRycy9kb3ducmV2LnhtbE2Py07DMBBF90j8gzVI7Fo7NLgQMqkQEt2wanhI7Nx4mkT4&#10;EcVuE/h6zKosZ+bozrnlZraGnWgMvXcI2VIAI9d43bsW4e31eXEHLETltDLeEcI3BdhUlxelKrSf&#10;3I5OdWxZCnGhUAhdjEPBeWg6sios/UAu3Q5+tCqmcWy5HtWUwq3hN0JIblXv0odODfTUUfNVHy3C&#10;dv75yF/Gz2hqtWtu3+1je9hOiNdXmXgAFmmOZxj+9JM6VMlp749OB2YQciHXCUVYSJkBS4S8z9Nm&#10;j7Bar4BXJf9fofoFUEsDBBQAAAAIAIdO4kDJAfy0NgIAAGAEAAAOAAAAZHJzL2Uyb0RvYy54bWyt&#10;VM1uEzEQviPxDpbvZNPQViHqpgqNgpAqWikgzo7Xm7XkP9lOd8MDwBtw4sKd58pz8NmbTVHh0AMX&#10;Z9Yz8818n2dydd1pRR6ED9Kakp6NxpQIw20lzbaknz6uXk0pCZGZiilrREn3ItDr+csXV62biYlt&#10;rKqEJwAxYda6kjYxullRBN4IzcLIOmHgrK3XLOLTb4vKsxboWhWT8fiyaK2vnLdchIDbZe+kR0T/&#10;HEBb15KLpeU7LUzsUb1QLIJSaKQLdJ67rWvB411dBxGJKimYxnyiCOxNOov5FZttPXON5McW2HNa&#10;eMJJM2lQ9AS1ZJGRnZd/QWnJvQ22jiNuddETyYqAxdn4iTbrhjmRuUDq4E6ih/8Hyz883Hsiq5Ke&#10;U2KYxoMfvn87/Ph1+PmVnCd5WhdmiFo7xMXure0wNMN9wGVi3dVep1/wIfBD3P1JXNFFwlPSdDKd&#10;juHi8F1eXF68yeoXj9nOh/hOWE2SUVKPx8uasofbENEJQoeQVMzYlVQqP6AypAXo64txTjh5kKEM&#10;EhOHvtdkxW7THYltbLUHL2/7wQiOrySK37IQ75nHJKBf7Eq8w1EriyL2aFHSWP/lX/cpHg8ELyUt&#10;JqukBotEiXpv8HAAjIPhB2MzGGanbyxG9Qw76Hg2keCjGszaW/0ZC7RINeBihqNSSeNg3sR+urGA&#10;XCwWOWjnvNw2fQLGzrF4a9aOpzK9kItdtLXMGieBelWOumHwsvTHJUmT/ed3jnr8Y5j/Bl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KkEAABbQ29u&#10;dGVudF9UeXBlc10ueG1sUEsBAhQACgAAAAAAh07iQAAAAAAAAAAAAAAAAAYAAAAAAAAAAAAQAAAA&#10;iwMAAF9yZWxzL1BLAQIUABQAAAAIAIdO4kCKFGY80QAAAJQBAAALAAAAAAAAAAEAIAAAAK8DAABf&#10;cmVscy8ucmVsc1BLAQIUAAoAAAAAAIdO4kAAAAAAAAAAAAAAAAAEAAAAAAAAAAAAEAAAAAAAAABk&#10;cnMvUEsBAhQAFAAAAAgAh07iQMS3ZwvaAAAACgEAAA8AAAAAAAAAAQAgAAAAIgAAAGRycy9kb3du&#10;cmV2LnhtbFBLAQIUABQAAAAIAIdO4kDJAfy0NgIAAGAEAAAOAAAAAAAAAAEAIAAAACkBAABkcnMv&#10;ZTJvRG9jLnhtbFBLBQYAAAAABgAGAFkBAADRBQAAAAA=&#10;">
              <v:fill on="f" focussize="0,0"/>
              <v:stroke on="f" weight="0.5pt"/>
              <v:imagedata o:title=""/>
              <o:lock v:ext="edit" aspectratio="f"/>
              <v:textbox inset="0mm,0mm,0mm,0mm">
                <w:txbxContent>
                  <w:p w14:paraId="06FB3C44">
                    <w:pPr>
                      <w:pStyle w:val="3"/>
                      <w:rPr>
                        <w:rFonts w:hint="eastAsia" w:eastAsiaTheme="minorEastAsia"/>
                        <w:lang w:eastAsia="zh-CN"/>
                      </w:rPr>
                    </w:pP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1</w:t>
                    </w:r>
                    <w:r>
                      <w:rPr>
                        <w:rFonts w:hint="eastAsia" w:ascii="宋体" w:hAnsi="宋体" w:eastAsia="宋体" w:cs="宋体"/>
                        <w:sz w:val="28"/>
                        <w:szCs w:val="28"/>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BC40F9">
    <w:pPr>
      <w:pStyle w:val="4"/>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VerticalSpacing w:val="159"/>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VmZDYwODljY2Y2OWQ5ZTAyOWI4OWVjMjM3NjkzODQifQ=="/>
  </w:docVars>
  <w:rsids>
    <w:rsidRoot w:val="008A46C4"/>
    <w:rsid w:val="008A46C4"/>
    <w:rsid w:val="03D53AB8"/>
    <w:rsid w:val="05A86874"/>
    <w:rsid w:val="0AEF04FA"/>
    <w:rsid w:val="101C7A8D"/>
    <w:rsid w:val="182D35C9"/>
    <w:rsid w:val="198B7C78"/>
    <w:rsid w:val="1CAF5E68"/>
    <w:rsid w:val="20044712"/>
    <w:rsid w:val="2BC446DC"/>
    <w:rsid w:val="2DB271AD"/>
    <w:rsid w:val="303834AB"/>
    <w:rsid w:val="329D5EB5"/>
    <w:rsid w:val="37120160"/>
    <w:rsid w:val="37ED04CC"/>
    <w:rsid w:val="3AC27A19"/>
    <w:rsid w:val="41840E02"/>
    <w:rsid w:val="491B727C"/>
    <w:rsid w:val="4E1F576D"/>
    <w:rsid w:val="53A51C8F"/>
    <w:rsid w:val="564A1575"/>
    <w:rsid w:val="564C7C4C"/>
    <w:rsid w:val="56DC7C88"/>
    <w:rsid w:val="5979504A"/>
    <w:rsid w:val="62E67E08"/>
    <w:rsid w:val="6E5925E0"/>
    <w:rsid w:val="6E920EDB"/>
    <w:rsid w:val="6F4D7E96"/>
    <w:rsid w:val="73A9585E"/>
    <w:rsid w:val="73FD28CA"/>
    <w:rsid w:val="78F273FF"/>
    <w:rsid w:val="7E716C6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Normal Indent"/>
    <w:basedOn w:val="1"/>
    <w:next w:val="1"/>
    <w:qFormat/>
    <w:uiPriority w:val="0"/>
    <w:pPr>
      <w:ind w:firstLine="420"/>
    </w:pPr>
    <w:rPr>
      <w:szCs w:val="21"/>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Normal (Web)"/>
    <w:basedOn w:val="1"/>
    <w:autoRedefine/>
    <w:qFormat/>
    <w:uiPriority w:val="0"/>
    <w:pPr>
      <w:spacing w:before="0" w:beforeAutospacing="1" w:after="0" w:afterAutospacing="1"/>
      <w:ind w:left="0" w:right="0"/>
      <w:jc w:val="left"/>
    </w:pPr>
    <w:rPr>
      <w:kern w:val="0"/>
      <w:sz w:val="24"/>
      <w:lang w:val="en-US" w:eastAsia="zh-CN" w:bidi="ar"/>
    </w:rPr>
  </w:style>
  <w:style w:type="character" w:styleId="8">
    <w:name w:val="FollowedHyperlink"/>
    <w:basedOn w:val="7"/>
    <w:autoRedefine/>
    <w:qFormat/>
    <w:uiPriority w:val="0"/>
    <w:rPr>
      <w:rFonts w:hint="eastAsia" w:ascii="微软雅黑" w:hAnsi="微软雅黑" w:eastAsia="微软雅黑" w:cs="微软雅黑"/>
      <w:color w:val="800080"/>
      <w:u w:val="none"/>
    </w:rPr>
  </w:style>
  <w:style w:type="character" w:styleId="9">
    <w:name w:val="Emphasis"/>
    <w:basedOn w:val="7"/>
    <w:qFormat/>
    <w:uiPriority w:val="0"/>
    <w:rPr>
      <w:rFonts w:hint="eastAsia" w:ascii="微软雅黑" w:hAnsi="微软雅黑" w:eastAsia="微软雅黑" w:cs="微软雅黑"/>
      <w:u w:val="none"/>
    </w:rPr>
  </w:style>
  <w:style w:type="character" w:styleId="10">
    <w:name w:val="Hyperlink"/>
    <w:basedOn w:val="7"/>
    <w:qFormat/>
    <w:uiPriority w:val="0"/>
    <w:rPr>
      <w:rFonts w:hint="eastAsia" w:ascii="微软雅黑" w:hAnsi="微软雅黑" w:eastAsia="微软雅黑" w:cs="微软雅黑"/>
      <w:color w:val="0000FF"/>
      <w:u w:val="none"/>
    </w:rPr>
  </w:style>
  <w:style w:type="character" w:customStyle="1" w:styleId="11">
    <w:name w:val="hover20"/>
    <w:basedOn w:val="7"/>
    <w:qFormat/>
    <w:uiPriority w:val="0"/>
    <w:rPr>
      <w:color w:val="CC0000"/>
    </w:rPr>
  </w:style>
  <w:style w:type="character" w:customStyle="1" w:styleId="12">
    <w:name w:val="curr3"/>
    <w:basedOn w:val="7"/>
    <w:qFormat/>
    <w:uiPriority w:val="0"/>
    <w:rPr>
      <w:color w:val="FFFFFF"/>
      <w:shd w:val="clear" w:fill="CC0000"/>
    </w:rPr>
  </w:style>
  <w:style w:type="character" w:customStyle="1" w:styleId="13">
    <w:name w:val="yzm"/>
    <w:basedOn w:val="7"/>
    <w:qFormat/>
    <w:uiPriority w:val="0"/>
    <w:rPr>
      <w:color w:val="999999"/>
      <w:sz w:val="21"/>
      <w:szCs w:val="21"/>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1877</Words>
  <Characters>1919</Characters>
  <Lines>0</Lines>
  <Paragraphs>0</Paragraphs>
  <TotalTime>2231</TotalTime>
  <ScaleCrop>false</ScaleCrop>
  <LinksUpToDate>false</LinksUpToDate>
  <CharactersWithSpaces>1920</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2022-01-04T15:51:00Z</dcterms:created>
  <dc:creator>Administrator</dc:creator>
  <cp:lastModifiedBy>一九九几。</cp:lastModifiedBy>
  <cp:lastPrinted>2026-01-20T08:25:19Z</cp:lastPrinted>
  <dcterms:modified xsi:type="dcterms:W3CDTF">2026-01-20T08:28:55Z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93780652272B4A01BA0A288F9DF3EFB2_12</vt:lpwstr>
  </property>
  <property fmtid="{D5CDD505-2E9C-101B-9397-08002B2CF9AE}" pid="4" name="KSOTemplateDocerSaveRecord">
    <vt:lpwstr>eyJoZGlkIjoiMGFlYWRkYjUzYjQxMTNjZjdlOGRlODUyYmViMzNiN2MiLCJ1c2VySWQiOiIzODkyMDc2NTUifQ==</vt:lpwstr>
  </property>
</Properties>
</file>