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" w:line="204" w:lineRule="auto"/>
        <w:jc w:val="center"/>
        <w:rPr>
          <w:rFonts w:hint="eastAsia" w:ascii="黑体" w:hAnsi="黑体" w:eastAsia="黑体" w:cs="黑体"/>
          <w:sz w:val="44"/>
          <w:szCs w:val="24"/>
        </w:rPr>
      </w:pPr>
      <w:r>
        <w:rPr>
          <w:rFonts w:hint="eastAsia" w:ascii="黑体" w:hAnsi="黑体" w:eastAsia="黑体" w:cs="黑体"/>
          <w:spacing w:val="-2"/>
          <w:sz w:val="44"/>
          <w:szCs w:val="24"/>
          <w:lang w:eastAsia="zh-CN"/>
        </w:rPr>
        <w:t>威县</w:t>
      </w:r>
      <w:r>
        <w:rPr>
          <w:rFonts w:hint="eastAsia" w:ascii="黑体" w:hAnsi="黑体" w:eastAsia="黑体" w:cs="黑体"/>
          <w:spacing w:val="-2"/>
          <w:sz w:val="44"/>
          <w:szCs w:val="24"/>
        </w:rPr>
        <w:t>市场监督管理局</w:t>
      </w:r>
    </w:p>
    <w:p>
      <w:pPr>
        <w:spacing w:before="1" w:line="204" w:lineRule="auto"/>
        <w:jc w:val="center"/>
        <w:rPr>
          <w:rFonts w:hint="eastAsia" w:ascii="黑体" w:hAnsi="黑体" w:eastAsia="黑体" w:cs="黑体"/>
          <w:sz w:val="44"/>
          <w:szCs w:val="24"/>
        </w:rPr>
      </w:pPr>
      <w:r>
        <w:rPr>
          <w:rFonts w:hint="eastAsia" w:ascii="黑体" w:hAnsi="黑体" w:eastAsia="黑体" w:cs="黑体"/>
          <w:spacing w:val="-2"/>
          <w:sz w:val="44"/>
          <w:szCs w:val="24"/>
        </w:rPr>
        <w:t>行政处罚决定书</w:t>
      </w:r>
    </w:p>
    <w:p>
      <w:pPr>
        <w:spacing w:line="520" w:lineRule="exact"/>
        <w:jc w:val="center"/>
        <w:rPr>
          <w:rFonts w:hint="eastAsia" w:ascii="仿宋" w:hAnsi="仿宋" w:eastAsia="仿宋" w:cs="仿宋"/>
          <w:spacing w:val="-28"/>
          <w:w w:val="89"/>
          <w:sz w:val="32"/>
          <w:szCs w:val="32"/>
        </w:rPr>
      </w:pPr>
      <w:r>
        <w:rPr>
          <w:rFonts w:hint="eastAsia" w:ascii="Times New Roman" w:hAnsi="Times New Roman" w:eastAsia="仿宋_GB2312" w:cs="仿宋"/>
          <w:sz w:val="32"/>
          <w:szCs w:val="32"/>
          <w:u w:val="none"/>
          <w:lang w:eastAsia="zh-CN"/>
        </w:rPr>
        <w:t>市监处罚〔2025〕</w:t>
      </w:r>
      <w:r>
        <w:rPr>
          <w:rFonts w:hint="eastAsia" w:ascii="Times New Roman" w:hAnsi="Times New Roman" w:eastAsia="仿宋_GB2312" w:cs="仿宋"/>
          <w:sz w:val="32"/>
          <w:szCs w:val="32"/>
          <w:u w:val="none"/>
          <w:lang w:val="en-US" w:eastAsia="zh-CN"/>
        </w:rPr>
        <w:t>2号</w:t>
      </w:r>
    </w:p>
    <w:p>
      <w:pPr>
        <w:jc w:val="left"/>
        <w:rPr>
          <w:rFonts w:hint="eastAsia" w:ascii="仿宋" w:hAnsi="仿宋" w:eastAsia="仿宋" w:cs="仿宋"/>
          <w:spacing w:val="1"/>
          <w:sz w:val="32"/>
          <w:szCs w:val="32"/>
          <w:u w:val="single" w:color="auto"/>
          <w:lang w:val="en-US" w:eastAsia="zh-CN"/>
        </w:rPr>
      </w:pPr>
      <w:r>
        <w:rPr>
          <w:rFonts w:hint="eastAsia" w:ascii="仿宋" w:hAnsi="仿宋" w:eastAsia="仿宋" w:cs="仿宋"/>
          <w:spacing w:val="-28"/>
          <w:w w:val="89"/>
          <w:sz w:val="32"/>
          <w:szCs w:val="32"/>
        </w:rPr>
        <w:t>当事人：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>威县</w:t>
      </w:r>
      <w:bookmarkStart w:id="0" w:name="OLE_LINK1"/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>*</w:t>
      </w:r>
      <w:bookmarkEnd w:id="0"/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>*******中心</w:t>
      </w:r>
      <w:r>
        <w:rPr>
          <w:rFonts w:hint="eastAsia" w:ascii="仿宋" w:hAnsi="仿宋" w:eastAsia="仿宋" w:cs="仿宋"/>
          <w:sz w:val="32"/>
          <w:szCs w:val="32"/>
          <w:u w:val="single" w:color="auto"/>
          <w:lang w:eastAsia="zh-CN"/>
        </w:rPr>
        <w:t>（赵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>*</w:t>
      </w:r>
      <w:r>
        <w:rPr>
          <w:rFonts w:hint="eastAsia" w:ascii="仿宋" w:hAnsi="仿宋" w:eastAsia="仿宋" w:cs="仿宋"/>
          <w:sz w:val="32"/>
          <w:szCs w:val="32"/>
          <w:u w:val="single" w:color="auto"/>
          <w:lang w:eastAsia="zh-CN"/>
        </w:rPr>
        <w:t>）</w:t>
      </w:r>
      <w:r>
        <w:rPr>
          <w:rFonts w:hint="eastAsia" w:ascii="仿宋" w:hAnsi="仿宋" w:eastAsia="仿宋" w:cs="仿宋"/>
          <w:sz w:val="32"/>
          <w:szCs w:val="32"/>
          <w:u w:val="single" w:color="auto"/>
        </w:rPr>
        <w:t xml:space="preserve">                                            </w:t>
      </w:r>
      <w:r>
        <w:rPr>
          <w:rFonts w:hint="eastAsia" w:ascii="仿宋" w:hAnsi="仿宋" w:eastAsia="仿宋" w:cs="仿宋"/>
          <w:spacing w:val="22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spacing w:val="-28"/>
          <w:sz w:val="32"/>
          <w:szCs w:val="32"/>
        </w:rPr>
        <w:t>主体资格证照名称：</w:t>
      </w:r>
      <w:r>
        <w:rPr>
          <w:rFonts w:hint="eastAsia" w:ascii="仿宋" w:hAnsi="仿宋" w:eastAsia="仿宋" w:cs="仿宋"/>
          <w:sz w:val="32"/>
          <w:szCs w:val="32"/>
          <w:u w:val="single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 xml:space="preserve">  营业执照</w:t>
      </w:r>
      <w:r>
        <w:rPr>
          <w:rFonts w:hint="eastAsia" w:ascii="仿宋" w:hAnsi="仿宋" w:eastAsia="仿宋" w:cs="仿宋"/>
          <w:sz w:val="32"/>
          <w:szCs w:val="32"/>
          <w:u w:val="single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 xml:space="preserve">                                                               </w:t>
      </w:r>
      <w:r>
        <w:rPr>
          <w:rFonts w:hint="eastAsia"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</w:t>
      </w:r>
      <w:r>
        <w:rPr>
          <w:rFonts w:hint="eastAsia" w:ascii="仿宋" w:hAnsi="仿宋" w:eastAsia="仿宋" w:cs="仿宋"/>
          <w:spacing w:val="19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spacing w:val="-28"/>
          <w:sz w:val="32"/>
          <w:szCs w:val="32"/>
        </w:rPr>
        <w:t>统一社会信用代码：</w:t>
      </w:r>
      <w:r>
        <w:rPr>
          <w:rFonts w:hint="eastAsia" w:ascii="仿宋" w:hAnsi="仿宋" w:eastAsia="仿宋" w:cs="仿宋"/>
          <w:sz w:val="32"/>
          <w:szCs w:val="32"/>
          <w:u w:val="none" w:color="auto"/>
        </w:rPr>
        <w:t xml:space="preserve"> 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u w:val="single"/>
          <w:lang w:val="en-US" w:eastAsia="zh-CN"/>
        </w:rPr>
        <w:t xml:space="preserve">92130533MAET67D62B </w:t>
      </w:r>
      <w:r>
        <w:rPr>
          <w:rFonts w:hint="eastAsia"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</w:t>
      </w:r>
      <w:r>
        <w:rPr>
          <w:rFonts w:hint="eastAsia" w:ascii="仿宋" w:hAnsi="仿宋" w:eastAsia="仿宋" w:cs="仿宋"/>
          <w:spacing w:val="19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spacing w:val="4"/>
          <w:sz w:val="32"/>
          <w:szCs w:val="32"/>
        </w:rPr>
        <w:t>住所（住址</w:t>
      </w:r>
      <w:r>
        <w:rPr>
          <w:rFonts w:hint="eastAsia" w:ascii="仿宋" w:hAnsi="仿宋" w:eastAsia="仿宋" w:cs="仿宋"/>
          <w:spacing w:val="-131"/>
          <w:sz w:val="32"/>
          <w:szCs w:val="32"/>
        </w:rPr>
        <w:t>）：</w:t>
      </w:r>
      <w:r>
        <w:rPr>
          <w:rFonts w:hint="eastAsia" w:ascii="仿宋" w:hAnsi="仿宋" w:eastAsia="仿宋" w:cs="仿宋"/>
          <w:spacing w:val="-131"/>
          <w:sz w:val="32"/>
          <w:szCs w:val="32"/>
          <w:lang w:val="en-US" w:eastAsia="zh-CN"/>
        </w:rPr>
        <w:t xml:space="preserve">                  </w:t>
      </w:r>
      <w:r>
        <w:rPr>
          <w:rFonts w:hint="eastAsia" w:ascii="仿宋" w:hAnsi="仿宋" w:eastAsia="仿宋" w:cs="仿宋"/>
          <w:spacing w:val="1"/>
          <w:sz w:val="32"/>
          <w:szCs w:val="32"/>
          <w:u w:val="single" w:color="auto"/>
        </w:rPr>
        <w:t xml:space="preserve"> 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u w:val="single"/>
          <w:lang w:val="en-US" w:eastAsia="zh-CN"/>
        </w:rPr>
        <w:t>邢台市威县洺州镇朝阳东路</w:t>
      </w:r>
      <w:r>
        <w:rPr>
          <w:rFonts w:hint="eastAsia" w:ascii="仿宋" w:hAnsi="仿宋" w:eastAsia="仿宋" w:cs="仿宋"/>
          <w:spacing w:val="1"/>
          <w:sz w:val="32"/>
          <w:szCs w:val="32"/>
          <w:u w:val="single" w:color="auto"/>
          <w:lang w:val="en-US" w:eastAsia="zh-CN"/>
        </w:rPr>
        <w:t xml:space="preserve">                        </w:t>
      </w:r>
    </w:p>
    <w:p>
      <w:pPr>
        <w:jc w:val="left"/>
        <w:rPr>
          <w:rFonts w:hint="eastAsia" w:ascii="仿宋" w:hAnsi="仿宋" w:eastAsia="仿宋" w:cs="仿宋"/>
          <w:spacing w:val="21"/>
          <w:sz w:val="32"/>
          <w:szCs w:val="32"/>
          <w:u w:val="single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法定代表人（负责人、经营者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 xml:space="preserve">赵*                              </w:t>
      </w:r>
    </w:p>
    <w:p>
      <w:pPr>
        <w:jc w:val="left"/>
        <w:rPr>
          <w:rFonts w:hint="eastAsia" w:ascii="仿宋" w:hAnsi="仿宋" w:eastAsia="仿宋" w:cs="仿宋"/>
          <w:sz w:val="32"/>
          <w:szCs w:val="32"/>
          <w:u w:val="single" w:color="auto"/>
        </w:rPr>
      </w:pPr>
      <w:r>
        <w:rPr>
          <w:rFonts w:hint="eastAsia" w:ascii="仿宋" w:hAnsi="仿宋" w:eastAsia="仿宋" w:cs="仿宋"/>
          <w:spacing w:val="-31"/>
          <w:w w:val="98"/>
          <w:sz w:val="32"/>
          <w:szCs w:val="32"/>
        </w:rPr>
        <w:t>身份证件号码：</w:t>
      </w:r>
      <w:r>
        <w:rPr>
          <w:rFonts w:hint="eastAsia" w:ascii="仿宋" w:hAnsi="仿宋" w:eastAsia="仿宋" w:cs="仿宋"/>
          <w:sz w:val="32"/>
          <w:szCs w:val="32"/>
          <w:u w:val="single" w:color="auto"/>
          <w:lang w:val="en-US" w:eastAsia="zh-CN"/>
        </w:rPr>
        <w:t>130535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>********</w:t>
      </w:r>
      <w:r>
        <w:rPr>
          <w:rFonts w:hint="eastAsia" w:ascii="仿宋" w:hAnsi="仿宋" w:eastAsia="仿宋" w:cs="仿宋"/>
          <w:sz w:val="32"/>
          <w:szCs w:val="32"/>
          <w:u w:val="single" w:color="auto"/>
          <w:lang w:val="en-US" w:eastAsia="zh-CN"/>
        </w:rPr>
        <w:t>4116</w:t>
      </w:r>
      <w:r>
        <w:rPr>
          <w:rFonts w:hint="eastAsia" w:ascii="仿宋" w:hAnsi="仿宋" w:eastAsia="仿宋" w:cs="仿宋"/>
          <w:sz w:val="32"/>
          <w:szCs w:val="32"/>
          <w:u w:val="single" w:color="auto"/>
        </w:rPr>
        <w:t xml:space="preserve">                                </w:t>
      </w:r>
    </w:p>
    <w:p>
      <w:pPr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_GB2312" w:hAnsi="Mongolian Baiti" w:eastAsia="仿宋_GB2312" w:cs="Mongolian Baiti"/>
          <w:kern w:val="1"/>
          <w:sz w:val="32"/>
          <w:szCs w:val="32"/>
          <w:u w:val="none"/>
        </w:rPr>
        <w:t>联系电话：</w:t>
      </w:r>
      <w:r>
        <w:rPr>
          <w:rFonts w:hint="eastAsia" w:ascii="仿宋_GB2312" w:hAnsi="Mongolian Baiti" w:eastAsia="仿宋_GB2312" w:cs="Mongolian Baiti"/>
          <w:kern w:val="1"/>
          <w:sz w:val="32"/>
          <w:szCs w:val="32"/>
          <w:u w:val="single"/>
          <w:lang w:eastAsia="zh-CN"/>
        </w:rPr>
        <w:t>183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>******</w:t>
      </w:r>
      <w:r>
        <w:rPr>
          <w:rFonts w:hint="eastAsia" w:ascii="仿宋_GB2312" w:hAnsi="Mongolian Baiti" w:eastAsia="仿宋_GB2312" w:cs="Mongolian Baiti"/>
          <w:kern w:val="1"/>
          <w:sz w:val="32"/>
          <w:szCs w:val="32"/>
          <w:u w:val="single"/>
          <w:lang w:eastAsia="zh-CN"/>
        </w:rPr>
        <w:t>32</w:t>
      </w:r>
      <w:r>
        <w:rPr>
          <w:rFonts w:hint="eastAsia" w:ascii="仿宋_GB2312" w:hAnsi="Mongolian Baiti" w:eastAsia="仿宋_GB2312" w:cs="Mongolian Baiti"/>
          <w:kern w:val="1"/>
          <w:sz w:val="32"/>
          <w:szCs w:val="32"/>
          <w:u w:val="single"/>
        </w:rPr>
        <w:t xml:space="preserve">   </w:t>
      </w:r>
      <w:r>
        <w:rPr>
          <w:rFonts w:hint="eastAsia" w:ascii="仿宋_GB2312" w:hAnsi="Mongolian Baiti" w:eastAsia="仿宋_GB2312" w:cs="Mongolian Baiti"/>
          <w:kern w:val="1"/>
          <w:sz w:val="32"/>
          <w:szCs w:val="32"/>
          <w:u w:val="none"/>
        </w:rPr>
        <w:t xml:space="preserve"> </w:t>
      </w:r>
      <w:r>
        <w:rPr>
          <w:rFonts w:hint="eastAsia" w:ascii="仿宋_GB2312" w:hAnsi="Mongolian Baiti" w:eastAsia="仿宋_GB2312" w:cs="Mongolian Baiti"/>
          <w:kern w:val="1"/>
          <w:sz w:val="32"/>
          <w:szCs w:val="32"/>
          <w:u w:val="none"/>
          <w:lang w:eastAsia="zh-CN"/>
        </w:rPr>
        <w:t>其他联系方式：</w:t>
      </w:r>
      <w:r>
        <w:rPr>
          <w:rFonts w:hint="eastAsia" w:ascii="仿宋_GB2312" w:hAnsi="Mongolian Baiti" w:eastAsia="仿宋_GB2312" w:cs="Mongolian Baiti"/>
          <w:kern w:val="1"/>
          <w:sz w:val="32"/>
          <w:szCs w:val="32"/>
          <w:u w:val="single"/>
          <w:lang w:eastAsia="zh-CN"/>
        </w:rPr>
        <w:t>无</w:t>
      </w:r>
      <w:r>
        <w:rPr>
          <w:rFonts w:hint="eastAsia" w:ascii="仿宋_GB2312" w:hAnsi="Mongolian Baiti" w:eastAsia="仿宋_GB2312" w:cs="Mongolian Baiti"/>
          <w:kern w:val="1"/>
          <w:sz w:val="32"/>
          <w:szCs w:val="32"/>
          <w:u w:val="single"/>
        </w:rPr>
        <w:t xml:space="preserve">            </w:t>
      </w:r>
      <w:r>
        <w:rPr>
          <w:rFonts w:hint="eastAsia" w:ascii="仿宋_GB2312" w:hAnsi="Mongolian Baiti" w:eastAsia="仿宋_GB2312" w:cs="Mongolian Baiti"/>
          <w:kern w:val="1"/>
          <w:sz w:val="32"/>
          <w:szCs w:val="32"/>
          <w:u w:val="single"/>
          <w:lang w:val="en-US" w:eastAsia="zh-CN"/>
        </w:rPr>
        <w:t xml:space="preserve">      </w:t>
      </w:r>
      <w:r>
        <w:rPr>
          <w:rFonts w:hint="eastAsia" w:ascii="仿宋_GB2312" w:hAnsi="Mongolian Baiti" w:eastAsia="仿宋_GB2312" w:cs="Mongolian Baiti"/>
          <w:kern w:val="1"/>
          <w:sz w:val="32"/>
          <w:szCs w:val="32"/>
          <w:u w:val="single"/>
        </w:rPr>
        <w:t xml:space="preserve"> </w:t>
      </w:r>
      <w:r>
        <w:rPr>
          <w:rFonts w:hint="eastAsia" w:ascii="仿宋_GB2312" w:hAnsi="Mongolian Baiti" w:eastAsia="仿宋_GB2312" w:cs="Mongolian Baiti"/>
          <w:kern w:val="1"/>
          <w:sz w:val="32"/>
          <w:szCs w:val="32"/>
          <w:u w:val="none"/>
        </w:rPr>
        <w:t xml:space="preserve"> </w:t>
      </w:r>
      <w:r>
        <w:rPr>
          <w:rFonts w:hint="eastAsia" w:ascii="仿宋_GB2312" w:hAnsi="Mongolian Baiti" w:eastAsia="仿宋_GB2312" w:cs="Mongolian Baiti"/>
          <w:kern w:val="1"/>
          <w:sz w:val="32"/>
          <w:szCs w:val="32"/>
          <w:u w:val="none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u w:val="single" w:color="auto"/>
        </w:rPr>
        <w:t xml:space="preserve"> </w:t>
      </w:r>
    </w:p>
    <w:p>
      <w:pPr>
        <w:pStyle w:val="4"/>
        <w:spacing w:line="180" w:lineRule="atLeast"/>
        <w:ind w:firstLine="640" w:firstLineChars="200"/>
        <w:rPr>
          <w:rFonts w:hint="default" w:ascii="仿宋_GB2312" w:hAnsi="仿宋" w:eastAsia="仿宋_GB2312" w:cs="仿宋"/>
          <w:color w:val="auto"/>
          <w:kern w:val="2"/>
          <w:sz w:val="32"/>
          <w:szCs w:val="32"/>
          <w:u w:val="none"/>
          <w:lang w:val="en-US" w:eastAsia="zh-CN" w:bidi="ar-SA"/>
        </w:rPr>
      </w:pPr>
      <w:r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none"/>
          <w:lang w:val="en-US" w:eastAsia="zh-CN" w:bidi="ar-SA"/>
        </w:rPr>
        <w:t>2025年8月12日，根据相关商标权利人请求书，我局执法人员对位于朝阳东路南侧的店铺进行现场检查，现场发现有“</w:t>
      </w:r>
      <w:r>
        <w:rPr>
          <w:rFonts w:hint="eastAsia" w:ascii="仿宋_GB2312" w:hAnsi="仿宋" w:eastAsia="仿宋_GB2312" w:cs="仿宋"/>
          <w:sz w:val="32"/>
          <w:szCs w:val="32"/>
          <w:u w:val="none"/>
          <w:lang w:val="en-US" w:eastAsia="zh-CN"/>
        </w:rPr>
        <w:t>屋伏石</w:t>
      </w:r>
      <w:r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none"/>
          <w:lang w:val="en-US" w:eastAsia="zh-CN" w:bidi="ar-SA"/>
        </w:rPr>
        <w:t>”图形标识的润滑油200瓶，上述物品经安徽屋伏石科技有限公司维权人员现场鉴定为侵权商品。根据《中华人民共和国商标法》第六十二条第一款第（四）项对涉案商品进行扣押。</w:t>
      </w:r>
    </w:p>
    <w:p>
      <w:pPr>
        <w:pStyle w:val="4"/>
        <w:spacing w:line="180" w:lineRule="atLeast"/>
        <w:ind w:firstLine="640" w:firstLineChars="200"/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none"/>
          <w:lang w:val="en-US" w:eastAsia="zh-CN" w:bidi="ar-SA"/>
        </w:rPr>
      </w:pPr>
      <w:r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none"/>
          <w:lang w:val="en-US" w:eastAsia="zh-CN" w:bidi="ar-SA"/>
        </w:rPr>
        <w:t>2025年8月12日，该案经局领导批准，立案调查。</w:t>
      </w:r>
    </w:p>
    <w:p>
      <w:pPr>
        <w:pStyle w:val="4"/>
        <w:spacing w:line="180" w:lineRule="atLeast"/>
        <w:ind w:firstLine="640" w:firstLineChars="200"/>
        <w:rPr>
          <w:rFonts w:hint="default" w:ascii="仿宋_GB2312" w:hAnsi="仿宋" w:eastAsia="仿宋_GB2312" w:cs="仿宋"/>
          <w:color w:val="auto"/>
          <w:kern w:val="2"/>
          <w:sz w:val="32"/>
          <w:szCs w:val="32"/>
          <w:u w:val="none"/>
          <w:lang w:val="en-US" w:eastAsia="zh-CN" w:bidi="ar-SA"/>
        </w:rPr>
      </w:pPr>
      <w:r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none"/>
          <w:lang w:val="en-US" w:eastAsia="zh-CN" w:bidi="ar-SA"/>
        </w:rPr>
        <w:t>2025年8月12日，当事人赵</w:t>
      </w: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*</w:t>
      </w:r>
      <w:r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none"/>
          <w:lang w:val="en-US" w:eastAsia="zh-CN" w:bidi="ar-SA"/>
        </w:rPr>
        <w:t>在洺州所调解问询室接受李瑞亮、王强询问。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jc w:val="both"/>
        <w:textAlignment w:val="auto"/>
        <w:outlineLvl w:val="9"/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none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sz w:val="32"/>
          <w:szCs w:val="32"/>
          <w:u w:val="none"/>
        </w:rPr>
        <w:t>经查，</w:t>
      </w:r>
      <w:r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none"/>
          <w:lang w:val="en-US" w:eastAsia="zh-CN" w:bidi="ar-SA"/>
        </w:rPr>
        <w:t>当事人销售的润滑油，经安徽屋伏石科技有限公司维权人员现场鉴定，属于假冒侵权商品，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</w:rPr>
        <w:t>当事人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val="en-US" w:eastAsia="zh-CN"/>
        </w:rPr>
        <w:t>所售润滑油是</w:t>
      </w:r>
      <w:r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none"/>
          <w:lang w:val="en-US" w:eastAsia="zh-CN" w:bidi="ar-SA"/>
        </w:rPr>
        <w:t>在平乡县河古庙镇进购的，有相关的支付记录。标有的“屋伏石”的润滑油进价是0.83元/瓶；售价是1.6元/瓶，共卖出了1000瓶，剩余200瓶。违法经营额共1766元。当事人的上述行为已构成销售侵犯注册商标专用权商品的违法行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jc w:val="both"/>
        <w:textAlignment w:val="auto"/>
        <w:outlineLvl w:val="9"/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仿宋_GB2312" w:eastAsia="仿宋_GB2312" w:cs="仿宋_GB2312"/>
          <w:sz w:val="32"/>
          <w:szCs w:val="32"/>
        </w:rPr>
        <w:t>上述事实，主要有以下证据证明：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-10" w:leftChars="0" w:firstLine="640" w:firstLineChars="0"/>
        <w:jc w:val="both"/>
        <w:textAlignment w:val="auto"/>
        <w:outlineLvl w:val="9"/>
        <w:rPr>
          <w:rFonts w:hint="eastAsia" w:ascii="Times New Roman" w:hAnsi="Times New Roman" w:eastAsia="仿宋_GB2312" w:cs="仿宋_GB2312"/>
          <w:sz w:val="32"/>
          <w:szCs w:val="32"/>
          <w:u w:val="single"/>
        </w:rPr>
      </w:pP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single"/>
          <w:lang w:val="en-US" w:eastAsia="zh-CN"/>
        </w:rPr>
        <w:t>营业执照复印件，证明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single"/>
        </w:rPr>
        <w:t>当事人的主体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single"/>
          <w:lang w:eastAsia="zh-CN"/>
        </w:rPr>
        <w:t>资格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single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" w:eastAsia="仿宋_GB2312" w:cs="仿宋"/>
          <w:sz w:val="32"/>
          <w:szCs w:val="32"/>
          <w:u w:val="single"/>
          <w:lang w:val="en-US" w:eastAsia="zh-CN"/>
        </w:rPr>
        <w:t>赵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>*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</w:rPr>
        <w:t xml:space="preserve">的身份证复印件 </w:t>
      </w:r>
      <w:r>
        <w:rPr>
          <w:rFonts w:hint="eastAsia" w:ascii="Times New Roman" w:hAnsi="仿宋_GB2312" w:eastAsia="仿宋_GB2312" w:cs="仿宋_GB2312"/>
          <w:sz w:val="32"/>
          <w:szCs w:val="32"/>
          <w:u w:val="single"/>
        </w:rPr>
        <w:t>，证明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</w:rPr>
        <w:t>当事人的主体身份。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" w:eastAsia="仿宋_GB2312" w:cs="仿宋"/>
          <w:sz w:val="32"/>
          <w:szCs w:val="32"/>
          <w:u w:val="single"/>
          <w:lang w:val="en-US" w:eastAsia="zh-CN"/>
        </w:rPr>
        <w:t>现场笔录</w:t>
      </w:r>
      <w:r>
        <w:rPr>
          <w:rFonts w:hint="eastAsia" w:ascii="Times New Roman" w:hAnsi="仿宋_GB2312" w:eastAsia="仿宋_GB2312" w:cs="仿宋_GB2312"/>
          <w:sz w:val="32"/>
          <w:szCs w:val="32"/>
          <w:u w:val="single"/>
        </w:rPr>
        <w:t>，证明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  <w:t>当事人店铺带有</w:t>
      </w:r>
      <w:r>
        <w:rPr>
          <w:rFonts w:hint="eastAsia" w:ascii="仿宋_GB2312" w:hAnsi="仿宋" w:eastAsia="仿宋_GB2312" w:cs="仿宋"/>
          <w:sz w:val="32"/>
          <w:szCs w:val="32"/>
          <w:u w:val="single"/>
          <w:lang w:val="en-US" w:eastAsia="zh-CN"/>
        </w:rPr>
        <w:t>“屋伏石”图形标识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  <w:t>的润滑油200瓶。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u w:val="single"/>
        </w:rPr>
        <w:t xml:space="preserve">询问笔录 </w:t>
      </w:r>
      <w:r>
        <w:rPr>
          <w:rFonts w:hint="eastAsia" w:ascii="Times New Roman" w:hAnsi="仿宋_GB2312" w:eastAsia="仿宋_GB2312" w:cs="仿宋_GB2312"/>
          <w:sz w:val="32"/>
          <w:szCs w:val="32"/>
          <w:u w:val="single"/>
        </w:rPr>
        <w:t>，证明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</w:rPr>
        <w:t xml:space="preserve"> 当事人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  <w:t>所售润滑油是在平乡县河古庙镇进购的，有相关的支付记录。标有的“屋伏石”的润滑油进价是0.83元/瓶；售价是1.6元/瓶，共卖出了1000瓶，剩余200瓶。</w:t>
      </w:r>
      <w:r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single"/>
          <w:lang w:val="en-US" w:eastAsia="zh-CN" w:bidi="ar-SA"/>
        </w:rPr>
        <w:t>违法经营额共1766元。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eastAsia="zh-CN"/>
        </w:rPr>
        <w:t>现场照片及相关证据材料</w:t>
      </w:r>
      <w:r>
        <w:rPr>
          <w:rFonts w:hint="eastAsia" w:ascii="Times New Roman" w:hAnsi="仿宋_GB2312" w:eastAsia="仿宋_GB2312" w:cs="仿宋_GB2312"/>
          <w:sz w:val="32"/>
          <w:szCs w:val="32"/>
          <w:u w:val="single"/>
        </w:rPr>
        <w:t>，证明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  <w:t>当事人店铺内带有</w:t>
      </w:r>
      <w:r>
        <w:rPr>
          <w:rFonts w:hint="eastAsia" w:ascii="仿宋_GB2312" w:hAnsi="仿宋" w:eastAsia="仿宋_GB2312" w:cs="仿宋"/>
          <w:sz w:val="32"/>
          <w:szCs w:val="32"/>
          <w:u w:val="single"/>
          <w:lang w:val="en-US" w:eastAsia="zh-CN"/>
        </w:rPr>
        <w:t>“屋伏石”图形标识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  <w:t>的润滑油200瓶。</w:t>
      </w:r>
      <w:r>
        <w:rPr>
          <w:rFonts w:hint="eastAsia" w:ascii="仿宋_GB2312" w:hAnsi="仿宋" w:eastAsia="仿宋_GB2312" w:cs="仿宋"/>
          <w:sz w:val="32"/>
          <w:szCs w:val="32"/>
          <w:u w:val="single"/>
          <w:lang w:val="en-US" w:eastAsia="zh-CN"/>
        </w:rPr>
        <w:t>鉴定报告证明涉案商品均为假冒侵权商品。请求书证明</w:t>
      </w:r>
      <w:r>
        <w:rPr>
          <w:rFonts w:hint="eastAsia" w:ascii="仿宋_GB2312" w:hAnsi="仿宋" w:eastAsia="仿宋_GB2312" w:cs="仿宋"/>
          <w:sz w:val="32"/>
          <w:szCs w:val="32"/>
          <w:u w:val="single"/>
          <w:lang w:eastAsia="zh-CN"/>
        </w:rPr>
        <w:t>服装权利人</w:t>
      </w:r>
      <w:r>
        <w:rPr>
          <w:rFonts w:hint="eastAsia" w:ascii="仿宋_GB2312" w:hAnsi="仿宋" w:eastAsia="仿宋_GB2312" w:cs="仿宋"/>
          <w:sz w:val="32"/>
          <w:szCs w:val="32"/>
          <w:u w:val="single"/>
          <w:lang w:val="en-US" w:eastAsia="zh-CN"/>
        </w:rPr>
        <w:t>的投诉诉求。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</w:rPr>
        <w:t xml:space="preserve">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outlineLvl w:val="9"/>
        <w:rPr>
          <w:rFonts w:hint="eastAsia" w:ascii="Times New Roman" w:hAnsi="Times New Roman" w:eastAsia="仿宋_GB2312" w:cs="仿宋_GB2312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本案调查终结后，我局于202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val="en-US" w:eastAsia="zh-CN"/>
        </w:rPr>
        <w:t>5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年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val="en-US" w:eastAsia="zh-CN"/>
        </w:rPr>
        <w:t>8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月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val="en-US" w:eastAsia="zh-CN"/>
        </w:rPr>
        <w:t>13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日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none"/>
          <w:lang w:val="en-US" w:eastAsia="zh-CN"/>
        </w:rPr>
        <w:t>,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向当事人直接送达了《行政处罚告知书》（</w:t>
      </w:r>
      <w:r>
        <w:rPr>
          <w:rFonts w:hint="default" w:ascii="Times New Roman" w:hAnsi="Times New Roman" w:eastAsia="仿宋_GB2312" w:cs="仿宋"/>
          <w:color w:val="auto"/>
          <w:sz w:val="32"/>
        </w:rPr>
        <w:t>市监罚告〔2025〕2号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），当事人在法定时间内没有提出陈述、申辩意见，未要求听证。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0"/>
          <w:szCs w:val="30"/>
          <w:u w:val="none"/>
          <w:lang w:eastAsia="zh-CN"/>
        </w:rPr>
      </w:pPr>
      <w:r>
        <w:rPr>
          <w:rFonts w:hint="eastAsia" w:ascii="仿宋_GB2312" w:hAnsi="Mongolian Baiti" w:eastAsia="仿宋_GB2312" w:cs="Mongolian Baiti"/>
          <w:sz w:val="32"/>
          <w:szCs w:val="32"/>
          <w:u w:val="none"/>
          <w:lang w:val="en-US" w:eastAsia="zh-CN"/>
        </w:rPr>
        <w:t>本局认为，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当事人销售侵犯注册商标专用权的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val="en-US" w:eastAsia="zh-CN"/>
        </w:rPr>
        <w:t>商品</w:t>
      </w:r>
      <w:r>
        <w:rPr>
          <w:rFonts w:hint="eastAsia" w:ascii="仿宋_GB2312" w:hAnsi="Mongolian Baiti" w:eastAsia="仿宋_GB2312" w:cs="Mongolian Baiti"/>
          <w:color w:val="auto"/>
          <w:sz w:val="32"/>
          <w:szCs w:val="32"/>
          <w:highlight w:val="none"/>
          <w:u w:val="none"/>
          <w:lang w:val="en-US" w:eastAsia="zh-CN"/>
        </w:rPr>
        <w:t>，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其行为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none"/>
        </w:rPr>
        <w:t>违反了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none"/>
          <w:lang w:eastAsia="zh-CN"/>
        </w:rPr>
        <w:t>《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none"/>
        </w:rPr>
        <w:t>中华人民共和国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none"/>
          <w:lang w:eastAsia="zh-CN"/>
        </w:rPr>
        <w:t>商标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none"/>
        </w:rPr>
        <w:t>法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none"/>
          <w:lang w:eastAsia="zh-CN"/>
        </w:rPr>
        <w:t>》第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none"/>
          <w:lang w:val="en-US" w:eastAsia="zh-CN"/>
        </w:rPr>
        <w:t>五十七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none"/>
          <w:lang w:eastAsia="zh-CN"/>
        </w:rPr>
        <w:t>条第（三）项</w:t>
      </w:r>
      <w:r>
        <w:rPr>
          <w:rFonts w:hint="eastAsia" w:ascii="仿宋_GB2312" w:hAnsi="仿宋_GB2312" w:eastAsia="仿宋_GB2312" w:cs="仿宋_GB2312"/>
          <w:sz w:val="30"/>
          <w:szCs w:val="30"/>
          <w:u w:val="none"/>
        </w:rPr>
        <w:t>“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0"/>
          <w:szCs w:val="30"/>
          <w:u w:val="none"/>
          <w:shd w:val="clear" w:color="auto" w:fill="FFFFFF"/>
          <w:lang w:val="en-US" w:eastAsia="zh-CN" w:bidi="ar"/>
        </w:rPr>
        <w:t>有下列行为之一的，均属侵犯注册商标专用权：（三）销售侵犯注册商标专用权的商品的</w:t>
      </w:r>
      <w:r>
        <w:rPr>
          <w:rFonts w:hint="eastAsia" w:ascii="仿宋_GB2312" w:hAnsi="仿宋_GB2312" w:eastAsia="仿宋_GB2312" w:cs="仿宋_GB2312"/>
          <w:sz w:val="30"/>
          <w:szCs w:val="30"/>
          <w:u w:val="none"/>
        </w:rPr>
        <w:t>”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none"/>
        </w:rPr>
        <w:t>之</w:t>
      </w:r>
      <w:r>
        <w:rPr>
          <w:rFonts w:hint="eastAsia" w:ascii="仿宋_GB2312" w:hAnsi="仿宋_GB2312" w:eastAsia="仿宋_GB2312" w:cs="仿宋_GB2312"/>
          <w:sz w:val="30"/>
          <w:szCs w:val="30"/>
          <w:u w:val="none"/>
        </w:rPr>
        <w:t>规定</w:t>
      </w:r>
      <w:r>
        <w:rPr>
          <w:rFonts w:hint="eastAsia" w:ascii="仿宋_GB2312" w:hAnsi="仿宋_GB2312" w:eastAsia="仿宋_GB2312" w:cs="仿宋_GB2312"/>
          <w:sz w:val="30"/>
          <w:szCs w:val="30"/>
          <w:u w:val="none"/>
          <w:lang w:eastAsia="zh-CN"/>
        </w:rPr>
        <w:t>。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</w:rPr>
        <w:t>已构成违法行为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Cs/>
          <w:sz w:val="30"/>
          <w:szCs w:val="30"/>
          <w:u w:val="none"/>
        </w:rPr>
      </w:pPr>
      <w:r>
        <w:rPr>
          <w:rFonts w:hint="eastAsia" w:ascii="Times New Roman" w:hAnsi="Times New Roman" w:eastAsia="仿宋_GB2312" w:cs="仿宋_GB2312"/>
          <w:bCs/>
          <w:sz w:val="32"/>
          <w:szCs w:val="32"/>
          <w:u w:val="none"/>
        </w:rPr>
        <w:t>依据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</w:rPr>
        <w:t>《</w:t>
      </w:r>
      <w:r>
        <w:rPr>
          <w:rFonts w:hint="eastAsia" w:ascii="Times New Roman" w:hAnsi="Times New Roman" w:eastAsia="仿宋_GB2312" w:cs="仿宋_GB2312"/>
          <w:bCs/>
          <w:sz w:val="32"/>
          <w:szCs w:val="32"/>
          <w:u w:val="none"/>
          <w:lang w:val="en-US" w:eastAsia="zh-CN"/>
        </w:rPr>
        <w:t>中华人民共和国商标法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</w:rPr>
        <w:t>》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第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val="en-US" w:eastAsia="zh-CN"/>
        </w:rPr>
        <w:t>六十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条第二款“工商行政管理部门处理时，认定侵权行为成立的，责令立即停止侵权行为，没收、销毁侵权商品和主要用于制造侵权商品、伪造注册商标标识的工具，违法经营额五万元以上的，可以处违法经营额五倍以下的罚款，没有违法经营额或者违法经营额不足五万元的，可以处二十五万元以下的罚款。对五年内实施两次以上商标侵权行为或者有其他严重情节的，应当从重处罚。销售不知道是侵犯注册商标专用权的商品，能证明该商品是自己合法取得并说明提供者的，由工商行政管理部门责令停止销售。”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val="en-US" w:eastAsia="zh-CN"/>
        </w:rPr>
        <w:t>之规定，予以处罚，没收侵权商品。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outlineLvl w:val="9"/>
        <w:rPr>
          <w:rFonts w:hint="eastAsia" w:ascii="Times New Roman" w:hAnsi="Times New Roman" w:eastAsia="仿宋_GB2312" w:cs="仿宋_GB2312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仿宋_GB2312" w:hAnsi="仿宋" w:eastAsia="仿宋_GB2312" w:cs="仿宋"/>
          <w:sz w:val="32"/>
          <w:szCs w:val="32"/>
          <w:u w:val="none"/>
          <w:lang w:eastAsia="zh-CN"/>
        </w:rPr>
        <w:t>当事人</w:t>
      </w:r>
      <w:r>
        <w:rPr>
          <w:rFonts w:hint="eastAsia" w:ascii="Times New Roman" w:hAnsi="仿宋_GB2312" w:eastAsia="仿宋_GB2312" w:cs="仿宋_GB2312"/>
          <w:bCs/>
          <w:sz w:val="32"/>
          <w:szCs w:val="32"/>
          <w:u w:val="none"/>
        </w:rPr>
        <w:t>的违法行为，我局依法立案调查时</w:t>
      </w:r>
      <w:r>
        <w:rPr>
          <w:rFonts w:hint="eastAsia" w:ascii="Times New Roman" w:hAnsi="仿宋_GB2312" w:eastAsia="仿宋_GB2312" w:cs="仿宋_GB2312"/>
          <w:bCs/>
          <w:sz w:val="32"/>
          <w:szCs w:val="32"/>
          <w:u w:val="none"/>
          <w:lang w:eastAsia="zh-CN"/>
        </w:rPr>
        <w:t>当事人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</w:rPr>
        <w:t>积极配合调查，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立即停止违法行为，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</w:rPr>
        <w:t>未造成严重影响，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违法经营额较小，社会危害性较小，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</w:rPr>
        <w:t>本着处罚与教育相结合的原则，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参照《河北省市场监督管理系统行政处罚裁量权适用规则》第十五条第（三）项“当事人有下列情形之一的，可以依法从轻或者减轻行政处罚：（三）违法行为轻微，社会危害性较小的”的规定，当事人的行为适用于从轻情形，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none"/>
          <w:lang w:eastAsia="zh-CN"/>
        </w:rPr>
        <w:t>比照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none"/>
        </w:rPr>
        <w:t>《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none"/>
          <w:lang w:eastAsia="zh-CN"/>
        </w:rPr>
        <w:t>河北省市场监督管理系统行政裁量基准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none"/>
        </w:rPr>
        <w:t>》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none"/>
          <w:lang w:val="en-US" w:eastAsia="zh-CN"/>
        </w:rPr>
        <w:t>103《中华人民共和国商标法》序号3较轻的裁量基准“责令立即停止侵权行为，没收、销毁侵权商品和主要用于制造侵权商品、伪造注册商标标识的工具，违法经营额五万元以上的，可以处违法经营额一点五倍以下的罚款，没有违法经营额或者违法经营额不足五万元的，可以处七万五千元以下的罚款。”的规定，应当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none"/>
          <w:lang w:eastAsia="zh-CN"/>
        </w:rPr>
        <w:t>给予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none"/>
        </w:rPr>
        <w:t>当事人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none"/>
          <w:lang w:eastAsia="zh-CN"/>
        </w:rPr>
        <w:t>没收侵权商品，并处以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none"/>
          <w:lang w:val="en-US" w:eastAsia="zh-CN"/>
        </w:rPr>
        <w:t>七万五千元以下罚款的行政处罚。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outlineLvl w:val="9"/>
        <w:rPr>
          <w:rFonts w:hint="eastAsia" w:ascii="Times New Roman" w:hAnsi="Times New Roman" w:eastAsia="仿宋_GB2312" w:cs="仿宋_GB2312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仿宋_GB2312"/>
          <w:bCs/>
          <w:sz w:val="32"/>
          <w:szCs w:val="32"/>
          <w:u w:val="none"/>
          <w:lang w:eastAsia="zh-CN"/>
        </w:rPr>
        <w:t>综上，当事人上述行为违反了</w:t>
      </w:r>
      <w:r>
        <w:rPr>
          <w:rFonts w:hint="eastAsia" w:ascii="仿宋_GB2312" w:hAnsi="Mongolian Baiti" w:eastAsia="仿宋_GB2312" w:cs="Mongolian Baiti"/>
          <w:sz w:val="32"/>
          <w:szCs w:val="32"/>
          <w:highlight w:val="none"/>
          <w:u w:val="none"/>
          <w:lang w:val="en-US" w:eastAsia="zh-CN"/>
        </w:rPr>
        <w:t>《</w:t>
      </w:r>
      <w:r>
        <w:rPr>
          <w:rFonts w:hint="eastAsia" w:ascii="Times New Roman" w:hAnsi="Times New Roman" w:eastAsia="仿宋_GB2312" w:cs="仿宋_GB2312"/>
          <w:bCs/>
          <w:sz w:val="32"/>
          <w:szCs w:val="32"/>
          <w:u w:val="none"/>
          <w:lang w:val="en-US" w:eastAsia="zh-CN"/>
        </w:rPr>
        <w:t>中华人民共和国商标法</w:t>
      </w:r>
      <w:r>
        <w:rPr>
          <w:rFonts w:hint="eastAsia" w:ascii="仿宋_GB2312" w:hAnsi="Mongolian Baiti" w:eastAsia="仿宋_GB2312" w:cs="Mongolian Baiti"/>
          <w:sz w:val="32"/>
          <w:szCs w:val="32"/>
          <w:highlight w:val="none"/>
          <w:u w:val="none"/>
          <w:lang w:val="en-US" w:eastAsia="zh-CN"/>
        </w:rPr>
        <w:t>》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val="en-US" w:eastAsia="zh-CN"/>
        </w:rPr>
        <w:t>第五十七条第（三）项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</w:rPr>
        <w:t>之规定，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依据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</w:rPr>
        <w:t>《</w:t>
      </w:r>
      <w:r>
        <w:rPr>
          <w:rFonts w:hint="eastAsia" w:ascii="Times New Roman" w:hAnsi="Times New Roman" w:eastAsia="仿宋_GB2312" w:cs="仿宋_GB2312"/>
          <w:bCs/>
          <w:sz w:val="32"/>
          <w:szCs w:val="32"/>
          <w:u w:val="none"/>
          <w:lang w:val="en-US" w:eastAsia="zh-CN"/>
        </w:rPr>
        <w:t>中华人民共和国商标法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</w:rPr>
        <w:t>》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第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val="en-US" w:eastAsia="zh-CN"/>
        </w:rPr>
        <w:t>六十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条第二款之规定，</w:t>
      </w:r>
      <w:r>
        <w:rPr>
          <w:rFonts w:hint="eastAsia" w:ascii="Times New Roman" w:hAnsi="Times New Roman" w:eastAsia="仿宋_GB2312" w:cs="仿宋_GB2312"/>
          <w:bCs/>
          <w:sz w:val="32"/>
          <w:szCs w:val="32"/>
          <w:u w:val="none"/>
          <w:lang w:val="en-US" w:eastAsia="zh-CN"/>
        </w:rPr>
        <w:t>责令</w:t>
      </w:r>
      <w:r>
        <w:rPr>
          <w:rFonts w:hint="eastAsia" w:ascii="仿宋_GB2312" w:hAnsi="仿宋" w:eastAsia="仿宋_GB2312" w:cs="仿宋"/>
          <w:sz w:val="32"/>
          <w:szCs w:val="32"/>
          <w:u w:val="none"/>
          <w:lang w:eastAsia="zh-CN"/>
        </w:rPr>
        <w:t>威县</w:t>
      </w:r>
      <w:r>
        <w:rPr>
          <w:rFonts w:hint="eastAsia" w:ascii="仿宋" w:hAnsi="仿宋" w:eastAsia="仿宋" w:cs="仿宋"/>
          <w:sz w:val="32"/>
          <w:szCs w:val="32"/>
          <w:u w:val="none"/>
          <w:lang w:eastAsia="zh-CN"/>
        </w:rPr>
        <w:t>********</w:t>
      </w:r>
      <w:r>
        <w:rPr>
          <w:rFonts w:hint="eastAsia" w:ascii="仿宋_GB2312" w:hAnsi="仿宋" w:eastAsia="仿宋_GB2312" w:cs="仿宋"/>
          <w:sz w:val="32"/>
          <w:szCs w:val="32"/>
          <w:u w:val="none"/>
          <w:lang w:eastAsia="zh-CN"/>
        </w:rPr>
        <w:t>中心</w:t>
      </w:r>
      <w:r>
        <w:rPr>
          <w:rFonts w:hint="eastAsia" w:ascii="仿宋_GB2312" w:hAnsi="仿宋" w:eastAsia="仿宋_GB2312" w:cs="仿宋"/>
          <w:sz w:val="32"/>
          <w:szCs w:val="32"/>
          <w:highlight w:val="none"/>
          <w:u w:val="none"/>
          <w:lang w:val="en-US" w:eastAsia="zh-CN"/>
        </w:rPr>
        <w:t>(</w:t>
      </w:r>
      <w:r>
        <w:rPr>
          <w:rFonts w:hint="eastAsia" w:ascii="仿宋_GB2312" w:hAnsi="仿宋" w:eastAsia="仿宋_GB2312" w:cs="仿宋"/>
          <w:sz w:val="32"/>
          <w:szCs w:val="32"/>
          <w:u w:val="none"/>
          <w:lang w:val="en-US" w:eastAsia="zh-CN"/>
        </w:rPr>
        <w:t>赵</w:t>
      </w:r>
      <w:bookmarkStart w:id="2" w:name="_GoBack"/>
      <w:r>
        <w:rPr>
          <w:rFonts w:hint="eastAsia" w:ascii="仿宋" w:hAnsi="仿宋" w:eastAsia="仿宋" w:cs="仿宋"/>
          <w:sz w:val="32"/>
          <w:szCs w:val="32"/>
          <w:u w:val="none"/>
          <w:lang w:eastAsia="zh-CN"/>
        </w:rPr>
        <w:t>*</w:t>
      </w:r>
      <w:bookmarkEnd w:id="2"/>
      <w:r>
        <w:rPr>
          <w:rFonts w:hint="eastAsia" w:ascii="仿宋_GB2312" w:hAnsi="仿宋" w:eastAsia="仿宋_GB2312" w:cs="仿宋"/>
          <w:sz w:val="32"/>
          <w:szCs w:val="32"/>
          <w:highlight w:val="none"/>
          <w:u w:val="none"/>
          <w:lang w:val="en-US" w:eastAsia="zh-CN"/>
        </w:rPr>
        <w:t>)</w:t>
      </w:r>
      <w:r>
        <w:rPr>
          <w:rFonts w:hint="eastAsia" w:ascii="Times New Roman" w:hAnsi="Times New Roman" w:eastAsia="仿宋_GB2312" w:cs="仿宋_GB2312"/>
          <w:bCs/>
          <w:sz w:val="32"/>
          <w:szCs w:val="32"/>
          <w:u w:val="none"/>
          <w:lang w:val="en-US" w:eastAsia="zh-CN"/>
        </w:rPr>
        <w:t>立即停止侵权行为；并决定给予处罚如下：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0"/>
          <w:szCs w:val="30"/>
          <w:u w:val="single"/>
          <w:lang w:val="en-US" w:eastAsia="zh-CN"/>
        </w:rPr>
      </w:pPr>
      <w:r>
        <w:rPr>
          <w:rFonts w:hint="eastAsia" w:ascii="仿宋_GB2312" w:hAnsi="仿宋" w:eastAsia="仿宋_GB2312" w:cs="仿宋"/>
          <w:sz w:val="32"/>
          <w:szCs w:val="32"/>
          <w:u w:val="single"/>
          <w:lang w:val="en-US" w:eastAsia="zh-CN"/>
        </w:rPr>
        <w:t>没收有“</w:t>
      </w:r>
      <w:bookmarkStart w:id="1" w:name="OLE_LINK2"/>
      <w:r>
        <w:rPr>
          <w:rFonts w:hint="eastAsia" w:ascii="仿宋_GB2312" w:hAnsi="仿宋" w:eastAsia="仿宋_GB2312" w:cs="仿宋"/>
          <w:sz w:val="32"/>
          <w:szCs w:val="32"/>
          <w:u w:val="single"/>
          <w:lang w:val="en-US" w:eastAsia="zh-CN"/>
        </w:rPr>
        <w:t>屋伏石</w:t>
      </w:r>
      <w:bookmarkEnd w:id="1"/>
      <w:r>
        <w:rPr>
          <w:rFonts w:hint="eastAsia" w:ascii="仿宋_GB2312" w:hAnsi="仿宋" w:eastAsia="仿宋_GB2312" w:cs="仿宋"/>
          <w:sz w:val="32"/>
          <w:szCs w:val="32"/>
          <w:u w:val="single"/>
          <w:lang w:val="en-US" w:eastAsia="zh-CN"/>
        </w:rPr>
        <w:t>”图形标识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  <w:t>的润滑油200瓶。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00" w:firstLineChars="200"/>
        <w:textAlignment w:val="auto"/>
        <w:outlineLvl w:val="9"/>
        <w:rPr>
          <w:rFonts w:hint="eastAsia" w:ascii="Times New Roman" w:hAnsi="Times New Roman" w:eastAsia="仿宋_GB2312" w:cs="仿宋_GB2312"/>
          <w:bCs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0"/>
          <w:szCs w:val="30"/>
          <w:u w:val="none"/>
          <w:lang w:val="en-US" w:eastAsia="zh-CN"/>
        </w:rPr>
        <w:t>二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none"/>
        </w:rPr>
        <w:t>、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single"/>
          <w:lang w:eastAsia="zh-CN"/>
        </w:rPr>
        <w:t>处以罚款8830元。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仿宋_GB2312"/>
          <w:bCs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_GB2312"/>
          <w:sz w:val="32"/>
          <w:szCs w:val="32"/>
          <w:u w:val="none"/>
        </w:rPr>
        <w:t>当事人自收到本处罚决定书之日起十五日内，</w:t>
      </w:r>
      <w:r>
        <w:rPr>
          <w:rFonts w:hint="eastAsia" w:ascii="仿宋" w:hAnsi="仿宋" w:eastAsia="仿宋" w:cs="仿宋_GB2312"/>
          <w:color w:val="000000"/>
          <w:sz w:val="32"/>
          <w:szCs w:val="32"/>
          <w:u w:val="none"/>
        </w:rPr>
        <w:t>到</w:t>
      </w:r>
      <w:r>
        <w:rPr>
          <w:rFonts w:hint="eastAsia" w:ascii="仿宋" w:hAnsi="仿宋" w:eastAsia="仿宋" w:cs="仿宋_GB2312"/>
          <w:sz w:val="32"/>
          <w:szCs w:val="32"/>
          <w:u w:val="none"/>
        </w:rPr>
        <w:t>威县收费管理局银行账户缴纳罚款，逾期不缴纳，每日按罚款数额的</w:t>
      </w:r>
      <w:r>
        <w:rPr>
          <w:rFonts w:hint="eastAsia" w:ascii="仿宋" w:hAnsi="仿宋" w:eastAsia="仿宋" w:cs="仿宋_GB2312"/>
          <w:sz w:val="32"/>
          <w:szCs w:val="32"/>
          <w:highlight w:val="none"/>
          <w:u w:val="none"/>
        </w:rPr>
        <w:t>百分之三</w:t>
      </w:r>
      <w:r>
        <w:rPr>
          <w:rFonts w:hint="eastAsia" w:ascii="仿宋" w:hAnsi="仿宋" w:eastAsia="仿宋" w:cs="仿宋_GB2312"/>
          <w:sz w:val="32"/>
          <w:szCs w:val="32"/>
          <w:u w:val="none"/>
        </w:rPr>
        <w:t>加处罚款。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u w:val="none"/>
        </w:rPr>
      </w:pPr>
      <w:r>
        <w:rPr>
          <w:rFonts w:hint="eastAsia" w:ascii="仿宋" w:hAnsi="仿宋" w:eastAsia="仿宋"/>
          <w:sz w:val="32"/>
          <w:szCs w:val="32"/>
          <w:u w:val="none"/>
        </w:rPr>
        <w:t>如不服本处罚决定，可在接到本处罚决定书之日起六十日内向</w:t>
      </w:r>
      <w:r>
        <w:rPr>
          <w:rFonts w:hint="eastAsia" w:ascii="仿宋" w:hAnsi="仿宋" w:eastAsia="仿宋"/>
          <w:sz w:val="32"/>
          <w:szCs w:val="32"/>
          <w:u w:val="none"/>
          <w:lang w:eastAsia="zh-CN"/>
        </w:rPr>
        <w:t>威县</w:t>
      </w:r>
      <w:r>
        <w:rPr>
          <w:rFonts w:hint="eastAsia" w:ascii="仿宋" w:hAnsi="仿宋" w:eastAsia="仿宋"/>
          <w:sz w:val="32"/>
          <w:szCs w:val="32"/>
          <w:u w:val="none"/>
        </w:rPr>
        <w:t>人民政府申请复议；也可在接到本处罚决定书之日起六个月内向</w:t>
      </w:r>
      <w:r>
        <w:rPr>
          <w:rFonts w:hint="eastAsia" w:ascii="仿宋" w:hAnsi="仿宋" w:eastAsia="仿宋"/>
          <w:sz w:val="32"/>
          <w:szCs w:val="32"/>
          <w:u w:val="none"/>
          <w:lang w:eastAsia="zh-CN"/>
        </w:rPr>
        <w:t>威</w:t>
      </w:r>
      <w:r>
        <w:rPr>
          <w:rFonts w:hint="eastAsia" w:ascii="仿宋" w:hAnsi="仿宋" w:eastAsia="仿宋"/>
          <w:sz w:val="32"/>
          <w:szCs w:val="32"/>
          <w:u w:val="none"/>
        </w:rPr>
        <w:t>县人民法院提起诉讼。当事人申请行政复议或者提起行政诉讼期间，本行政处罚决定不停止执行。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right="-58"/>
        <w:textAlignment w:val="auto"/>
        <w:outlineLvl w:val="9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ascii="仿宋" w:hAnsi="仿宋" w:eastAsia="仿宋" w:cs="仿宋"/>
          <w:color w:val="000000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威县市场监督管理局罚没证号是“罚证字第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015号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”</w:t>
      </w:r>
      <w:r>
        <w:rPr>
          <w:rFonts w:ascii="仿宋" w:hAnsi="仿宋" w:eastAsia="仿宋" w:cs="仿宋"/>
          <w:color w:val="000000"/>
          <w:sz w:val="32"/>
          <w:szCs w:val="32"/>
        </w:rPr>
        <w:t xml:space="preserve">                        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480" w:lineRule="exact"/>
        <w:ind w:left="0" w:leftChars="0" w:right="-58" w:firstLine="5120" w:firstLineChars="1600"/>
        <w:jc w:val="center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480" w:lineRule="exact"/>
        <w:ind w:left="0" w:leftChars="0" w:right="-58" w:firstLine="5120" w:firstLineChars="1600"/>
        <w:jc w:val="center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480" w:lineRule="exact"/>
        <w:ind w:left="0" w:leftChars="0" w:right="-58" w:firstLine="5120" w:firstLineChars="1600"/>
        <w:jc w:val="center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480" w:lineRule="exact"/>
        <w:ind w:left="0" w:leftChars="0" w:right="-58" w:firstLine="5120" w:firstLineChars="1600"/>
        <w:jc w:val="center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480" w:lineRule="exact"/>
        <w:ind w:left="0" w:leftChars="0" w:right="-58" w:firstLine="5120" w:firstLineChars="1600"/>
        <w:jc w:val="center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威县市场监督管理局</w:t>
      </w:r>
    </w:p>
    <w:p>
      <w:pPr>
        <w:keepNext w:val="0"/>
        <w:keepLines w:val="0"/>
        <w:pageBreakBefore w:val="0"/>
        <w:widowControl w:val="0"/>
        <w:tabs>
          <w:tab w:val="left" w:pos="8200"/>
        </w:tabs>
        <w:kinsoku/>
        <w:overflowPunct/>
        <w:topLinePunct w:val="0"/>
        <w:autoSpaceDE/>
        <w:autoSpaceDN/>
        <w:bidi w:val="0"/>
        <w:adjustRightInd/>
        <w:spacing w:line="480" w:lineRule="exact"/>
        <w:ind w:right="746"/>
        <w:jc w:val="center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      </w:t>
      </w:r>
      <w:r>
        <w:rPr>
          <w:rFonts w:hint="eastAsia" w:ascii="仿宋" w:hAnsi="仿宋" w:eastAsia="仿宋" w:cs="仿宋"/>
          <w:sz w:val="32"/>
          <w:szCs w:val="32"/>
        </w:rPr>
        <w:t xml:space="preserve">（印 章）       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480" w:lineRule="exact"/>
        <w:ind w:firstLine="640"/>
        <w:jc w:val="center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二0二五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八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二十二</w:t>
      </w:r>
      <w:r>
        <w:rPr>
          <w:rFonts w:hint="eastAsia" w:ascii="仿宋" w:hAnsi="仿宋" w:eastAsia="仿宋" w:cs="仿宋"/>
          <w:sz w:val="32"/>
          <w:szCs w:val="32"/>
        </w:rPr>
        <w:t xml:space="preserve">日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480" w:lineRule="exact"/>
        <w:textAlignment w:val="auto"/>
        <w:outlineLvl w:val="9"/>
        <w:rPr>
          <w:rFonts w:hint="eastAsia" w:ascii="仿宋" w:hAnsi="仿宋" w:eastAsia="仿宋" w:cs="仿宋"/>
          <w:color w:val="000000"/>
          <w:sz w:val="30"/>
          <w:szCs w:val="30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bCs/>
          <w:color w:val="000000"/>
          <w:sz w:val="30"/>
          <w:szCs w:val="30"/>
        </w:rPr>
        <w:t>（市场</w:t>
      </w:r>
      <w:r>
        <w:rPr>
          <w:rFonts w:ascii="仿宋" w:hAnsi="仿宋" w:eastAsia="仿宋" w:cs="仿宋"/>
          <w:bCs/>
          <w:color w:val="000000"/>
          <w:sz w:val="30"/>
          <w:szCs w:val="30"/>
        </w:rPr>
        <w:t>监督管理部门</w:t>
      </w:r>
      <w:r>
        <w:rPr>
          <w:rFonts w:hint="eastAsia" w:ascii="仿宋" w:hAnsi="仿宋" w:eastAsia="仿宋" w:cs="仿宋"/>
          <w:bCs/>
          <w:color w:val="000000"/>
          <w:sz w:val="30"/>
          <w:szCs w:val="30"/>
        </w:rPr>
        <w:t>将依法向社会公示本行政处罚决定信息）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pacing w:line="480" w:lineRule="exact"/>
        <w:jc w:val="center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/>
          <w:sz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53340</wp:posOffset>
                </wp:positionH>
                <wp:positionV relativeFrom="paragraph">
                  <wp:posOffset>13335</wp:posOffset>
                </wp:positionV>
                <wp:extent cx="5550535" cy="635"/>
                <wp:effectExtent l="0" t="0" r="0" b="0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50535" cy="63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4.2pt;margin-top:1.05pt;height:0.05pt;width:437.05pt;z-index:251660288;mso-width-relative:page;mso-height-relative:page;" filled="f" stroked="t" coordsize="21600,21600" o:gfxdata="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仿宋" w:hAnsi="仿宋" w:eastAsia="仿宋" w:cs="仿宋"/>
          <w:bCs/>
          <w:color w:val="000000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20807045</wp:posOffset>
                </wp:positionV>
                <wp:extent cx="5762625" cy="1270"/>
                <wp:effectExtent l="0" t="0" r="0" b="0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2625" cy="1270"/>
                        </a:xfrm>
                        <a:prstGeom prst="line">
                          <a:avLst/>
                        </a:prstGeom>
                        <a:ln w="9360" cap="sq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1638.35pt;height:0.1pt;width:453.75pt;z-index:251659264;mso-width-relative:page;mso-height-relative:page;" filled="f" stroked="t" coordsize="21600,21600" o:gfxdata="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">
                <v:fill on="f" focussize="0,0"/>
                <v:stroke weight="0.737007874015748pt" color="#000000" joinstyle="round" endcap="square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仿宋" w:hAnsi="仿宋" w:eastAsia="仿宋" w:cs="仿宋"/>
          <w:color w:val="000000"/>
          <w:sz w:val="32"/>
          <w:szCs w:val="32"/>
        </w:rPr>
        <w:t>本文书一式</w:t>
      </w:r>
      <w:r>
        <w:rPr>
          <w:rFonts w:hint="eastAsia" w:ascii="仿宋" w:hAnsi="仿宋" w:eastAsia="仿宋" w:cs="仿宋"/>
          <w:color w:val="000000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32"/>
          <w:szCs w:val="32"/>
          <w:u w:val="single"/>
          <w:lang w:eastAsia="zh-CN"/>
        </w:rPr>
        <w:t>三</w:t>
      </w:r>
      <w:r>
        <w:rPr>
          <w:rFonts w:hint="eastAsia" w:ascii="仿宋" w:hAnsi="仿宋" w:eastAsia="仿宋" w:cs="仿宋"/>
          <w:color w:val="000000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份，</w:t>
      </w:r>
      <w:r>
        <w:rPr>
          <w:rFonts w:hint="eastAsia" w:ascii="仿宋" w:hAnsi="仿宋" w:eastAsia="仿宋" w:cs="仿宋"/>
          <w:color w:val="000000"/>
          <w:sz w:val="32"/>
          <w:szCs w:val="32"/>
          <w:u w:val="single"/>
        </w:rPr>
        <w:t>一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份送达，一份归档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，一份留存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roman"/>
    <w:pitch w:val="default"/>
    <w:sig w:usb0="00000000" w:usb1="00000000" w:usb2="00000000" w:usb3="00000000" w:csb0="00040000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A1CE55"/>
    <w:multiLevelType w:val="singleLevel"/>
    <w:tmpl w:val="07A1CE55"/>
    <w:lvl w:ilvl="0" w:tentative="0">
      <w:start w:val="1"/>
      <w:numFmt w:val="decimal"/>
      <w:suff w:val="space"/>
      <w:lvlText w:val="%1."/>
      <w:lvlJc w:val="left"/>
    </w:lvl>
  </w:abstractNum>
  <w:abstractNum w:abstractNumId="1">
    <w:nsid w:val="22FF6C95"/>
    <w:multiLevelType w:val="singleLevel"/>
    <w:tmpl w:val="22FF6C9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FC00EAC"/>
    <w:rsid w:val="066E491C"/>
    <w:rsid w:val="185D10DE"/>
    <w:rsid w:val="2C416C9E"/>
    <w:rsid w:val="2FC00EAC"/>
    <w:rsid w:val="3D2C1B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正文1"/>
    <w:unhideWhenUsed/>
    <w:qFormat/>
    <w:uiPriority w:val="0"/>
    <w:pPr>
      <w:widowControl w:val="0"/>
      <w:jc w:val="both"/>
    </w:pPr>
    <w:rPr>
      <w:rFonts w:hint="default" w:ascii="Calibri" w:hAnsi="Calibri" w:eastAsia="宋体" w:cs="Times New Roman"/>
      <w:color w:val="auto"/>
      <w:kern w:val="2"/>
      <w:sz w:val="21"/>
      <w:szCs w:val="24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Office_10.1.0.7565_F1E327BC-269C-435d-A152-05C5408002CA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2025-12-17T01:26:00Z</dcterms:created>
  <dc:creator>Administrator</dc:creator>
  <cp:lastModifiedBy>wxdell</cp:lastModifiedBy>
  <dcterms:modified xsi:type="dcterms:W3CDTF">2025-12-22T07:38:51Z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2052-10.1.0.7565</vt:lpwstr>
  </property>
  <property fmtid="{D5CDD505-2E9C-101B-9397-08002B2CF9AE}" pid="3" name="ICV">
    <vt:lpwstr>08ABAE6843594240AAEB78D81F83AC74_11</vt:lpwstr>
  </property>
  <property fmtid="{D5CDD505-2E9C-101B-9397-08002B2CF9AE}" pid="4" name="KSOTemplateDocerSaveRecord">
    <vt:lpwstr>eyJoZGlkIjoiNjIwNWE0NTkxYWRiMjg2ZDEzMjEyNDU1YjVjMDgwM2UifQ==</vt:lpwstr>
  </property>
</Properties>
</file>