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70DDA">
      <w:pPr>
        <w:pStyle w:val="2"/>
        <w:keepNext w:val="0"/>
        <w:keepLines w:val="0"/>
        <w:widowControl/>
        <w:suppressLineNumbers w:val="0"/>
        <w:spacing w:before="0" w:beforeAutospacing="0" w:after="0" w:afterAutospacing="0"/>
        <w:ind w:right="0"/>
        <w:jc w:val="center"/>
        <w:rPr>
          <w:rFonts w:hint="eastAsia" w:ascii="黑体" w:hAnsi="黑体" w:eastAsia="黑体" w:cs="黑体"/>
          <w:spacing w:val="10"/>
          <w:sz w:val="44"/>
          <w:szCs w:val="44"/>
          <w:lang w:val="en-US" w:eastAsia="zh-CN"/>
        </w:rPr>
      </w:pPr>
      <w:r>
        <w:rPr>
          <w:rFonts w:hint="eastAsia" w:ascii="黑体" w:hAnsi="黑体" w:eastAsia="黑体" w:cs="黑体"/>
          <w:spacing w:val="10"/>
          <w:sz w:val="44"/>
          <w:szCs w:val="44"/>
          <w:lang w:val="en-US" w:eastAsia="zh-CN"/>
        </w:rPr>
        <w:t>威县民政局2025年度涉企行政检查计划</w:t>
      </w:r>
    </w:p>
    <w:tbl>
      <w:tblPr>
        <w:tblStyle w:val="4"/>
        <w:tblW w:w="16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7"/>
        <w:gridCol w:w="2006"/>
        <w:gridCol w:w="7749"/>
        <w:gridCol w:w="1200"/>
        <w:gridCol w:w="842"/>
        <w:gridCol w:w="658"/>
        <w:gridCol w:w="484"/>
        <w:gridCol w:w="571"/>
        <w:gridCol w:w="619"/>
        <w:gridCol w:w="939"/>
        <w:gridCol w:w="525"/>
      </w:tblGrid>
      <w:tr w14:paraId="2C6E7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3" w:hRule="atLeast"/>
          <w:jc w:val="center"/>
        </w:trPr>
        <w:tc>
          <w:tcPr>
            <w:tcW w:w="497" w:type="dxa"/>
            <w:noWrap w:val="0"/>
            <w:vAlign w:val="center"/>
          </w:tcPr>
          <w:p w14:paraId="4E29D6F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序号</w:t>
            </w:r>
          </w:p>
        </w:tc>
        <w:tc>
          <w:tcPr>
            <w:tcW w:w="2006" w:type="dxa"/>
            <w:noWrap w:val="0"/>
            <w:vAlign w:val="center"/>
          </w:tcPr>
          <w:p w14:paraId="04A1DA6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检查事项</w:t>
            </w:r>
          </w:p>
        </w:tc>
        <w:tc>
          <w:tcPr>
            <w:tcW w:w="7749" w:type="dxa"/>
            <w:noWrap w:val="0"/>
            <w:vAlign w:val="center"/>
          </w:tcPr>
          <w:p w14:paraId="2CAA499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实施依据</w:t>
            </w:r>
            <w:bookmarkStart w:id="0" w:name="_GoBack"/>
            <w:bookmarkEnd w:id="0"/>
          </w:p>
        </w:tc>
        <w:tc>
          <w:tcPr>
            <w:tcW w:w="1200" w:type="dxa"/>
            <w:noWrap w:val="0"/>
            <w:vAlign w:val="center"/>
          </w:tcPr>
          <w:p w14:paraId="150A49B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具体检查对象(含数量)或“双随机”抽查对象（含总数及比例）</w:t>
            </w:r>
          </w:p>
        </w:tc>
        <w:tc>
          <w:tcPr>
            <w:tcW w:w="842" w:type="dxa"/>
            <w:noWrap w:val="0"/>
            <w:vAlign w:val="center"/>
          </w:tcPr>
          <w:p w14:paraId="45F38CB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检查内容（项目）</w:t>
            </w:r>
          </w:p>
        </w:tc>
        <w:tc>
          <w:tcPr>
            <w:tcW w:w="658" w:type="dxa"/>
            <w:noWrap w:val="0"/>
            <w:vAlign w:val="center"/>
          </w:tcPr>
          <w:p w14:paraId="7E61EF4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拟实施检查时间</w:t>
            </w:r>
          </w:p>
        </w:tc>
        <w:tc>
          <w:tcPr>
            <w:tcW w:w="484" w:type="dxa"/>
            <w:noWrap w:val="0"/>
            <w:vAlign w:val="center"/>
          </w:tcPr>
          <w:p w14:paraId="1DA77D2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检查方式</w:t>
            </w:r>
          </w:p>
        </w:tc>
        <w:tc>
          <w:tcPr>
            <w:tcW w:w="571" w:type="dxa"/>
            <w:noWrap w:val="0"/>
            <w:vAlign w:val="center"/>
          </w:tcPr>
          <w:p w14:paraId="0CBB427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sz w:val="21"/>
                <w:szCs w:val="21"/>
                <w:vertAlign w:val="baseline"/>
                <w:lang w:val="en-US"/>
              </w:rPr>
            </w:pPr>
            <w:r>
              <w:rPr>
                <w:rFonts w:hint="eastAsia" w:ascii="仿宋" w:hAnsi="仿宋" w:eastAsia="仿宋" w:cs="仿宋"/>
                <w:i w:val="0"/>
                <w:iCs w:val="0"/>
                <w:color w:val="000000"/>
                <w:kern w:val="0"/>
                <w:sz w:val="21"/>
                <w:szCs w:val="21"/>
                <w:u w:val="none"/>
                <w:lang w:val="en-US" w:eastAsia="zh-CN" w:bidi="ar"/>
              </w:rPr>
              <w:t>年度检查频次上限</w:t>
            </w:r>
          </w:p>
        </w:tc>
        <w:tc>
          <w:tcPr>
            <w:tcW w:w="619" w:type="dxa"/>
            <w:noWrap w:val="0"/>
            <w:vAlign w:val="center"/>
          </w:tcPr>
          <w:p w14:paraId="42A4E5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承办机构</w:t>
            </w:r>
          </w:p>
        </w:tc>
        <w:tc>
          <w:tcPr>
            <w:tcW w:w="939" w:type="dxa"/>
            <w:noWrap w:val="0"/>
            <w:vAlign w:val="center"/>
          </w:tcPr>
          <w:p w14:paraId="3393236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是否属跨部门联合检查（如是，需写明牵头部门和配合部门）</w:t>
            </w:r>
          </w:p>
        </w:tc>
        <w:tc>
          <w:tcPr>
            <w:tcW w:w="525" w:type="dxa"/>
            <w:noWrap w:val="0"/>
            <w:vAlign w:val="center"/>
          </w:tcPr>
          <w:p w14:paraId="52C50B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sz w:val="21"/>
                <w:szCs w:val="21"/>
                <w:vertAlign w:val="baseline"/>
              </w:rPr>
            </w:pPr>
            <w:r>
              <w:rPr>
                <w:rFonts w:hint="eastAsia" w:ascii="仿宋" w:hAnsi="仿宋" w:eastAsia="仿宋" w:cs="仿宋"/>
                <w:i w:val="0"/>
                <w:iCs w:val="0"/>
                <w:color w:val="000000"/>
                <w:kern w:val="0"/>
                <w:sz w:val="21"/>
                <w:szCs w:val="21"/>
                <w:u w:val="none"/>
                <w:lang w:val="en-US" w:eastAsia="zh-CN" w:bidi="ar"/>
              </w:rPr>
              <w:t>备注</w:t>
            </w:r>
          </w:p>
        </w:tc>
      </w:tr>
      <w:tr w14:paraId="22C17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7" w:type="dxa"/>
            <w:noWrap w:val="0"/>
            <w:vAlign w:val="center"/>
          </w:tcPr>
          <w:p w14:paraId="3D1E990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2006" w:type="dxa"/>
            <w:shd w:val="clear" w:color="auto" w:fill="auto"/>
            <w:noWrap w:val="0"/>
            <w:vAlign w:val="center"/>
          </w:tcPr>
          <w:p w14:paraId="31AD1C5C">
            <w:pPr>
              <w:keepNext w:val="0"/>
              <w:keepLines w:val="0"/>
              <w:widowControl/>
              <w:suppressLineNumbers w:val="0"/>
              <w:jc w:val="left"/>
              <w:textAlignment w:val="center"/>
              <w:rPr>
                <w:rFonts w:hint="eastAsia" w:ascii="仿宋" w:hAnsi="仿宋" w:eastAsia="仿宋" w:cs="仿宋"/>
                <w:i w:val="0"/>
                <w:iCs w:val="0"/>
                <w:color w:val="000000"/>
                <w:kern w:val="2"/>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对养老机构服务和运营进行行政检查</w:t>
            </w:r>
          </w:p>
        </w:tc>
        <w:tc>
          <w:tcPr>
            <w:tcW w:w="7749" w:type="dxa"/>
            <w:noWrap w:val="0"/>
            <w:vAlign w:val="center"/>
          </w:tcPr>
          <w:p w14:paraId="750BD8A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养老机构管理办法》第十条：营利性养老机构办理备案，应当在收住老年人后10个工作日以内向服务场所所在地的县级人民政府民政部门提出。非营利性养老机构办理备案，应当在收住老年人后10个工作日以内向登记管理机关同级的人民政府民政部门提出。</w:t>
            </w:r>
          </w:p>
          <w:p w14:paraId="2CC2353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2.《养老机构管理办法》第三十六条：民政部门应当加强对养老机构服务和运营的监督检查，发现违反本办法规定的，及时依法予以处理并向社会公布。民政部门在监督检查中发现养老机构存在应当由其他部门查处的违法违规行为的，及时通报有关部门处理。</w:t>
            </w:r>
          </w:p>
          <w:p w14:paraId="4547623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3.《养老机构行政检查办法》第四条：已经备案的养老机构，由办理备案的民政部门实施行政检查。未备案的养老机构，由服务场所所在地的县级人民政府民政部门实施行政检查。</w:t>
            </w:r>
          </w:p>
        </w:tc>
        <w:tc>
          <w:tcPr>
            <w:tcW w:w="1200" w:type="dxa"/>
            <w:noWrap w:val="0"/>
            <w:vAlign w:val="center"/>
          </w:tcPr>
          <w:p w14:paraId="36C0840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养老机构</w:t>
            </w:r>
          </w:p>
        </w:tc>
        <w:tc>
          <w:tcPr>
            <w:tcW w:w="842" w:type="dxa"/>
            <w:noWrap w:val="0"/>
            <w:vAlign w:val="center"/>
          </w:tcPr>
          <w:p w14:paraId="6AE7EE2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安全生产、食品卫生、服务质量、金融风险监督检查</w:t>
            </w:r>
          </w:p>
        </w:tc>
        <w:tc>
          <w:tcPr>
            <w:tcW w:w="658" w:type="dxa"/>
            <w:noWrap w:val="0"/>
            <w:vAlign w:val="center"/>
          </w:tcPr>
          <w:p w14:paraId="3283C413">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both"/>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5月- 12月</w:t>
            </w:r>
          </w:p>
        </w:tc>
        <w:tc>
          <w:tcPr>
            <w:tcW w:w="484" w:type="dxa"/>
            <w:noWrap w:val="0"/>
            <w:vAlign w:val="center"/>
          </w:tcPr>
          <w:p w14:paraId="48A969C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现场检查</w:t>
            </w:r>
          </w:p>
        </w:tc>
        <w:tc>
          <w:tcPr>
            <w:tcW w:w="571" w:type="dxa"/>
            <w:noWrap w:val="0"/>
            <w:vAlign w:val="center"/>
          </w:tcPr>
          <w:p w14:paraId="07AEB12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2</w:t>
            </w:r>
          </w:p>
        </w:tc>
        <w:tc>
          <w:tcPr>
            <w:tcW w:w="619" w:type="dxa"/>
            <w:noWrap w:val="0"/>
            <w:vAlign w:val="center"/>
          </w:tcPr>
          <w:p w14:paraId="6A42CBE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民政局</w:t>
            </w:r>
          </w:p>
        </w:tc>
        <w:tc>
          <w:tcPr>
            <w:tcW w:w="939" w:type="dxa"/>
            <w:noWrap w:val="0"/>
            <w:vAlign w:val="center"/>
          </w:tcPr>
          <w:p w14:paraId="69F072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aps w:val="0"/>
                <w:color w:val="333333"/>
                <w:spacing w:val="0"/>
                <w:sz w:val="18"/>
                <w:szCs w:val="18"/>
                <w:shd w:val="clear" w:fill="FFFFFF"/>
              </w:rPr>
              <w:t>民政部门牵头，</w:t>
            </w:r>
            <w:r>
              <w:rPr>
                <w:rFonts w:hint="eastAsia" w:ascii="仿宋" w:hAnsi="仿宋" w:eastAsia="仿宋" w:cs="仿宋"/>
                <w:i w:val="0"/>
                <w:iCs w:val="0"/>
                <w:caps w:val="0"/>
                <w:color w:val="333333"/>
                <w:spacing w:val="0"/>
                <w:sz w:val="18"/>
                <w:szCs w:val="18"/>
                <w:shd w:val="clear" w:fill="FFFFFF"/>
                <w:lang w:val="en-US" w:eastAsia="zh-CN"/>
              </w:rPr>
              <w:t>消防、住建、卫健、应急管理</w:t>
            </w:r>
            <w:r>
              <w:rPr>
                <w:rFonts w:hint="eastAsia" w:ascii="仿宋" w:hAnsi="仿宋" w:eastAsia="仿宋" w:cs="仿宋"/>
                <w:i w:val="0"/>
                <w:iCs w:val="0"/>
                <w:caps w:val="0"/>
                <w:color w:val="333333"/>
                <w:spacing w:val="0"/>
                <w:sz w:val="18"/>
                <w:szCs w:val="18"/>
                <w:shd w:val="clear" w:fill="FFFFFF"/>
              </w:rPr>
              <w:t>配合</w:t>
            </w:r>
          </w:p>
        </w:tc>
        <w:tc>
          <w:tcPr>
            <w:tcW w:w="525" w:type="dxa"/>
            <w:noWrap w:val="0"/>
            <w:vAlign w:val="center"/>
          </w:tcPr>
          <w:p w14:paraId="46DECE8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21"/>
                <w:szCs w:val="21"/>
                <w:u w:val="none"/>
                <w:lang w:val="en-US" w:eastAsia="zh-CN" w:bidi="ar"/>
              </w:rPr>
            </w:pPr>
          </w:p>
        </w:tc>
      </w:tr>
      <w:tr w14:paraId="1A2EA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6" w:hRule="atLeast"/>
          <w:jc w:val="center"/>
        </w:trPr>
        <w:tc>
          <w:tcPr>
            <w:tcW w:w="497" w:type="dxa"/>
            <w:noWrap w:val="0"/>
            <w:vAlign w:val="center"/>
          </w:tcPr>
          <w:p w14:paraId="082399E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2006" w:type="dxa"/>
            <w:noWrap w:val="0"/>
            <w:vAlign w:val="center"/>
          </w:tcPr>
          <w:p w14:paraId="3439AD55">
            <w:pPr>
              <w:keepNext w:val="0"/>
              <w:keepLines w:val="0"/>
              <w:pageBreakBefore w:val="0"/>
              <w:widowControl/>
              <w:suppressLineNumbers w:val="0"/>
              <w:tabs>
                <w:tab w:val="left" w:pos="563"/>
              </w:tabs>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对殡葬服务机构服务和经营进行行政检查</w:t>
            </w:r>
          </w:p>
        </w:tc>
        <w:tc>
          <w:tcPr>
            <w:tcW w:w="7749" w:type="dxa"/>
            <w:noWrap w:val="0"/>
            <w:vAlign w:val="center"/>
          </w:tcPr>
          <w:p w14:paraId="64E6CD6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《河北省殡葬管理办法》第四条：各级民政部门是殡葬管理的主管部门，负责殡葬管理的监督、检查工作。各级殡葬管理机构在同级民政部门的领导下，负责殡葬管理的日常工作。</w:t>
            </w:r>
          </w:p>
        </w:tc>
        <w:tc>
          <w:tcPr>
            <w:tcW w:w="1200" w:type="dxa"/>
            <w:noWrap w:val="0"/>
            <w:vAlign w:val="center"/>
          </w:tcPr>
          <w:p w14:paraId="44239B5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殡葬服务机构</w:t>
            </w:r>
          </w:p>
        </w:tc>
        <w:tc>
          <w:tcPr>
            <w:tcW w:w="842" w:type="dxa"/>
            <w:noWrap w:val="0"/>
            <w:vAlign w:val="center"/>
          </w:tcPr>
          <w:p w14:paraId="469DE2E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aps w:val="0"/>
                <w:color w:val="333333"/>
                <w:spacing w:val="0"/>
                <w:sz w:val="18"/>
                <w:szCs w:val="18"/>
                <w:shd w:val="clear" w:fill="FFFFFF"/>
              </w:rPr>
              <w:t>运营管理</w:t>
            </w:r>
            <w:r>
              <w:rPr>
                <w:rFonts w:hint="eastAsia" w:ascii="仿宋" w:hAnsi="仿宋" w:eastAsia="仿宋" w:cs="仿宋"/>
                <w:i w:val="0"/>
                <w:iCs w:val="0"/>
                <w:caps w:val="0"/>
                <w:color w:val="333333"/>
                <w:spacing w:val="0"/>
                <w:sz w:val="18"/>
                <w:szCs w:val="18"/>
                <w:shd w:val="clear" w:fill="FFFFFF"/>
                <w:lang w:eastAsia="zh-CN"/>
              </w:rPr>
              <w:t>、</w:t>
            </w:r>
            <w:r>
              <w:rPr>
                <w:rFonts w:hint="eastAsia" w:ascii="仿宋" w:hAnsi="仿宋" w:eastAsia="仿宋" w:cs="仿宋"/>
                <w:i w:val="0"/>
                <w:iCs w:val="0"/>
                <w:caps w:val="0"/>
                <w:color w:val="333333"/>
                <w:spacing w:val="0"/>
                <w:sz w:val="18"/>
                <w:szCs w:val="18"/>
                <w:shd w:val="clear" w:fill="FFFFFF"/>
              </w:rPr>
              <w:t>服务提供</w:t>
            </w:r>
            <w:r>
              <w:rPr>
                <w:rFonts w:hint="eastAsia" w:ascii="仿宋" w:hAnsi="仿宋" w:eastAsia="仿宋" w:cs="仿宋"/>
                <w:i w:val="0"/>
                <w:iCs w:val="0"/>
                <w:caps w:val="0"/>
                <w:color w:val="333333"/>
                <w:spacing w:val="0"/>
                <w:sz w:val="18"/>
                <w:szCs w:val="18"/>
                <w:shd w:val="clear" w:fill="FFFFFF"/>
                <w:lang w:eastAsia="zh-CN"/>
              </w:rPr>
              <w:t>、</w:t>
            </w:r>
            <w:r>
              <w:rPr>
                <w:rFonts w:hint="eastAsia" w:ascii="仿宋" w:hAnsi="仿宋" w:eastAsia="仿宋" w:cs="仿宋"/>
                <w:i w:val="0"/>
                <w:iCs w:val="0"/>
                <w:caps w:val="0"/>
                <w:color w:val="333333"/>
                <w:spacing w:val="0"/>
                <w:sz w:val="18"/>
                <w:szCs w:val="18"/>
                <w:shd w:val="clear" w:fill="FFFFFF"/>
              </w:rPr>
              <w:t>管理情况</w:t>
            </w:r>
            <w:r>
              <w:rPr>
                <w:rFonts w:hint="eastAsia" w:ascii="仿宋" w:hAnsi="仿宋" w:eastAsia="仿宋" w:cs="仿宋"/>
                <w:i w:val="0"/>
                <w:iCs w:val="0"/>
                <w:caps w:val="0"/>
                <w:color w:val="333333"/>
                <w:spacing w:val="0"/>
                <w:sz w:val="18"/>
                <w:szCs w:val="18"/>
                <w:shd w:val="clear" w:fill="FFFFFF"/>
                <w:lang w:eastAsia="zh-CN"/>
              </w:rPr>
              <w:t>、</w:t>
            </w:r>
            <w:r>
              <w:rPr>
                <w:rFonts w:hint="eastAsia" w:ascii="仿宋" w:hAnsi="仿宋" w:eastAsia="仿宋" w:cs="仿宋"/>
                <w:i w:val="0"/>
                <w:iCs w:val="0"/>
                <w:caps w:val="0"/>
                <w:color w:val="333333"/>
                <w:spacing w:val="0"/>
                <w:sz w:val="18"/>
                <w:szCs w:val="18"/>
                <w:shd w:val="clear" w:fill="FFFFFF"/>
              </w:rPr>
              <w:t>收费管理</w:t>
            </w:r>
            <w:r>
              <w:rPr>
                <w:rFonts w:hint="eastAsia" w:ascii="仿宋" w:hAnsi="仿宋" w:eastAsia="仿宋" w:cs="仿宋"/>
                <w:i w:val="0"/>
                <w:iCs w:val="0"/>
                <w:caps w:val="0"/>
                <w:color w:val="333333"/>
                <w:spacing w:val="0"/>
                <w:sz w:val="18"/>
                <w:szCs w:val="18"/>
                <w:shd w:val="clear" w:fill="FFFFFF"/>
                <w:lang w:eastAsia="zh-CN"/>
              </w:rPr>
              <w:t>、</w:t>
            </w:r>
            <w:r>
              <w:rPr>
                <w:rFonts w:hint="eastAsia" w:ascii="仿宋" w:hAnsi="仿宋" w:eastAsia="仿宋" w:cs="仿宋"/>
                <w:i w:val="0"/>
                <w:iCs w:val="0"/>
                <w:caps w:val="0"/>
                <w:color w:val="333333"/>
                <w:spacing w:val="0"/>
                <w:sz w:val="18"/>
                <w:szCs w:val="18"/>
                <w:shd w:val="clear" w:fill="FFFFFF"/>
              </w:rPr>
              <w:t>安全生产监督检查。</w:t>
            </w:r>
          </w:p>
        </w:tc>
        <w:tc>
          <w:tcPr>
            <w:tcW w:w="658" w:type="dxa"/>
            <w:noWrap w:val="0"/>
            <w:vAlign w:val="center"/>
          </w:tcPr>
          <w:p w14:paraId="2B4AC305">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5月- 12月</w:t>
            </w:r>
          </w:p>
        </w:tc>
        <w:tc>
          <w:tcPr>
            <w:tcW w:w="484" w:type="dxa"/>
            <w:noWrap w:val="0"/>
            <w:vAlign w:val="center"/>
          </w:tcPr>
          <w:p w14:paraId="4C6F526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现场检查</w:t>
            </w:r>
          </w:p>
        </w:tc>
        <w:tc>
          <w:tcPr>
            <w:tcW w:w="571" w:type="dxa"/>
            <w:noWrap w:val="0"/>
            <w:vAlign w:val="center"/>
          </w:tcPr>
          <w:p w14:paraId="070F9A7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w:t>
            </w:r>
          </w:p>
        </w:tc>
        <w:tc>
          <w:tcPr>
            <w:tcW w:w="619" w:type="dxa"/>
            <w:noWrap w:val="0"/>
            <w:vAlign w:val="center"/>
          </w:tcPr>
          <w:p w14:paraId="673CE34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民政局</w:t>
            </w:r>
          </w:p>
        </w:tc>
        <w:tc>
          <w:tcPr>
            <w:tcW w:w="939" w:type="dxa"/>
            <w:noWrap w:val="0"/>
            <w:vAlign w:val="center"/>
          </w:tcPr>
          <w:p w14:paraId="7A3C6EB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aps w:val="0"/>
                <w:color w:val="333333"/>
                <w:spacing w:val="0"/>
                <w:sz w:val="18"/>
                <w:szCs w:val="18"/>
                <w:shd w:val="clear" w:fill="FFFFFF"/>
              </w:rPr>
              <w:t>民政部门牵头，发改、市监部门配合</w:t>
            </w:r>
          </w:p>
        </w:tc>
        <w:tc>
          <w:tcPr>
            <w:tcW w:w="525" w:type="dxa"/>
            <w:noWrap w:val="0"/>
            <w:vAlign w:val="center"/>
          </w:tcPr>
          <w:p w14:paraId="4C690FA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i w:val="0"/>
                <w:iCs w:val="0"/>
                <w:color w:val="000000"/>
                <w:kern w:val="0"/>
                <w:sz w:val="21"/>
                <w:szCs w:val="21"/>
                <w:u w:val="none"/>
                <w:lang w:val="en-US" w:eastAsia="zh-CN" w:bidi="ar"/>
              </w:rPr>
            </w:pPr>
          </w:p>
        </w:tc>
      </w:tr>
    </w:tbl>
    <w:p w14:paraId="072CF985">
      <w:pPr>
        <w:rPr>
          <w:rFonts w:hint="eastAsia" w:ascii="仿宋" w:hAnsi="仿宋" w:eastAsia="仿宋" w:cs="仿宋"/>
          <w:sz w:val="21"/>
          <w:szCs w:val="21"/>
        </w:rPr>
      </w:pPr>
    </w:p>
    <w:p w14:paraId="5E5E4503">
      <w:pPr>
        <w:rPr>
          <w:rFonts w:hint="eastAsia" w:ascii="仿宋" w:hAnsi="仿宋" w:eastAsia="仿宋" w:cs="仿宋"/>
          <w:sz w:val="21"/>
          <w:szCs w:val="21"/>
        </w:rPr>
      </w:pPr>
      <w:r>
        <w:rPr>
          <w:rFonts w:hint="eastAsia" w:ascii="仿宋" w:hAnsi="仿宋" w:eastAsia="仿宋" w:cs="仿宋"/>
          <w:sz w:val="21"/>
          <w:szCs w:val="21"/>
        </w:rPr>
        <w:t>注：年度行政检查频次总上限为同一行政机关对同一企业实施行政检查年度频次上限，是监督抽查和日常检查频次，不含因投诉（举报）、转（交）办等线索发起的行政检查。</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1D750F"/>
    <w:rsid w:val="05C375FE"/>
    <w:rsid w:val="077C7A64"/>
    <w:rsid w:val="0B1D750F"/>
    <w:rsid w:val="136C3083"/>
    <w:rsid w:val="16CB1E6E"/>
    <w:rsid w:val="223E5BEA"/>
    <w:rsid w:val="29912230"/>
    <w:rsid w:val="2C255863"/>
    <w:rsid w:val="2E377A9D"/>
    <w:rsid w:val="2F9E14BB"/>
    <w:rsid w:val="38A30A45"/>
    <w:rsid w:val="39205BF2"/>
    <w:rsid w:val="3C025A83"/>
    <w:rsid w:val="44705C7F"/>
    <w:rsid w:val="466E61EE"/>
    <w:rsid w:val="4F995F20"/>
    <w:rsid w:val="54C87212"/>
    <w:rsid w:val="564B654C"/>
    <w:rsid w:val="57C75021"/>
    <w:rsid w:val="65E94E0D"/>
    <w:rsid w:val="6BA978D0"/>
    <w:rsid w:val="70C40C3B"/>
    <w:rsid w:val="7681161A"/>
    <w:rsid w:val="77EF13D7"/>
    <w:rsid w:val="7AE04351"/>
    <w:rsid w:val="7B824B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
    <w:name w:val="font61"/>
    <w:basedOn w:val="5"/>
    <w:qFormat/>
    <w:uiPriority w:val="0"/>
    <w:rPr>
      <w:rFonts w:ascii="方正仿宋_GBK" w:hAnsi="方正仿宋_GBK" w:eastAsia="方正仿宋_GBK" w:cs="方正仿宋_GBK"/>
      <w:color w:val="000000"/>
      <w:sz w:val="18"/>
      <w:szCs w:val="18"/>
      <w:u w:val="none"/>
    </w:rPr>
  </w:style>
  <w:style w:type="character" w:customStyle="1" w:styleId="7">
    <w:name w:val="font71"/>
    <w:basedOn w:val="5"/>
    <w:qFormat/>
    <w:uiPriority w:val="0"/>
    <w:rPr>
      <w:rFonts w:hint="eastAsia" w:ascii="方正仿宋_GBK" w:hAnsi="方正仿宋_GBK" w:eastAsia="方正仿宋_GBK" w:cs="方正仿宋_GBK"/>
      <w:b/>
      <w:bCs/>
      <w:color w:val="000000"/>
      <w:sz w:val="18"/>
      <w:szCs w:val="18"/>
      <w:u w:val="none"/>
    </w:rPr>
  </w:style>
  <w:style w:type="character" w:customStyle="1" w:styleId="8">
    <w:name w:val="font41"/>
    <w:basedOn w:val="5"/>
    <w:qFormat/>
    <w:uiPriority w:val="0"/>
    <w:rPr>
      <w:rFonts w:hint="default" w:ascii="Times New Roman" w:hAnsi="Times New Roman" w:cs="Times New Roman"/>
      <w:color w:val="000000"/>
      <w:sz w:val="18"/>
      <w:szCs w:val="18"/>
      <w:u w:val="none"/>
    </w:rPr>
  </w:style>
  <w:style w:type="character" w:customStyle="1" w:styleId="9">
    <w:name w:val="font81"/>
    <w:basedOn w:val="5"/>
    <w:qFormat/>
    <w:uiPriority w:val="0"/>
    <w:rPr>
      <w:rFonts w:hint="eastAsia" w:ascii="宋体" w:hAnsi="宋体" w:eastAsia="宋体" w:cs="宋体"/>
      <w:color w:val="000000"/>
      <w:sz w:val="18"/>
      <w:szCs w:val="18"/>
      <w:u w:val="none"/>
    </w:rPr>
  </w:style>
  <w:style w:type="character" w:customStyle="1" w:styleId="10">
    <w:name w:val="font91"/>
    <w:basedOn w:val="5"/>
    <w:qFormat/>
    <w:uiPriority w:val="0"/>
    <w:rPr>
      <w:rFonts w:ascii="方正书宋_GBK" w:hAnsi="方正书宋_GBK" w:eastAsia="方正书宋_GBK" w:cs="方正书宋_GBK"/>
      <w:color w:val="000000"/>
      <w:sz w:val="18"/>
      <w:szCs w:val="18"/>
      <w:u w:val="none"/>
    </w:rPr>
  </w:style>
  <w:style w:type="character" w:customStyle="1" w:styleId="11">
    <w:name w:val="font101"/>
    <w:basedOn w:val="5"/>
    <w:qFormat/>
    <w:uiPriority w:val="0"/>
    <w:rPr>
      <w:rFonts w:hint="default" w:ascii="Times New Roman" w:hAnsi="Times New Roman" w:cs="Times New Roman"/>
      <w:b/>
      <w:bCs/>
      <w:color w:val="000000"/>
      <w:sz w:val="18"/>
      <w:szCs w:val="18"/>
      <w:u w:val="none"/>
    </w:rPr>
  </w:style>
  <w:style w:type="paragraph" w:customStyle="1" w:styleId="12">
    <w:name w:val="Table Text"/>
    <w:basedOn w:val="1"/>
    <w:semiHidden/>
    <w:qFormat/>
    <w:uiPriority w:val="0"/>
    <w:rPr>
      <w:rFonts w:ascii="方正仿宋_GBK" w:hAnsi="方正仿宋_GBK" w:eastAsia="方正仿宋_GBK" w:cs="方正仿宋_GBK"/>
      <w:sz w:val="16"/>
      <w:szCs w:val="16"/>
      <w:lang w:val="en-US" w:eastAsia="en-US" w:bidi="ar-SA"/>
    </w:rPr>
  </w:style>
  <w:style w:type="table" w:customStyle="1" w:styleId="13">
    <w:name w:val="Table Normal"/>
    <w:basedOn w:val="3"/>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742</Words>
  <Characters>752</Characters>
  <Lines>0</Lines>
  <Paragraphs>0</Paragraphs>
  <TotalTime>2</TotalTime>
  <ScaleCrop>false</ScaleCrop>
  <LinksUpToDate>false</LinksUpToDate>
  <CharactersWithSpaces>754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2025-04-17T02:24:00Z</dcterms:created>
  <dc:creator>小雨滴707</dc:creator>
  <cp:lastModifiedBy>+1</cp:lastModifiedBy>
  <dcterms:modified xsi:type="dcterms:W3CDTF">2025-10-30T07:00:00Z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F06E3BCDF9464187B9D20E61A474F287_11</vt:lpwstr>
  </property>
  <property fmtid="{D5CDD505-2E9C-101B-9397-08002B2CF9AE}" pid="4" name="KSOTemplateDocerSaveRecord">
    <vt:lpwstr>eyJoZGlkIjoiZjZlMzA5YjA1NjlkNTExNTE2NmI1OGIzZTcyMDAzY2YiLCJ1c2VySWQiOiIzNDgxMTE4MjUifQ==</vt:lpwstr>
  </property>
</Properties>
</file>