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color w:val="000000"/>
        </w:rPr>
      </w:pPr>
    </w:p>
    <w:p>
      <w:pPr>
        <w:spacing w:line="600" w:lineRule="exact"/>
        <w:jc w:val="center"/>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eastAsia="仿宋_GB2312"/>
          <w:color w:val="000000"/>
          <w:sz w:val="32"/>
          <w:szCs w:val="32"/>
        </w:rPr>
      </w:pPr>
    </w:p>
    <w:p>
      <w:pPr>
        <w:spacing w:line="600" w:lineRule="exact"/>
        <w:jc w:val="center"/>
        <w:rPr>
          <w:rFonts w:hint="eastAsia" w:ascii="仿宋_GB2312" w:eastAsia="仿宋_GB2312"/>
          <w:color w:val="000000"/>
          <w:sz w:val="32"/>
          <w:szCs w:val="32"/>
        </w:rPr>
      </w:pPr>
    </w:p>
    <w:p>
      <w:pPr>
        <w:spacing w:line="600" w:lineRule="exact"/>
        <w:jc w:val="center"/>
        <w:rPr>
          <w:rFonts w:ascii="仿宋_GB2312" w:eastAsia="仿宋_GB2312"/>
          <w:color w:val="000000"/>
          <w:sz w:val="32"/>
          <w:szCs w:val="32"/>
        </w:rPr>
      </w:pPr>
    </w:p>
    <w:p>
      <w:pPr>
        <w:spacing w:line="560" w:lineRule="exact"/>
        <w:jc w:val="center"/>
        <w:rPr>
          <w:rFonts w:ascii="仿宋_GB2312" w:eastAsia="仿宋_GB2312"/>
          <w:sz w:val="32"/>
          <w:szCs w:val="32"/>
        </w:rPr>
      </w:pPr>
      <w:r>
        <w:rPr>
          <w:rFonts w:hint="eastAsia" w:ascii="仿宋_GB2312" w:eastAsia="仿宋_GB2312"/>
          <w:color w:val="000000"/>
          <w:sz w:val="32"/>
          <w:szCs w:val="32"/>
        </w:rPr>
        <w:t>威卫</w:t>
      </w:r>
      <w:r>
        <w:rPr>
          <w:rFonts w:hint="eastAsia" w:ascii="仿宋_GB2312" w:eastAsia="仿宋_GB2312"/>
          <w:color w:val="000000"/>
          <w:sz w:val="32"/>
          <w:szCs w:val="32"/>
          <w:lang w:eastAsia="zh-CN"/>
        </w:rPr>
        <w:t>办</w:t>
      </w:r>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25</w:t>
      </w:r>
      <w:r>
        <w:rPr>
          <w:rFonts w:hint="eastAsia" w:ascii="仿宋_GB2312" w:eastAsia="仿宋_GB2312"/>
          <w:sz w:val="32"/>
          <w:szCs w:val="32"/>
        </w:rPr>
        <w:t>号</w:t>
      </w:r>
    </w:p>
    <w:p>
      <w:pPr>
        <w:spacing w:line="560" w:lineRule="exact"/>
        <w:jc w:val="center"/>
        <w:rPr>
          <w:rFonts w:ascii="仿宋_GB2312" w:eastAsia="仿宋_GB2312"/>
          <w:sz w:val="32"/>
          <w:szCs w:val="32"/>
        </w:rPr>
      </w:pPr>
    </w:p>
    <w:p>
      <w:pPr>
        <w:spacing w:line="68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威县卫生健康局</w:t>
      </w:r>
    </w:p>
    <w:p>
      <w:pPr>
        <w:pStyle w:val="2"/>
        <w:pageBreakBefore w:val="0"/>
        <w:widowControl w:val="0"/>
        <w:kinsoku/>
        <w:wordWrap/>
        <w:overflowPunct/>
        <w:topLinePunct w:val="0"/>
        <w:autoSpaceDE/>
        <w:autoSpaceDN/>
        <w:bidi w:val="0"/>
        <w:adjustRightInd/>
        <w:snapToGrid/>
        <w:spacing w:before="0" w:beforeLines="0" w:after="0" w:afterLines="0" w:line="640" w:lineRule="exact"/>
        <w:jc w:val="center"/>
        <w:textAlignment w:val="auto"/>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eastAsia="zh-CN"/>
        </w:rPr>
        <w:t>关于深化卫生健康惠民新举措的通知</w:t>
      </w:r>
    </w:p>
    <w:p/>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各卫生健康单位：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在县委、县政府的正确领导下，我局全面贯彻落实党的十九大精神和习近平总书记关于卫生健康工作的重要指示精神，坚持新时代卫生与健康工作方针，以提升全民健康水平为中心，以医共体建设、智慧医疗建设为抓手，规范乡村卫生一体化管理、基本公共卫生和家庭医生签约服务，全县卫生健康事业保持了良好发展态势。特别是开展漠视群众利益问题专项整治以来，更加巩固深化了卫生健康惠民工作。请各单位按照局机关出台的有关政策文件，把惠民实事做实，切实提高广大群众幸福感和获得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0C0C0C"/>
          <w:sz w:val="32"/>
          <w:szCs w:val="32"/>
          <w:lang w:val="en-US" w:eastAsia="zh-CN"/>
        </w:rPr>
        <w:t>一、医疗卫生项目建设稳步推进。</w:t>
      </w:r>
      <w:r>
        <w:rPr>
          <w:rFonts w:hint="eastAsia" w:ascii="仿宋_GB2312" w:hAnsi="仿宋_GB2312" w:eastAsia="仿宋_GB2312" w:cs="仿宋_GB2312"/>
          <w:sz w:val="32"/>
          <w:szCs w:val="32"/>
          <w:lang w:val="en-US" w:eastAsia="zh-CN"/>
        </w:rPr>
        <w:t>县医院医技楼和县疾病预防控制中心暨妇幼保健院综合楼即将竣工，中医院病房楼正在稳步推进，高公庄乡、方家营镇等两个乡镇卫生院改造已竣工。我们要进一步完善硬件建设。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 w:eastAsia="仿宋_GB2312"/>
          <w:color w:val="000000"/>
          <w:kern w:val="0"/>
          <w:sz w:val="32"/>
          <w:szCs w:val="32"/>
          <w:lang w:eastAsia="zh-CN"/>
        </w:rPr>
      </w:pPr>
      <w:r>
        <w:rPr>
          <w:rFonts w:hint="eastAsia" w:ascii="楷体_GB2312" w:hAnsi="楷体_GB2312" w:eastAsia="楷体_GB2312" w:cs="楷体_GB2312"/>
          <w:color w:val="0C0C0C"/>
          <w:sz w:val="32"/>
          <w:szCs w:val="32"/>
          <w:lang w:val="en-US" w:eastAsia="zh-CN"/>
        </w:rPr>
        <w:t>二、提升卫生健康服务能力。</w:t>
      </w:r>
      <w:r>
        <w:rPr>
          <w:rFonts w:hint="eastAsia" w:ascii="仿宋_GB2312" w:hAnsi="仿宋" w:eastAsia="仿宋_GB2312"/>
          <w:color w:val="000000"/>
          <w:kern w:val="0"/>
          <w:sz w:val="32"/>
          <w:szCs w:val="32"/>
          <w:lang w:eastAsia="zh-CN"/>
        </w:rPr>
        <w:t>县医院卒中中心获得通过，中医院扎实开展对外联络，强化智慧医疗建设，</w:t>
      </w:r>
      <w:r>
        <w:rPr>
          <w:rFonts w:hint="eastAsia" w:ascii="仿宋_GB2312" w:hAnsi="仿宋" w:eastAsia="仿宋_GB2312"/>
          <w:color w:val="000000"/>
          <w:kern w:val="0"/>
          <w:sz w:val="32"/>
          <w:szCs w:val="32"/>
          <w:lang w:val="en-US" w:eastAsia="zh-CN"/>
        </w:rPr>
        <w:t>搭建了县域云影像平台，促进县域影像中心建设、乡级信息化建设。</w:t>
      </w:r>
      <w:r>
        <w:rPr>
          <w:rFonts w:hint="eastAsia" w:ascii="仿宋_GB2312" w:hAnsi="仿宋" w:eastAsia="仿宋_GB2312"/>
          <w:color w:val="000000"/>
          <w:kern w:val="0"/>
          <w:sz w:val="32"/>
          <w:szCs w:val="32"/>
          <w:lang w:eastAsia="zh-CN"/>
        </w:rPr>
        <w:t>乡村两级要以一体化改革为重点，加强医疗</w:t>
      </w:r>
      <w:r>
        <w:rPr>
          <w:rFonts w:hint="eastAsia" w:ascii="仿宋_GB2312" w:hAnsi="仿宋" w:eastAsia="仿宋_GB2312"/>
          <w:color w:val="000000"/>
          <w:kern w:val="0"/>
          <w:sz w:val="32"/>
          <w:szCs w:val="32"/>
        </w:rPr>
        <w:t>卫生人员在职培训，</w:t>
      </w:r>
      <w:r>
        <w:rPr>
          <w:rFonts w:hint="eastAsia" w:ascii="仿宋_GB2312" w:hAnsi="仿宋" w:eastAsia="仿宋_GB2312"/>
          <w:color w:val="000000"/>
          <w:kern w:val="0"/>
          <w:sz w:val="32"/>
          <w:szCs w:val="32"/>
          <w:lang w:eastAsia="zh-CN"/>
        </w:rPr>
        <w:t>全面提升县乡村三级卫生健康服务能力。</w:t>
      </w:r>
    </w:p>
    <w:p>
      <w:pPr>
        <w:keepNext w:val="0"/>
        <w:keepLines w:val="0"/>
        <w:pageBreakBefore w:val="0"/>
        <w:widowControl w:val="0"/>
        <w:kinsoku/>
        <w:wordWrap/>
        <w:overflowPunct/>
        <w:topLinePunct w:val="0"/>
        <w:autoSpaceDE/>
        <w:autoSpaceDN/>
        <w:bidi w:val="0"/>
        <w:spacing w:line="580" w:lineRule="exact"/>
        <w:ind w:firstLine="707" w:firstLineChars="221"/>
        <w:textAlignment w:val="auto"/>
        <w:outlineLvl w:val="9"/>
        <w:rPr>
          <w:rFonts w:hint="eastAsia" w:ascii="楷体_GB2312" w:hAnsi="楷体_GB2312" w:eastAsia="仿宋_GB2312" w:cs="楷体_GB2312"/>
          <w:sz w:val="32"/>
          <w:szCs w:val="32"/>
          <w:lang w:val="en-US" w:eastAsia="zh-CN"/>
        </w:rPr>
      </w:pPr>
      <w:r>
        <w:rPr>
          <w:rFonts w:hint="eastAsia" w:ascii="楷体_GB2312" w:hAnsi="楷体_GB2312" w:eastAsia="楷体_GB2312" w:cs="楷体_GB2312"/>
          <w:color w:val="0C0C0C"/>
          <w:sz w:val="32"/>
          <w:szCs w:val="32"/>
          <w:lang w:val="en-US" w:eastAsia="zh-CN"/>
        </w:rPr>
        <w:t>三、全生命周期管理正式启动。</w:t>
      </w:r>
      <w:r>
        <w:rPr>
          <w:rFonts w:hint="eastAsia" w:ascii="仿宋_GB2312" w:hAnsi="仿宋_GB2312" w:eastAsia="仿宋_GB2312" w:cs="仿宋_GB2312"/>
          <w:color w:val="000000"/>
          <w:sz w:val="32"/>
          <w:szCs w:val="32"/>
        </w:rPr>
        <w:t>以家庭医生签约服务为切入点，充分利用互联网+健康科技手段，采用签约医师牵总、行业部门响应、绩效考核定性的管理模式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推进全人群、全方位、全周期卫生健康服务落实、落地。</w:t>
      </w:r>
      <w:r>
        <w:rPr>
          <w:rFonts w:hint="eastAsia" w:ascii="仿宋_GB2312" w:hAnsi="仿宋_GB2312" w:eastAsia="仿宋_GB2312" w:cs="仿宋_GB2312"/>
          <w:color w:val="000000"/>
          <w:sz w:val="32"/>
          <w:szCs w:val="32"/>
          <w:lang w:val="en-US" w:eastAsia="zh-CN"/>
        </w:rPr>
        <w:t>5月份</w:t>
      </w:r>
      <w:r>
        <w:rPr>
          <w:rFonts w:hint="eastAsia" w:ascii="仿宋_GB2312" w:hAnsi="仿宋_GB2312" w:eastAsia="仿宋_GB2312" w:cs="仿宋_GB2312"/>
          <w:color w:val="000000"/>
          <w:sz w:val="32"/>
          <w:szCs w:val="32"/>
          <w:lang w:eastAsia="zh-CN"/>
        </w:rPr>
        <w:t>选取了六个试点乡镇先行先试，</w:t>
      </w:r>
      <w:r>
        <w:rPr>
          <w:rFonts w:hint="eastAsia" w:ascii="仿宋_GB2312" w:hAnsi="仿宋_GB2312" w:eastAsia="仿宋_GB2312" w:cs="仿宋_GB2312"/>
          <w:sz w:val="32"/>
          <w:szCs w:val="32"/>
          <w:lang w:eastAsia="zh-CN"/>
        </w:rPr>
        <w:t>正式开启了这项工作，</w:t>
      </w:r>
      <w:r>
        <w:rPr>
          <w:rFonts w:hint="eastAsia" w:ascii="仿宋_GB2312" w:hAnsi="仿宋_GB2312" w:eastAsia="仿宋_GB2312" w:cs="仿宋_GB2312"/>
          <w:color w:val="000000"/>
          <w:sz w:val="32"/>
          <w:szCs w:val="32"/>
          <w:lang w:eastAsia="zh-CN"/>
        </w:rPr>
        <w:t>目前，已在全县铺开，并获得群众充分认可。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四、实施乡村卫生一体化管理。</w:t>
      </w:r>
      <w:r>
        <w:rPr>
          <w:rFonts w:hint="eastAsia" w:ascii="仿宋_GB2312" w:eastAsia="仿宋_GB2312"/>
          <w:bCs/>
          <w:sz w:val="32"/>
          <w:szCs w:val="32"/>
        </w:rPr>
        <w:t>创新实施</w:t>
      </w:r>
      <w:r>
        <w:rPr>
          <w:rFonts w:hint="eastAsia" w:ascii="仿宋_GB2312" w:hAnsi="仿宋_GB2312" w:eastAsia="仿宋_GB2312" w:cs="仿宋_GB2312"/>
          <w:sz w:val="32"/>
          <w:szCs w:val="32"/>
          <w:lang w:val="en-US" w:eastAsia="zh-CN"/>
        </w:rPr>
        <w:t>人员聘任、准入退出管理、财务管理、药械管理、业务管理、绩效考核管理、信息化管理、标准化管理等</w:t>
      </w:r>
      <w:r>
        <w:rPr>
          <w:rFonts w:hint="eastAsia" w:ascii="仿宋_GB2312" w:eastAsia="仿宋_GB2312"/>
          <w:bCs/>
          <w:sz w:val="32"/>
          <w:szCs w:val="32"/>
        </w:rPr>
        <w:t>“</w:t>
      </w:r>
      <w:r>
        <w:rPr>
          <w:rFonts w:hint="eastAsia" w:ascii="仿宋_GB2312" w:eastAsia="仿宋_GB2312"/>
          <w:bCs/>
          <w:sz w:val="32"/>
          <w:szCs w:val="32"/>
          <w:lang w:eastAsia="zh-CN"/>
        </w:rPr>
        <w:t>八</w:t>
      </w:r>
      <w:r>
        <w:rPr>
          <w:rFonts w:hint="eastAsia" w:ascii="仿宋_GB2312" w:eastAsia="仿宋_GB2312"/>
          <w:bCs/>
          <w:sz w:val="32"/>
          <w:szCs w:val="32"/>
        </w:rPr>
        <w:t>个统一”</w:t>
      </w:r>
      <w:r>
        <w:rPr>
          <w:rFonts w:hint="eastAsia" w:ascii="仿宋_GB2312" w:eastAsia="仿宋_GB2312"/>
          <w:bCs/>
          <w:sz w:val="32"/>
          <w:szCs w:val="32"/>
          <w:lang w:eastAsia="zh-CN"/>
        </w:rPr>
        <w:t>，</w:t>
      </w:r>
      <w:r>
        <w:rPr>
          <w:rFonts w:hint="eastAsia" w:ascii="仿宋_GB2312" w:hAnsi="仿宋_GB2312" w:eastAsia="仿宋_GB2312" w:cs="仿宋_GB2312"/>
          <w:color w:val="000000"/>
          <w:sz w:val="32"/>
          <w:szCs w:val="32"/>
        </w:rPr>
        <w:t>医防融合、医体融合、医养融合</w:t>
      </w:r>
      <w:r>
        <w:rPr>
          <w:rFonts w:hint="eastAsia" w:ascii="仿宋_GB2312" w:hAnsi="仿宋_GB2312" w:eastAsia="仿宋_GB2312" w:cs="仿宋_GB2312"/>
          <w:color w:val="000000"/>
          <w:sz w:val="32"/>
          <w:szCs w:val="32"/>
          <w:lang w:eastAsia="zh-CN"/>
        </w:rPr>
        <w:t>、医师互派等</w:t>
      </w:r>
      <w:r>
        <w:rPr>
          <w:rFonts w:hint="eastAsia" w:ascii="仿宋_GB2312" w:eastAsia="仿宋_GB2312"/>
          <w:bCs/>
          <w:sz w:val="32"/>
          <w:szCs w:val="32"/>
        </w:rPr>
        <w:t>“</w:t>
      </w:r>
      <w:r>
        <w:rPr>
          <w:rFonts w:hint="eastAsia" w:ascii="仿宋_GB2312" w:eastAsia="仿宋_GB2312"/>
          <w:bCs/>
          <w:sz w:val="32"/>
          <w:szCs w:val="32"/>
          <w:lang w:eastAsia="zh-CN"/>
        </w:rPr>
        <w:t>四</w:t>
      </w:r>
      <w:r>
        <w:rPr>
          <w:rFonts w:hint="eastAsia" w:ascii="仿宋_GB2312" w:eastAsia="仿宋_GB2312"/>
          <w:bCs/>
          <w:sz w:val="32"/>
          <w:szCs w:val="32"/>
        </w:rPr>
        <w:t>项机制”，搭建</w:t>
      </w:r>
      <w:r>
        <w:rPr>
          <w:rFonts w:hint="eastAsia" w:ascii="仿宋_GB2312" w:eastAsia="仿宋_GB2312"/>
          <w:bCs/>
          <w:sz w:val="32"/>
          <w:szCs w:val="32"/>
          <w:lang w:eastAsia="zh-CN"/>
        </w:rPr>
        <w:t>了</w:t>
      </w:r>
      <w:r>
        <w:rPr>
          <w:rFonts w:hint="eastAsia" w:ascii="仿宋_GB2312" w:eastAsia="仿宋_GB2312"/>
          <w:bCs/>
          <w:sz w:val="32"/>
          <w:szCs w:val="32"/>
        </w:rPr>
        <w:t>乡村卫生一体化管理改革的“四梁八柱”。</w:t>
      </w:r>
      <w:r>
        <w:rPr>
          <w:rFonts w:hint="eastAsia" w:ascii="仿宋_GB2312" w:hAnsi="仿宋_GB2312" w:eastAsia="仿宋_GB2312" w:cs="仿宋_GB2312"/>
          <w:sz w:val="32"/>
          <w:szCs w:val="32"/>
          <w:lang w:eastAsia="zh-CN"/>
        </w:rPr>
        <w:t>已在全县各乡镇全面推开，对57</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名乡村医生进行了统一考试，通过考试考核，与全县</w:t>
      </w:r>
      <w:r>
        <w:rPr>
          <w:rFonts w:hint="eastAsia" w:ascii="仿宋_GB2312" w:hAnsi="仿宋_GB2312" w:eastAsia="仿宋_GB2312" w:cs="仿宋_GB2312"/>
          <w:sz w:val="32"/>
          <w:szCs w:val="32"/>
          <w:lang w:val="en-US" w:eastAsia="zh-CN"/>
        </w:rPr>
        <w:t>570</w:t>
      </w:r>
      <w:r>
        <w:rPr>
          <w:rFonts w:hint="eastAsia" w:ascii="仿宋_GB2312" w:hAnsi="仿宋_GB2312" w:eastAsia="仿宋_GB2312" w:cs="仿宋_GB2312"/>
          <w:sz w:val="32"/>
          <w:szCs w:val="32"/>
          <w:lang w:eastAsia="zh-CN"/>
        </w:rPr>
        <w:t>名乡村医生签订协议，并为</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lang w:val="en-US" w:eastAsia="zh-CN"/>
        </w:rPr>
        <w:t>乡村医生缴纳了养老保险。乡村卫生一体化运行效果良好，为全省开展此项工作打造了改革模板，4月份以来，全省各地市共72个县市区前来观摩学习。</w:t>
      </w:r>
      <w:r>
        <w:rPr>
          <w:rFonts w:hint="eastAsia" w:ascii="仿宋_GB2312" w:hAnsi="仿宋_GB2312" w:eastAsia="仿宋_GB2312" w:cs="仿宋_GB2312"/>
          <w:sz w:val="32"/>
          <w:szCs w:val="32"/>
          <w:lang w:eastAsia="zh-CN"/>
        </w:rPr>
        <w:t>分别在</w:t>
      </w:r>
      <w:r>
        <w:rPr>
          <w:rFonts w:hint="eastAsia" w:ascii="仿宋_GB2312" w:hAnsi="仿宋_GB2312" w:eastAsia="仿宋_GB2312" w:cs="仿宋_GB2312"/>
          <w:sz w:val="32"/>
          <w:szCs w:val="32"/>
          <w:lang w:val="en-US" w:eastAsia="zh-CN"/>
        </w:rPr>
        <w:t>3月22日全市卫生健康工作会议和3月26日全省基层卫生工作会议上作典型发言，4月3日市委、市政府在我县召开了全市乡村卫生健康服务一体化管理改革工作现场会。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五、成功创建国家级卫生县城。</w:t>
      </w:r>
      <w:r>
        <w:rPr>
          <w:rFonts w:hint="default" w:ascii="仿宋_GB2312" w:hAnsi="仿宋_GB2312" w:eastAsia="仿宋_GB2312" w:cs="仿宋_GB2312"/>
          <w:sz w:val="32"/>
          <w:szCs w:val="32"/>
          <w:lang w:val="en-US" w:eastAsia="zh-CN"/>
        </w:rPr>
        <w:t>在省级卫生县城基础上，接力创建国家卫生县城，在县委、县政府的正确领导下，在有关部门的积极配合下，于10月份顺利通过省级评估验收，正在等待国家命名。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sz w:val="32"/>
          <w:szCs w:val="32"/>
          <w:lang w:val="en-US" w:eastAsia="zh-CN"/>
        </w:rPr>
        <w:t>六、持续实施健康扶贫。</w:t>
      </w:r>
      <w:r>
        <w:rPr>
          <w:rFonts w:hint="eastAsia" w:ascii="仿宋_GB2312" w:hAnsi="仿宋_GB2312" w:eastAsia="仿宋_GB2312" w:cs="仿宋_GB2312"/>
          <w:color w:val="000000"/>
          <w:sz w:val="32"/>
          <w:szCs w:val="32"/>
          <w:lang w:eastAsia="zh-CN"/>
        </w:rPr>
        <w:t>对照中央脱贫攻坚专项巡视通报指出的问题，对照2018年中央巡视，2018年国家扶贫成效考核反馈问题，全面查摆问题强化整改，目前各项问题均已全部整改到位。聚焦贫困人口基本医疗有保障突出问题，巩固、深化家庭病床和爱心助贫包服务模式，准确把握医疗卫生机构“三个一”、医疗技术人员“三合格”、医疗服务能力“三条线”，全面消除“空白点”，确保医疗保障制度全覆盖。组织县乡村三级医疗卫生服务人员，走村入户，提供医疗卫生服务20000余次，对8937个家庭进行健康教育和政策讲解。增强了贫困人口的获得感和满意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2019年11月12日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华文仿宋" w:hAnsi="华文仿宋" w:eastAsia="华文仿宋" w:cs="华文仿宋"/>
          <w:sz w:val="32"/>
          <w:szCs w:val="32"/>
          <w:lang w:eastAsia="zh-CN"/>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175260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13.8pt;height:0pt;width:441pt;z-index:251659264;mso-width-relative:page;mso-height-relative:page;" filled="f" stroked="t" coordsize="21600,21600" o:gfxdata="UEsDBAoAAAAAAIdO4kAAAAAAAAAAAAAAAAAEAAAAZHJzL1BLAwQUAAAACACHTuJA6/EYktYAAAAI&#10;AQAADwAAAGRycy9kb3ducmV2LnhtbE2PzU7DMBCE70i8g7VIXKrWbiq1JcTpAciNCwXEdRsvSUS8&#10;TmP3B56eRRzguDOj2W+Kzdn36khj7AJbmM8MKOI6uI4bCy/P1XQNKiZkh31gsvBJETbl5UWBuQsn&#10;fqLjNjVKSjjmaKFNaci1jnVLHuMsDMTivYfRY5JzbLQb8STlvteZMUvtsWP50OJAdy3VH9uDtxCr&#10;V9pXX5N6Yt4WTaBsf//4gNZeX83NLahE5/QXhh98QYdSmHbhwC6q3sJ0IVOShWy1BCX+enUjwu5X&#10;0GWh/w8ovwFQSwMEFAAAAAgAh07iQPzZCx3fAQAApAMAAA4AAABkcnMvZTJvRG9jLnhtbK1TzY7T&#10;MBC+I/EOlu80aaVuIWq6hy3LBUEl4AGmtpNY8p883qZ9CV4AiRucOHLnbdh9DMZutyxwQYgcnLFn&#10;5vN8X74sL/fWsJ2KqL1r+XRSc6ac8FK7vuXv3l4/ecoZJnASjHeq5QeF/HL1+NFyDI2a+cEbqSIj&#10;EIfNGFo+pBSaqkIxKAs48UE5SnY+Wki0jX0lI4yEbk01q+uLavRRhuiFQqTT9THJVwW/65RIr7sO&#10;VWKm5TRbKmss6zav1WoJTR8hDFqcxoB/mMKCdnTpGWoNCdhN1H9AWS2iR9+lifC28l2nhSociM20&#10;/o3NmwGCKlxIHAxnmfD/wYpXu01kWrZ8wZkDS5/o9sPX7+8/3X37SOvtl89skUUaAzZUe+U28bTD&#10;sImZ8b6LNr+JC9sXYQ9nYdU+MUGH84u6XtSkv7jPVT8bQ8T0QnnLctByo13mDA3sXmKiy6j0viQf&#10;G8fGlj+bz+YEB2SZzkCi0AYiga4vveiNltfamNyBsd9emch2kE1QnkyJcH8py5esAYdjXUkd7TEo&#10;kM+dZOkQSB5HPuZ5BKskZ0aR7XNEgNAk0OZvKulq43KDKhY98cwaH1XN0dbLA32amxB1P5Au0zJz&#10;zpAVyvQn22avPdxT/PDnW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EYktYAAAAIAQAADwAA&#10;AAAAAAABACAAAAAiAAAAZHJzL2Rvd25yZXYueG1sUEsBAhQAFAAAAAgAh07iQPzZCx3fAQAApAMA&#10;AA4AAAAAAAAAAQAgAAAAJQEAAGRycy9lMm9Eb2MueG1sUEsFBgAAAAAGAAYAWQEAAHYFAAAAAA==&#10;">
                <v:path arrowok="t"/>
                <v:fill on="f" focussize="0,0"/>
                <v:stroke joinstyle="round"/>
                <v:imagedata o:title=""/>
                <o:lock v:ext="edit" aspectratio="f"/>
              </v:line>
            </w:pict>
          </mc:Fallback>
        </mc:AlternateContent>
      </w:r>
    </w:p>
    <w:p>
      <w:pPr>
        <w:spacing w:line="580" w:lineRule="exact"/>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威县卫生</w:t>
      </w:r>
      <w:r>
        <w:rPr>
          <w:rFonts w:hint="eastAsia" w:ascii="仿宋_GB2312" w:hAnsi="仿宋_GB2312" w:eastAsia="仿宋_GB2312" w:cs="仿宋_GB2312"/>
          <w:color w:val="000000"/>
          <w:spacing w:val="4"/>
          <w:sz w:val="32"/>
          <w:szCs w:val="32"/>
          <w:lang w:eastAsia="zh-CN"/>
        </w:rPr>
        <w:t>健康</w:t>
      </w:r>
      <w:r>
        <w:rPr>
          <w:rFonts w:hint="eastAsia" w:ascii="仿宋_GB2312" w:hAnsi="仿宋_GB2312" w:eastAsia="仿宋_GB2312" w:cs="仿宋_GB2312"/>
          <w:color w:val="000000"/>
          <w:spacing w:val="4"/>
          <w:sz w:val="32"/>
          <w:szCs w:val="32"/>
        </w:rPr>
        <w:t>局办公室</w:t>
      </w:r>
      <w:r>
        <w:rPr>
          <w:rFonts w:ascii="仿宋_GB2312" w:hAnsi="仿宋_GB2312" w:eastAsia="仿宋_GB2312" w:cs="仿宋_GB2312"/>
          <w:color w:val="000000"/>
          <w:spacing w:val="4"/>
          <w:sz w:val="32"/>
          <w:szCs w:val="32"/>
        </w:rPr>
        <w:t xml:space="preserve">    </w:t>
      </w:r>
      <w:r>
        <w:rPr>
          <w:rFonts w:hint="eastAsia" w:ascii="仿宋_GB2312" w:hAnsi="仿宋_GB2312" w:eastAsia="仿宋_GB2312" w:cs="仿宋_GB2312"/>
          <w:color w:val="000000"/>
          <w:spacing w:val="4"/>
          <w:sz w:val="32"/>
          <w:szCs w:val="32"/>
          <w:lang w:val="en-US" w:eastAsia="zh-CN"/>
        </w:rPr>
        <w:t xml:space="preserve">      </w:t>
      </w:r>
      <w:r>
        <w:rPr>
          <w:rFonts w:ascii="仿宋_GB2312" w:hAnsi="仿宋_GB2312" w:eastAsia="仿宋_GB2312" w:cs="仿宋_GB2312"/>
          <w:color w:val="000000"/>
          <w:spacing w:val="4"/>
          <w:sz w:val="32"/>
          <w:szCs w:val="32"/>
        </w:rPr>
        <w:t xml:space="preserve">      201</w:t>
      </w:r>
      <w:r>
        <w:rPr>
          <w:rFonts w:hint="eastAsia" w:ascii="仿宋_GB2312" w:hAnsi="仿宋_GB2312" w:eastAsia="仿宋_GB2312" w:cs="仿宋_GB2312"/>
          <w:color w:val="000000"/>
          <w:spacing w:val="4"/>
          <w:sz w:val="32"/>
          <w:szCs w:val="32"/>
          <w:lang w:val="en-US" w:eastAsia="zh-CN"/>
        </w:rPr>
        <w:t>9</w:t>
      </w:r>
      <w:r>
        <w:rPr>
          <w:rFonts w:hint="eastAsia" w:ascii="仿宋_GB2312" w:hAnsi="仿宋_GB2312" w:eastAsia="仿宋_GB2312" w:cs="仿宋_GB2312"/>
          <w:color w:val="000000"/>
          <w:spacing w:val="4"/>
          <w:sz w:val="32"/>
          <w:szCs w:val="32"/>
        </w:rPr>
        <w:t>年</w:t>
      </w:r>
      <w:r>
        <w:rPr>
          <w:rFonts w:hint="eastAsia" w:ascii="仿宋_GB2312" w:hAnsi="仿宋_GB2312" w:eastAsia="仿宋_GB2312" w:cs="仿宋_GB2312"/>
          <w:color w:val="000000"/>
          <w:spacing w:val="4"/>
          <w:sz w:val="32"/>
          <w:szCs w:val="32"/>
          <w:lang w:val="en-US" w:eastAsia="zh-CN"/>
        </w:rPr>
        <w:t>11</w:t>
      </w:r>
      <w:r>
        <w:rPr>
          <w:rFonts w:hint="eastAsia" w:ascii="仿宋_GB2312" w:hAnsi="仿宋_GB2312" w:eastAsia="仿宋_GB2312" w:cs="仿宋_GB2312"/>
          <w:color w:val="000000"/>
          <w:spacing w:val="4"/>
          <w:sz w:val="32"/>
          <w:szCs w:val="32"/>
        </w:rPr>
        <w:t>月</w:t>
      </w:r>
      <w:r>
        <w:rPr>
          <w:rFonts w:hint="eastAsia" w:ascii="仿宋_GB2312" w:hAnsi="仿宋_GB2312" w:eastAsia="仿宋_GB2312" w:cs="仿宋_GB2312"/>
          <w:color w:val="000000"/>
          <w:spacing w:val="4"/>
          <w:sz w:val="32"/>
          <w:szCs w:val="32"/>
          <w:lang w:val="en-US" w:eastAsia="zh-CN"/>
        </w:rPr>
        <w:t>12</w:t>
      </w:r>
      <w:r>
        <w:rPr>
          <w:rFonts w:hint="eastAsia" w:ascii="仿宋_GB2312" w:hAnsi="仿宋_GB2312" w:eastAsia="仿宋_GB2312" w:cs="仿宋_GB2312"/>
          <w:color w:val="000000"/>
          <w:spacing w:val="4"/>
          <w:sz w:val="32"/>
          <w:szCs w:val="32"/>
        </w:rPr>
        <w:t>日印</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right"/>
        <w:textAlignment w:val="auto"/>
        <w:outlineLvl w:val="9"/>
        <w:rPr>
          <w:rFonts w:hint="eastAsia" w:ascii="仿宋_GB2312" w:hAnsi="仿宋_GB2312" w:eastAsia="仿宋_GB2312" w:cs="仿宋_GB2312"/>
          <w:sz w:val="32"/>
          <w:szCs w:val="32"/>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64135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5.05pt;height:0pt;width:441pt;z-index:251658240;mso-width-relative:page;mso-height-relative:page;" filled="f" stroked="t" coordsize="21600,21600" o:gfxdata="UEsDBAoAAAAAAIdO4kAAAAAAAAAAAAAAAAAEAAAAZHJzL1BLAwQUAAAACACHTuJA3DKuJtQAAAAI&#10;AQAADwAAAGRycy9kb3ducmV2LnhtbE2PzU7DMBCE70i8g7WVuFStnSJQFOL0AOTGhQLiuo2XJGq8&#10;TmP3B56eRRzguN+MZmfK9dkP6khT7ANbyJYGFHETXM+thdeXepGDignZ4RCYLHxShHV1eVFi4cKJ&#10;n+m4Sa2SEI4FWuhSGgutY9ORx7gMI7FoH2HymOScWu0mPEm4H/TKmFvtsWf50OFI9x01u83BW4j1&#10;G+3rr3kzN+/XbaDV/uHpEa29mmXmDlSic/ozw099qQ6VdNqGA7uoBguL7Eacwk0GSvQ8NwK2v0BX&#10;pf4/oPoGUEsDBBQAAAAIAIdO4kAsNUdY3gEAAKQDAAAOAAAAZHJzL2Uyb0RvYy54bWytU82O0zAQ&#10;viPxDpbvNGmkLhA13cOW5YKgEvAAU9tJLPlPHm/TvgQvgMQNThy58zYsj8HY7ZYFLgiRgzP2zHye&#10;78uX5eXeGrZTEbV3HZ/Pas6UE15qN3T87ZvrR084wwROgvFOdfygkF+uHj5YTqFVjR+9kSoyAnHY&#10;TqHjY0qhrSoUo7KAMx+Uo2Tvo4VE2zhUMsJE6NZUTV1fVJOPMkQvFCKdro9Jvir4fa9EetX3qBIz&#10;HafZUlljWbd5rVZLaIcIYdTiNAb8wxQWtKNLz1BrSMBuov4DymoRPfo+zYS3le97LVThQGzm9W9s&#10;Xo8QVOFC4mA4y4T/D1a83G0i07LjDWcOLH2i2/dfvr37+P3rB1pvP39iTRZpCthS7ZXbxNMOwyZm&#10;xvs+2vwmLmxfhD2chVX7xAQdLi7q+nFN+ou7XPWzMURMz5W3LAcdN9plztDC7gUmuoxK70rysXFs&#10;6vjTRbMgOCDL9AYShTYQCXRD6UVvtLzWxuQOjMP2ykS2g2yC8mRKhPtLWb5kDTge60rqaI9RgXzm&#10;JEuHQPI48jHPI1glOTOKbJ8jAoQ2gTZ/U0lXG5cbVLHoiWfW+KhqjrZeHujT3ISoh5F0mZeZc4as&#10;UKY/2TZ77f6e4vs/1+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DKuJtQAAAAIAQAADwAAAAAA&#10;AAABACAAAAAiAAAAZHJzL2Rvd25yZXYueG1sUEsBAhQAFAAAAAgAh07iQCw1R1jeAQAApAMAAA4A&#10;AAAAAAAAAQAgAAAAIwEAAGRycy9lMm9Eb2MueG1sUEsFBgAAAAAGAAYAWQEAAHMFAAAAAA==&#10;">
                <v:path arrowok="t"/>
                <v:fill on="f" focussize="0,0"/>
                <v:stroke joinstyle="round"/>
                <v:imagedata o:title=""/>
                <o:lock v:ext="edit" aspectratio="f"/>
              </v:line>
            </w:pict>
          </mc:Fallback>
        </mc:AlternateContent>
      </w:r>
    </w:p>
    <w:sectPr>
      <w:footerReference r:id="rId3" w:type="default"/>
      <w:pgSz w:w="11906" w:h="16838"/>
      <w:pgMar w:top="1814"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B0607"/>
    <w:rsid w:val="0CD85EE9"/>
    <w:rsid w:val="270F0096"/>
    <w:rsid w:val="30687503"/>
    <w:rsid w:val="353E53FE"/>
    <w:rsid w:val="3F2515F6"/>
    <w:rsid w:val="41785561"/>
    <w:rsid w:val="49261544"/>
    <w:rsid w:val="4E201F06"/>
    <w:rsid w:val="6FBA361D"/>
    <w:rsid w:val="722E4F5A"/>
    <w:rsid w:val="739F31F4"/>
    <w:rsid w:val="7D2A4F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2019-11-13T02:14:28Z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