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方正小标宋简体" w:hAnsi="方正小标宋简体" w:eastAsia="方正小标宋简体" w:cs="方正小标宋简体"/>
          <w:b w:val="0"/>
          <w:bCs/>
          <w:i w:val="0"/>
          <w:caps w:val="0"/>
          <w:color w:val="333333"/>
          <w:spacing w:val="0"/>
          <w:sz w:val="44"/>
          <w:szCs w:val="44"/>
          <w:shd w:val="clear" w:color="auto" w:fill="FFFFFF"/>
          <w:lang w:val="en-US" w:eastAsia="zh-CN"/>
        </w:rPr>
      </w:pPr>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val="en-US" w:eastAsia="zh-CN"/>
        </w:rPr>
        <w:t>威县退役军人事务局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rPr>
      </w:pPr>
      <w:r>
        <w:rPr>
          <w:rFonts w:hint="eastAsia" w:ascii="方正小标宋简体" w:hAnsi="方正小标宋简体" w:eastAsia="方正小标宋简体" w:cs="方正小标宋简体"/>
          <w:b w:val="0"/>
          <w:bCs/>
          <w:i w:val="0"/>
          <w:caps w:val="0"/>
          <w:color w:val="333333"/>
          <w:spacing w:val="0"/>
          <w:sz w:val="44"/>
          <w:szCs w:val="44"/>
          <w:shd w:val="clear" w:color="auto" w:fill="FFFFFF"/>
        </w:rPr>
        <w:t>202</w:t>
      </w:r>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val="en-US" w:eastAsia="zh-CN"/>
        </w:rPr>
        <w:t>3</w:t>
      </w:r>
      <w:r>
        <w:rPr>
          <w:rFonts w:hint="eastAsia" w:ascii="方正小标宋简体" w:hAnsi="方正小标宋简体" w:eastAsia="方正小标宋简体" w:cs="方正小标宋简体"/>
          <w:b w:val="0"/>
          <w:bCs/>
          <w:i w:val="0"/>
          <w:caps w:val="0"/>
          <w:color w:val="333333"/>
          <w:spacing w:val="0"/>
          <w:sz w:val="44"/>
          <w:szCs w:val="44"/>
          <w:shd w:val="clear" w:color="auto" w:fill="FFFFFF"/>
        </w:rPr>
        <w:t>年政府信息公开工作年度报告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rPr>
      </w:pP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left="0" w:leftChars="0" w:right="0" w:rightChars="0" w:firstLine="640" w:firstLineChars="200"/>
        <w:jc w:val="both"/>
        <w:textAlignment w:val="auto"/>
        <w:outlineLvl w:val="9"/>
        <w:rPr>
          <w:rFonts w:hint="default" w:ascii="仿宋_GB2312" w:eastAsia="仿宋_GB2312"/>
          <w:color w:val="000000"/>
          <w:sz w:val="32"/>
          <w:szCs w:val="32"/>
          <w:lang w:val="en-US" w:eastAsia="zh-CN" w:bidi="ar"/>
        </w:rPr>
      </w:pPr>
      <w:r>
        <w:rPr>
          <w:rFonts w:hint="eastAsia" w:ascii="仿宋_GB2312" w:eastAsia="仿宋_GB2312" w:cs="Times New Roman"/>
          <w:sz w:val="32"/>
          <w:szCs w:val="32"/>
          <w:lang w:val="en-US" w:eastAsia="zh-CN"/>
        </w:rPr>
        <w:t>根据《中华人民共和国政府信息公开条例》《河北省实施〈中华人民共和国政府信息公开条例〉办法》等规定，发布本年度报告，报告中所列数据统计期限为2023年1月1日至12月31日。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rPr>
        <w:t>一、总体情况</w:t>
      </w:r>
    </w:p>
    <w:p>
      <w:pPr>
        <w:pStyle w:val="5"/>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我局贯彻落实《中华人民共和国政府信息公开条例》，加强组织领导，落实政府信息公开工作分工，加强信息公开平台建设，坚持“以公开为常态，不公开为例外”原则，加强政务信息公开力度，强化政策宣传和解读工作，工作开展情况如下：</w:t>
      </w:r>
    </w:p>
    <w:p>
      <w:pPr>
        <w:pStyle w:val="5"/>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仿宋" w:eastAsia="楷体_GB2312" w:cs="Times New Roman"/>
          <w:color w:val="000000"/>
          <w:kern w:val="2"/>
          <w:sz w:val="32"/>
          <w:szCs w:val="32"/>
          <w:lang w:val="en-US" w:eastAsia="zh-CN" w:bidi="ar-SA"/>
        </w:rPr>
        <w:t>（一）主动公开情况。</w:t>
      </w:r>
      <w:r>
        <w:rPr>
          <w:rFonts w:hint="eastAsia" w:ascii="仿宋_GB2312" w:hAnsi="仿宋_GB2312" w:eastAsia="仿宋_GB2312" w:cs="仿宋_GB2312"/>
          <w:sz w:val="32"/>
          <w:szCs w:val="32"/>
          <w:lang w:val="en-US" w:eastAsia="zh-CN"/>
        </w:rPr>
        <w:t>2023年，我局通过网站频道主动公开政府信息212条，主要包含组织机构类、工作部署类、公告公示类、规划信息类等信息。</w:t>
      </w:r>
    </w:p>
    <w:p>
      <w:pPr>
        <w:pStyle w:val="5"/>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仿宋" w:eastAsia="楷体_GB2312" w:cs="Times New Roman"/>
          <w:color w:val="000000"/>
          <w:kern w:val="2"/>
          <w:sz w:val="32"/>
          <w:szCs w:val="32"/>
          <w:lang w:val="en-US" w:eastAsia="zh-CN" w:bidi="ar-SA"/>
        </w:rPr>
        <w:t>（二）依申请公开情况。</w:t>
      </w:r>
      <w:r>
        <w:rPr>
          <w:rFonts w:hint="eastAsia" w:ascii="仿宋_GB2312" w:hAnsi="仿宋_GB2312" w:eastAsia="仿宋_GB2312" w:cs="仿宋_GB2312"/>
          <w:sz w:val="32"/>
          <w:szCs w:val="32"/>
          <w:lang w:val="en-US" w:eastAsia="zh-CN"/>
        </w:rPr>
        <w:t>2023年度没有依申请公开信息。</w:t>
      </w:r>
    </w:p>
    <w:p>
      <w:pPr>
        <w:pStyle w:val="5"/>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仿宋" w:eastAsia="楷体_GB2312" w:cs="Times New Roman"/>
          <w:color w:val="000000"/>
          <w:kern w:val="2"/>
          <w:sz w:val="32"/>
          <w:szCs w:val="32"/>
          <w:lang w:val="en-US" w:eastAsia="zh-CN" w:bidi="ar-SA"/>
        </w:rPr>
        <w:t>（三）政府信息管理情况。</w:t>
      </w:r>
      <w:r>
        <w:rPr>
          <w:rFonts w:hint="eastAsia" w:ascii="仿宋_GB2312" w:hAnsi="仿宋_GB2312" w:eastAsia="仿宋_GB2312" w:cs="仿宋_GB2312"/>
          <w:sz w:val="32"/>
          <w:szCs w:val="32"/>
          <w:lang w:val="en-US" w:eastAsia="zh-CN"/>
        </w:rPr>
        <w:t>对单位公开发布的信息，都由主要领导审核后方可发布，以2023年度保密自查工作为契机，研究制定了文件制发、档案管理等机制，健全完善了政府信息制作、获取、保存、处理等方面制度，对政府信息进行全生命周期管理，并认真开展规范性文件清理工作。</w:t>
      </w:r>
    </w:p>
    <w:p>
      <w:pPr>
        <w:pStyle w:val="5"/>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仿宋" w:eastAsia="楷体_GB2312" w:cs="Times New Roman"/>
          <w:color w:val="000000"/>
          <w:kern w:val="2"/>
          <w:sz w:val="32"/>
          <w:szCs w:val="32"/>
          <w:lang w:val="en-US" w:eastAsia="zh-CN" w:bidi="ar-SA"/>
        </w:rPr>
        <w:t>（四）公开平台建设情况。</w:t>
      </w:r>
      <w:r>
        <w:rPr>
          <w:rFonts w:hint="eastAsia" w:ascii="仿宋_GB2312" w:hAnsi="仿宋_GB2312" w:eastAsia="仿宋_GB2312" w:cs="仿宋_GB2312"/>
          <w:sz w:val="32"/>
          <w:szCs w:val="32"/>
          <w:lang w:val="en-US" w:eastAsia="zh-CN"/>
        </w:rPr>
        <w:t>我局目前主要通过威县政府网站频道和我局微信公众号主动公开政府信息，强化信息公开力度。通过政府信息公开目录系统公开政府信息212条。我局微信公众号共有3469订阅量，2023年通过微信公众号主动发布信息共105条，其中，被退役军人事务部转发2篇，省厅、市局微信公众号、今日头条、抖音等平台转载20余篇，涉及退役军人慰问、双拥共建、就业创业、优抚褒扬等领域，广泛宣传关于社会解困、双拥创建等工作，营造社会良好氛围。除涉及国家秘密、商业秘密和个人隐私及其他依法不予公开的内容外，我局依法主动、及时公开政府信息。</w:t>
      </w:r>
    </w:p>
    <w:p>
      <w:pPr>
        <w:pStyle w:val="5"/>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仿宋" w:eastAsia="楷体_GB2312" w:cs="Times New Roman"/>
          <w:color w:val="000000"/>
          <w:kern w:val="2"/>
          <w:sz w:val="32"/>
          <w:szCs w:val="32"/>
          <w:lang w:val="en-US" w:eastAsia="zh-CN" w:bidi="ar-SA"/>
        </w:rPr>
        <w:t>（五）监督保障情况。</w:t>
      </w:r>
      <w:r>
        <w:rPr>
          <w:rFonts w:hint="eastAsia" w:ascii="仿宋_GB2312" w:hAnsi="仿宋_GB2312" w:eastAsia="仿宋_GB2312" w:cs="仿宋_GB2312"/>
          <w:sz w:val="32"/>
          <w:szCs w:val="32"/>
          <w:lang w:val="en-US" w:eastAsia="zh-CN"/>
        </w:rPr>
        <w:t>全面落实政府信息公开工作部署。规范了我局政府信息公开工作任务、具体要求和责任科室，由办公室专人负责政府信息公开工作，压实工作责任，保障政府信息公开工作全面、规范，严格落实政府信息三审三校制度，促进政务公开工作有序开展。</w:t>
      </w:r>
    </w:p>
    <w:p>
      <w:pPr>
        <w:pStyle w:val="5"/>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同时重点加强政务公开培训工作，提升工作人员信息公开工作能力，确保发布的信息及时准确。设立专职人员负责网站和微信公众号维护，发现问题马上整改，确保信息公开平台稳定运行。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二、主动公开政府信息情况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6"/>
        <w:tblW w:w="9740" w:type="dxa"/>
        <w:jc w:val="center"/>
        <w:tblInd w:w="0" w:type="dxa"/>
        <w:shd w:val="clear" w:color="auto" w:fill="auto"/>
        <w:tblLayout w:type="fixed"/>
        <w:tblCellMar>
          <w:top w:w="0" w:type="dxa"/>
          <w:left w:w="0" w:type="dxa"/>
          <w:bottom w:w="0" w:type="dxa"/>
          <w:right w:w="0" w:type="dxa"/>
        </w:tblCellMar>
      </w:tblPr>
      <w:tblGrid>
        <w:gridCol w:w="2435"/>
        <w:gridCol w:w="2435"/>
        <w:gridCol w:w="2435"/>
        <w:gridCol w:w="2435"/>
      </w:tblGrid>
      <w:tr>
        <w:tblPrEx>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三、收到和处理政府信息公开申请情况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6"/>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5"/>
        <w:gridCol w:w="941"/>
        <w:gridCol w:w="3197"/>
        <w:gridCol w:w="685"/>
        <w:gridCol w:w="734"/>
        <w:gridCol w:w="734"/>
        <w:gridCol w:w="685"/>
        <w:gridCol w:w="685"/>
        <w:gridCol w:w="685"/>
        <w:gridCol w:w="63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903"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45"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90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23"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37"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企业</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机构</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37"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3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3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6"/>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2"/>
        <w:gridCol w:w="642"/>
        <w:gridCol w:w="642"/>
        <w:gridCol w:w="642"/>
        <w:gridCol w:w="642"/>
        <w:gridCol w:w="643"/>
        <w:gridCol w:w="643"/>
        <w:gridCol w:w="644"/>
        <w:gridCol w:w="644"/>
        <w:gridCol w:w="644"/>
        <w:gridCol w:w="644"/>
        <w:gridCol w:w="644"/>
        <w:gridCol w:w="644"/>
        <w:gridCol w:w="644"/>
        <w:gridCol w:w="7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3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32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7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ascii="黑体" w:hAnsi="宋体" w:eastAsia="黑体" w:cs="黑体"/>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7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val="0"/>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b w:val="0"/>
          <w:bCs/>
          <w:i w:val="0"/>
          <w:caps w:val="0"/>
          <w:color w:val="333333"/>
          <w:spacing w:val="0"/>
          <w:sz w:val="32"/>
          <w:szCs w:val="32"/>
          <w:shd w:val="clear" w:fill="FFFFFF"/>
          <w:lang w:eastAsia="zh-CN"/>
        </w:rPr>
        <w:t>五、</w:t>
      </w:r>
      <w:r>
        <w:rPr>
          <w:rFonts w:hint="eastAsia" w:ascii="黑体" w:hAnsi="黑体" w:eastAsia="黑体" w:cs="黑体"/>
          <w:b w:val="0"/>
          <w:bCs/>
          <w:i w:val="0"/>
          <w:caps w:val="0"/>
          <w:color w:val="333333"/>
          <w:spacing w:val="0"/>
          <w:sz w:val="32"/>
          <w:szCs w:val="32"/>
          <w:shd w:val="clear" w:fill="FFFFFF"/>
        </w:rPr>
        <w:t>存在的主要问题及</w:t>
      </w:r>
      <w:r>
        <w:rPr>
          <w:rFonts w:hint="eastAsia" w:ascii="黑体" w:hAnsi="黑体" w:eastAsia="黑体" w:cs="黑体"/>
          <w:b w:val="0"/>
          <w:bCs/>
          <w:i w:val="0"/>
          <w:caps w:val="0"/>
          <w:color w:val="333333"/>
          <w:spacing w:val="0"/>
          <w:sz w:val="32"/>
          <w:szCs w:val="32"/>
          <w:shd w:val="clear" w:fill="FFFFFF"/>
          <w:lang w:eastAsia="zh-CN"/>
        </w:rPr>
        <w:t>改进情况</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sz w:val="32"/>
          <w:szCs w:val="32"/>
          <w:lang w:eastAsia="zh-CN"/>
        </w:rPr>
        <w:t>我局在政府信息公开工作中存在一些问题有待改进：</w:t>
      </w:r>
      <w:r>
        <w:rPr>
          <w:rFonts w:hint="eastAsia" w:ascii="黑体" w:hAnsi="黑体" w:eastAsia="黑体" w:cs="黑体"/>
          <w:b w:val="0"/>
          <w:bCs/>
          <w:i w:val="0"/>
          <w:caps w:val="0"/>
          <w:color w:val="333333"/>
          <w:spacing w:val="0"/>
          <w:kern w:val="0"/>
          <w:sz w:val="32"/>
          <w:szCs w:val="32"/>
          <w:shd w:val="clear" w:color="auto" w:fill="FFFFFF"/>
          <w:lang w:val="en-US" w:eastAsia="zh-CN" w:bidi="ar"/>
        </w:rPr>
        <w:t>一是</w:t>
      </w:r>
      <w:r>
        <w:rPr>
          <w:rFonts w:hint="eastAsia" w:ascii="仿宋_GB2312" w:hAnsi="仿宋_GB2312" w:eastAsia="仿宋_GB2312" w:cs="仿宋_GB2312"/>
          <w:sz w:val="32"/>
          <w:szCs w:val="32"/>
          <w:lang w:eastAsia="zh-CN"/>
        </w:rPr>
        <w:t>部分工作人员政务公开意识有待增强；</w:t>
      </w:r>
      <w:r>
        <w:rPr>
          <w:rFonts w:hint="eastAsia" w:ascii="黑体" w:hAnsi="黑体" w:eastAsia="黑体" w:cs="黑体"/>
          <w:b w:val="0"/>
          <w:bCs/>
          <w:i w:val="0"/>
          <w:caps w:val="0"/>
          <w:color w:val="333333"/>
          <w:spacing w:val="0"/>
          <w:kern w:val="0"/>
          <w:sz w:val="32"/>
          <w:szCs w:val="32"/>
          <w:shd w:val="clear" w:color="auto" w:fill="FFFFFF"/>
          <w:lang w:val="en-US" w:eastAsia="zh-CN" w:bidi="ar"/>
        </w:rPr>
        <w:t>二是</w:t>
      </w:r>
      <w:r>
        <w:rPr>
          <w:rFonts w:hint="eastAsia" w:ascii="仿宋_GB2312" w:hAnsi="仿宋_GB2312" w:eastAsia="仿宋_GB2312" w:cs="仿宋_GB2312"/>
          <w:sz w:val="32"/>
          <w:szCs w:val="32"/>
          <w:lang w:val="en-US" w:eastAsia="zh-CN"/>
        </w:rPr>
        <w:t>信息</w:t>
      </w:r>
      <w:r>
        <w:rPr>
          <w:rFonts w:hint="eastAsia" w:ascii="仿宋_GB2312" w:hAnsi="仿宋_GB2312" w:eastAsia="仿宋_GB2312" w:cs="仿宋_GB2312"/>
          <w:sz w:val="32"/>
          <w:szCs w:val="32"/>
          <w:lang w:eastAsia="zh-CN"/>
        </w:rPr>
        <w:t>公开</w:t>
      </w:r>
      <w:r>
        <w:rPr>
          <w:rFonts w:hint="eastAsia" w:ascii="仿宋_GB2312" w:hAnsi="仿宋_GB2312" w:eastAsia="仿宋_GB2312" w:cs="仿宋_GB2312"/>
          <w:sz w:val="32"/>
          <w:szCs w:val="32"/>
          <w:lang w:val="en-US" w:eastAsia="zh-CN"/>
        </w:rPr>
        <w:t>方式</w:t>
      </w:r>
      <w:r>
        <w:rPr>
          <w:rFonts w:hint="eastAsia" w:ascii="仿宋_GB2312" w:hAnsi="仿宋_GB2312" w:eastAsia="仿宋_GB2312" w:cs="仿宋_GB2312"/>
          <w:sz w:val="32"/>
          <w:szCs w:val="32"/>
          <w:lang w:eastAsia="zh-CN"/>
        </w:rPr>
        <w:t>还不够灵活多样，针对性和实效性不强。</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下一步，我局将根据存在的问题</w:t>
      </w:r>
      <w:r>
        <w:rPr>
          <w:rFonts w:hint="eastAsia" w:ascii="仿宋_GB2312" w:hAnsi="仿宋_GB2312" w:eastAsia="仿宋_GB2312" w:cs="仿宋_GB2312"/>
          <w:sz w:val="32"/>
          <w:szCs w:val="32"/>
          <w:lang w:val="en-US" w:eastAsia="zh-CN"/>
        </w:rPr>
        <w:t>认真整改</w:t>
      </w:r>
      <w:r>
        <w:rPr>
          <w:rFonts w:hint="eastAsia" w:ascii="仿宋_GB2312" w:hAnsi="仿宋_GB2312" w:eastAsia="仿宋_GB2312" w:cs="仿宋_GB2312"/>
          <w:sz w:val="32"/>
          <w:szCs w:val="32"/>
          <w:lang w:eastAsia="zh-CN"/>
        </w:rPr>
        <w:t>：</w:t>
      </w:r>
      <w:r>
        <w:rPr>
          <w:rFonts w:hint="eastAsia" w:ascii="黑体" w:hAnsi="黑体" w:eastAsia="黑体" w:cs="黑体"/>
          <w:b w:val="0"/>
          <w:bCs/>
          <w:i w:val="0"/>
          <w:caps w:val="0"/>
          <w:color w:val="333333"/>
          <w:spacing w:val="0"/>
          <w:kern w:val="0"/>
          <w:sz w:val="32"/>
          <w:szCs w:val="32"/>
          <w:shd w:val="clear" w:color="auto" w:fill="FFFFFF"/>
          <w:lang w:val="en-US" w:eastAsia="zh-CN" w:bidi="ar"/>
        </w:rPr>
        <w:t>一是</w:t>
      </w:r>
      <w:r>
        <w:rPr>
          <w:rFonts w:hint="eastAsia" w:ascii="仿宋_GB2312" w:hAnsi="仿宋_GB2312" w:eastAsia="仿宋_GB2312" w:cs="仿宋_GB2312"/>
          <w:sz w:val="32"/>
          <w:szCs w:val="32"/>
          <w:lang w:val="en-US" w:eastAsia="zh-CN"/>
        </w:rPr>
        <w:t>继续</w:t>
      </w:r>
      <w:r>
        <w:rPr>
          <w:rFonts w:hint="eastAsia" w:ascii="仿宋_GB2312" w:hAnsi="仿宋_GB2312" w:eastAsia="仿宋_GB2312" w:cs="仿宋_GB2312"/>
          <w:sz w:val="32"/>
          <w:szCs w:val="32"/>
          <w:lang w:eastAsia="zh-CN"/>
        </w:rPr>
        <w:t>开展政务公开工作专题培训，</w:t>
      </w:r>
      <w:r>
        <w:rPr>
          <w:rFonts w:hint="eastAsia" w:ascii="仿宋_GB2312" w:hAnsi="仿宋_GB2312" w:eastAsia="仿宋_GB2312" w:cs="仿宋_GB2312"/>
          <w:sz w:val="32"/>
          <w:szCs w:val="32"/>
          <w:lang w:val="en-US" w:eastAsia="zh-CN"/>
        </w:rPr>
        <w:t>增加培训次数和参与人数，不断壮大信息公开队伍，</w:t>
      </w:r>
      <w:r>
        <w:rPr>
          <w:rFonts w:hint="eastAsia" w:ascii="仿宋_GB2312" w:hAnsi="仿宋_GB2312" w:eastAsia="仿宋_GB2312" w:cs="仿宋_GB2312"/>
          <w:sz w:val="32"/>
          <w:szCs w:val="32"/>
          <w:lang w:eastAsia="zh-CN"/>
        </w:rPr>
        <w:t>增强工作人员政务信息主动公开意识和提高信息编写能力；</w:t>
      </w:r>
      <w:r>
        <w:rPr>
          <w:rFonts w:hint="eastAsia" w:ascii="黑体" w:hAnsi="黑体" w:eastAsia="黑体" w:cs="黑体"/>
          <w:b w:val="0"/>
          <w:bCs/>
          <w:i w:val="0"/>
          <w:caps w:val="0"/>
          <w:color w:val="333333"/>
          <w:spacing w:val="0"/>
          <w:kern w:val="0"/>
          <w:sz w:val="32"/>
          <w:szCs w:val="32"/>
          <w:shd w:val="clear" w:color="auto" w:fill="FFFFFF"/>
          <w:lang w:val="en-US" w:eastAsia="zh-CN" w:bidi="ar"/>
        </w:rPr>
        <w:t>二是</w:t>
      </w:r>
      <w:r>
        <w:rPr>
          <w:rFonts w:hint="eastAsia" w:ascii="仿宋_GB2312" w:hAnsi="仿宋_GB2312" w:eastAsia="仿宋_GB2312" w:cs="仿宋_GB2312"/>
          <w:sz w:val="32"/>
          <w:szCs w:val="32"/>
          <w:lang w:val="en-US" w:eastAsia="zh-CN"/>
        </w:rPr>
        <w:t>优化</w:t>
      </w:r>
      <w:r>
        <w:rPr>
          <w:rFonts w:hint="eastAsia" w:ascii="仿宋_GB2312" w:hAnsi="仿宋_GB2312" w:eastAsia="仿宋_GB2312" w:cs="仿宋_GB2312"/>
          <w:sz w:val="32"/>
          <w:szCs w:val="32"/>
          <w:lang w:eastAsia="zh-CN"/>
        </w:rPr>
        <w:t>信息公开渠道，通过线上线下多种渠道主动公开我局政府信息，</w:t>
      </w:r>
      <w:r>
        <w:rPr>
          <w:rFonts w:hint="eastAsia" w:ascii="仿宋_GB2312" w:hAnsi="仿宋_GB2312" w:eastAsia="仿宋_GB2312" w:cs="仿宋_GB2312"/>
          <w:sz w:val="32"/>
          <w:szCs w:val="32"/>
          <w:lang w:val="en-US" w:eastAsia="zh-CN"/>
        </w:rPr>
        <w:t>同时加强和其它部门联系，开展联合活动做好信息公开工作</w:t>
      </w:r>
      <w:r>
        <w:rPr>
          <w:rFonts w:hint="eastAsia" w:ascii="仿宋_GB2312" w:hAnsi="仿宋_GB2312" w:eastAsia="仿宋_GB2312" w:cs="仿宋_GB2312"/>
          <w:sz w:val="32"/>
          <w:szCs w:val="32"/>
          <w:lang w:eastAsia="zh-CN"/>
        </w:rPr>
        <w:t>。</w:t>
      </w:r>
      <w:r>
        <w:rPr>
          <w:rFonts w:hint="eastAsia" w:ascii="黑体" w:hAnsi="黑体" w:eastAsia="黑体" w:cs="黑体"/>
          <w:b w:val="0"/>
          <w:bCs/>
          <w:i w:val="0"/>
          <w:caps w:val="0"/>
          <w:color w:val="333333"/>
          <w:spacing w:val="0"/>
          <w:kern w:val="0"/>
          <w:sz w:val="32"/>
          <w:szCs w:val="32"/>
          <w:shd w:val="clear" w:color="auto" w:fill="FFFFFF"/>
          <w:lang w:val="en-US" w:eastAsia="zh-CN" w:bidi="ar"/>
        </w:rPr>
        <w:t>三是</w:t>
      </w:r>
      <w:r>
        <w:rPr>
          <w:rFonts w:hint="eastAsia" w:ascii="仿宋_GB2312" w:hAnsi="仿宋_GB2312" w:eastAsia="仿宋_GB2312" w:cs="仿宋_GB2312"/>
          <w:sz w:val="32"/>
          <w:szCs w:val="32"/>
          <w:lang w:val="en-US" w:eastAsia="zh-CN"/>
        </w:rPr>
        <w:t>增加信息公开方式</w:t>
      </w:r>
      <w:r>
        <w:rPr>
          <w:rFonts w:hint="eastAsia" w:ascii="仿宋_GB2312" w:hAnsi="仿宋_GB2312" w:eastAsia="仿宋_GB2312" w:cs="仿宋_GB2312"/>
          <w:sz w:val="32"/>
          <w:szCs w:val="32"/>
          <w:lang w:eastAsia="zh-CN"/>
        </w:rPr>
        <w:t>，以文字、图解、视频等多种形式加强政策解读，</w:t>
      </w:r>
      <w:r>
        <w:rPr>
          <w:rFonts w:hint="eastAsia" w:ascii="仿宋_GB2312" w:hAnsi="仿宋_GB2312" w:eastAsia="仿宋_GB2312" w:cs="仿宋_GB2312"/>
          <w:sz w:val="32"/>
          <w:szCs w:val="32"/>
          <w:lang w:val="en-US" w:eastAsia="zh-CN"/>
        </w:rPr>
        <w:t>扩大加信息知悉范围，提升</w:t>
      </w:r>
      <w:r>
        <w:rPr>
          <w:rFonts w:hint="eastAsia" w:ascii="仿宋_GB2312" w:hAnsi="仿宋_GB2312" w:eastAsia="仿宋_GB2312" w:cs="仿宋_GB2312"/>
          <w:sz w:val="32"/>
          <w:szCs w:val="32"/>
          <w:lang w:eastAsia="zh-CN"/>
        </w:rPr>
        <w:t>政策影响力。</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认真贯彻执行国务院办公厅《政府信息公开信息处理费管理办法》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《关于政府信息公开处理费管理有关事项的通知》。202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年未收取信息处理费。</w:t>
      </w: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default" w:ascii="仿宋_GB2312" w:hAnsi="仿宋_GB2312" w:eastAsia="仿宋_GB2312" w:cs="仿宋_GB2312"/>
          <w:sz w:val="32"/>
          <w:szCs w:val="32"/>
          <w:lang w:val="en-US"/>
        </w:rPr>
      </w:pPr>
    </w:p>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2582545</wp:posOffset>
              </wp:positionH>
              <wp:positionV relativeFrom="paragraph">
                <wp:posOffset>-419735</wp:posOffset>
              </wp:positionV>
              <wp:extent cx="1828800" cy="65659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656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3.35pt;margin-top:-33.05pt;height:51.7pt;width:144pt;mso-position-horizontal-relative:margin;mso-wrap-style:none;z-index:251660288;mso-width-relative:page;mso-height-relative:page;" filled="f" stroked="f" coordsize="21600,21600" o:gfxdata="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xLdnC9oAAAAKAQAA&#10;DwAAAAAAAAABACAAAAAiAAAAZHJzL2Rvd25yZXYueG1sUEsBAhQAFAAAAAgAh07iQE81hFsXAgAA&#10;EgQAAA4AAAAAAAAAAQAgAAAAKQEAAGRycy9lMm9Eb2MueG1sUEsFBgAAAAAGAAYAWQEAALIFAAAA&#10;AA==&#10;">
              <v:fill on="f" focussize="0,0"/>
              <v:stroke on="f" weight="0.5pt"/>
              <v:imagedata o:title=""/>
              <o:lock v:ext="edit" aspectratio="f"/>
              <v:textbox inset="0mm,0mm,0mm,0mm">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C4"/>
    <w:rsid w:val="008A46C4"/>
    <w:rsid w:val="03D53AB8"/>
    <w:rsid w:val="0AEF04FA"/>
    <w:rsid w:val="0F400745"/>
    <w:rsid w:val="101C7A8D"/>
    <w:rsid w:val="182D35C9"/>
    <w:rsid w:val="198B7C78"/>
    <w:rsid w:val="1CAF5E68"/>
    <w:rsid w:val="2BC446DC"/>
    <w:rsid w:val="2D050B81"/>
    <w:rsid w:val="2DB271AD"/>
    <w:rsid w:val="303834AB"/>
    <w:rsid w:val="329D5EB5"/>
    <w:rsid w:val="37474360"/>
    <w:rsid w:val="37ED04CC"/>
    <w:rsid w:val="38AC14A9"/>
    <w:rsid w:val="3AC27A19"/>
    <w:rsid w:val="41840E02"/>
    <w:rsid w:val="48D64B8B"/>
    <w:rsid w:val="491B727C"/>
    <w:rsid w:val="536E3F78"/>
    <w:rsid w:val="53A51C8F"/>
    <w:rsid w:val="564A1575"/>
    <w:rsid w:val="564C7C4C"/>
    <w:rsid w:val="56DC7C88"/>
    <w:rsid w:val="5979504A"/>
    <w:rsid w:val="6E920EDB"/>
    <w:rsid w:val="6F4D7E96"/>
    <w:rsid w:val="6F6E6BB8"/>
    <w:rsid w:val="708C7D98"/>
    <w:rsid w:val="73A9585E"/>
    <w:rsid w:val="78F273FF"/>
    <w:rsid w:val="7B9E404D"/>
    <w:rsid w:val="7D3A280A"/>
    <w:rsid w:val="7E716C65"/>
    <w:rsid w:val="7EE2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pPr>
    <w:rPr>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rFonts w:hint="eastAsia" w:ascii="微软雅黑" w:hAnsi="微软雅黑" w:eastAsia="微软雅黑" w:cs="微软雅黑"/>
      <w:color w:val="800080"/>
      <w:u w:val="none"/>
    </w:rPr>
  </w:style>
  <w:style w:type="character" w:styleId="9">
    <w:name w:val="Emphasis"/>
    <w:basedOn w:val="7"/>
    <w:qFormat/>
    <w:uiPriority w:val="0"/>
    <w:rPr>
      <w:rFonts w:hint="eastAsia" w:ascii="微软雅黑" w:hAnsi="微软雅黑" w:eastAsia="微软雅黑" w:cs="微软雅黑"/>
      <w:u w:val="none"/>
    </w:rPr>
  </w:style>
  <w:style w:type="character" w:styleId="10">
    <w:name w:val="Hyperlink"/>
    <w:basedOn w:val="7"/>
    <w:qFormat/>
    <w:uiPriority w:val="0"/>
    <w:rPr>
      <w:rFonts w:hint="eastAsia" w:ascii="微软雅黑" w:hAnsi="微软雅黑" w:eastAsia="微软雅黑" w:cs="微软雅黑"/>
      <w:color w:val="0000FF"/>
      <w:u w:val="none"/>
    </w:rPr>
  </w:style>
  <w:style w:type="character" w:customStyle="1" w:styleId="11">
    <w:name w:val="hover20"/>
    <w:basedOn w:val="7"/>
    <w:qFormat/>
    <w:uiPriority w:val="0"/>
    <w:rPr>
      <w:color w:val="CC0000"/>
    </w:rPr>
  </w:style>
  <w:style w:type="character" w:customStyle="1" w:styleId="12">
    <w:name w:val="curr3"/>
    <w:basedOn w:val="7"/>
    <w:qFormat/>
    <w:uiPriority w:val="0"/>
    <w:rPr>
      <w:color w:val="FFFFFF"/>
      <w:shd w:val="clear" w:fill="CC0000"/>
    </w:rPr>
  </w:style>
  <w:style w:type="character" w:customStyle="1" w:styleId="13">
    <w:name w:val="yzm"/>
    <w:basedOn w:val="7"/>
    <w:qFormat/>
    <w:uiPriority w:val="0"/>
    <w:rPr>
      <w:color w:val="999999"/>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1976</Words>
  <Characters>2035</Characters>
  <Lines>0</Lines>
  <Paragraphs>0</Paragraphs>
  <TotalTime>2</TotalTime>
  <ScaleCrop>false</ScaleCrop>
  <LinksUpToDate>false</LinksUpToDate>
  <CharactersWithSpaces>2112</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2022-01-04T15:51:00Z</dcterms:created>
  <dc:creator>Administrator</dc:creator>
  <cp:lastModifiedBy>delll</cp:lastModifiedBy>
  <cp:lastPrinted>2024-01-24T03:36:00Z</cp:lastPrinted>
  <dcterms:modified xsi:type="dcterms:W3CDTF">2024-01-24T09:18:52Z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