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outlineLvl w:val="0"/>
        <w:rPr>
          <w:color w:val="000000"/>
          <w:sz w:val="72"/>
        </w:rPr>
      </w:pPr>
    </w:p>
    <w:p>
      <w:pPr>
        <w:jc w:val="center"/>
        <w:outlineLvl w:val="0"/>
        <w:rPr>
          <w:color w:val="000000"/>
          <w:sz w:val="72"/>
        </w:rPr>
      </w:pPr>
    </w:p>
    <w:p>
      <w:pPr>
        <w:jc w:val="center"/>
        <w:outlineLvl w:val="0"/>
        <w:rPr>
          <w:color w:val="000000"/>
          <w:sz w:val="72"/>
        </w:rPr>
      </w:pPr>
    </w:p>
    <w:p>
      <w:pPr>
        <w:spacing w:line="720" w:lineRule="auto"/>
        <w:jc w:val="center"/>
        <w:outlineLvl w:val="0"/>
        <w:rPr>
          <w:b/>
          <w:color w:val="000000"/>
          <w:sz w:val="72"/>
        </w:rPr>
      </w:pPr>
      <w:r>
        <w:rPr>
          <w:b/>
          <w:color w:val="000000"/>
          <w:sz w:val="72"/>
        </w:rPr>
        <w:t>建设项目环境影响报告表</w:t>
      </w:r>
    </w:p>
    <w:p>
      <w:pPr>
        <w:rPr>
          <w:color w:val="000000"/>
          <w:sz w:val="28"/>
        </w:rPr>
      </w:pPr>
    </w:p>
    <w:p>
      <w:pPr>
        <w:rPr>
          <w:color w:val="000000"/>
          <w:sz w:val="28"/>
        </w:rPr>
      </w:pPr>
    </w:p>
    <w:p>
      <w:pPr>
        <w:rPr>
          <w:color w:val="000000"/>
          <w:sz w:val="28"/>
        </w:rPr>
      </w:pPr>
    </w:p>
    <w:p>
      <w:pPr>
        <w:rPr>
          <w:color w:val="000000"/>
          <w:sz w:val="28"/>
        </w:rPr>
      </w:pPr>
    </w:p>
    <w:p>
      <w:pPr>
        <w:rPr>
          <w:color w:val="000000"/>
          <w:sz w:val="28"/>
        </w:rPr>
      </w:pPr>
    </w:p>
    <w:p>
      <w:pPr>
        <w:rPr>
          <w:color w:val="000000"/>
          <w:sz w:val="28"/>
        </w:rPr>
      </w:pPr>
    </w:p>
    <w:p>
      <w:pPr>
        <w:spacing w:line="720" w:lineRule="auto"/>
        <w:ind w:firstLine="449" w:firstLineChars="149"/>
        <w:rPr>
          <w:b/>
          <w:bCs/>
          <w:color w:val="000000"/>
          <w:sz w:val="30"/>
          <w:szCs w:val="30"/>
          <w:u w:val="single"/>
        </w:rPr>
      </w:pPr>
      <w:r>
        <w:rPr>
          <w:b/>
          <w:color w:val="000000"/>
          <w:sz w:val="30"/>
          <w:szCs w:val="30"/>
        </w:rPr>
        <w:t>项 目 名 称 ：</w:t>
      </w:r>
      <w:r>
        <w:rPr>
          <w:rFonts w:hint="eastAsia" w:cs="Times New Roman"/>
          <w:b/>
          <w:sz w:val="28"/>
          <w:szCs w:val="28"/>
          <w:u w:val="single"/>
          <w:lang w:eastAsia="zh-CN"/>
        </w:rPr>
        <w:t>威县乐牛乳业有限公司厂区配套设施污水处理站提标改造项目</w:t>
      </w:r>
      <w:r>
        <w:rPr>
          <w:b/>
          <w:sz w:val="28"/>
          <w:szCs w:val="28"/>
          <w:u w:val="single"/>
        </w:rPr>
        <w:t xml:space="preserve"> </w:t>
      </w:r>
    </w:p>
    <w:p>
      <w:pPr>
        <w:spacing w:line="720" w:lineRule="auto"/>
        <w:rPr>
          <w:color w:val="000000"/>
          <w:sz w:val="28"/>
          <w:szCs w:val="28"/>
          <w:u w:val="single"/>
        </w:rPr>
      </w:pPr>
      <w:r>
        <w:rPr>
          <w:b/>
          <w:color w:val="000000"/>
          <w:sz w:val="30"/>
          <w:szCs w:val="30"/>
        </w:rPr>
        <w:t xml:space="preserve">   建设单位（盖章）：</w:t>
      </w:r>
      <w:r>
        <w:rPr>
          <w:rFonts w:hint="eastAsia"/>
          <w:b/>
          <w:sz w:val="28"/>
          <w:szCs w:val="28"/>
          <w:u w:val="single"/>
          <w:lang w:eastAsia="zh-CN"/>
        </w:rPr>
        <w:t>威县乐牛乳业有限公司</w:t>
      </w:r>
      <w:r>
        <w:rPr>
          <w:rFonts w:hint="eastAsia"/>
          <w:b/>
          <w:sz w:val="28"/>
          <w:szCs w:val="28"/>
          <w:u w:val="single"/>
        </w:rPr>
        <w:t xml:space="preserve">     </w:t>
      </w:r>
      <w:r>
        <w:rPr>
          <w:b/>
          <w:sz w:val="28"/>
          <w:szCs w:val="28"/>
          <w:u w:val="single"/>
        </w:rPr>
        <w:t xml:space="preserve">   </w:t>
      </w:r>
    </w:p>
    <w:p>
      <w:pPr>
        <w:jc w:val="center"/>
        <w:rPr>
          <w:color w:val="000000"/>
          <w:sz w:val="32"/>
        </w:rPr>
      </w:pPr>
    </w:p>
    <w:p>
      <w:pPr>
        <w:rPr>
          <w:color w:val="000000"/>
          <w:sz w:val="32"/>
        </w:rPr>
      </w:pPr>
    </w:p>
    <w:p>
      <w:pPr>
        <w:rPr>
          <w:color w:val="000000"/>
          <w:sz w:val="32"/>
        </w:rPr>
      </w:pPr>
    </w:p>
    <w:p>
      <w:pPr>
        <w:ind w:firstLine="1606" w:firstLineChars="500"/>
        <w:jc w:val="both"/>
        <w:outlineLvl w:val="0"/>
        <w:rPr>
          <w:b/>
          <w:bCs/>
          <w:color w:val="000000"/>
          <w:sz w:val="32"/>
        </w:rPr>
      </w:pPr>
      <w:r>
        <w:rPr>
          <w:b/>
          <w:bCs/>
          <w:color w:val="000000"/>
          <w:sz w:val="32"/>
        </w:rPr>
        <w:t>编制日期：20</w:t>
      </w:r>
      <w:r>
        <w:rPr>
          <w:rFonts w:hint="eastAsia"/>
          <w:b/>
          <w:bCs/>
          <w:color w:val="000000"/>
          <w:sz w:val="32"/>
        </w:rPr>
        <w:t>20</w:t>
      </w:r>
      <w:r>
        <w:rPr>
          <w:b/>
          <w:bCs/>
          <w:color w:val="000000"/>
          <w:sz w:val="32"/>
        </w:rPr>
        <w:t>年</w:t>
      </w:r>
      <w:r>
        <w:rPr>
          <w:rFonts w:hint="eastAsia"/>
          <w:b/>
          <w:bCs/>
          <w:color w:val="000000"/>
          <w:sz w:val="32"/>
          <w:lang w:val="en-US" w:eastAsia="zh-CN"/>
        </w:rPr>
        <w:t>8</w:t>
      </w:r>
      <w:r>
        <w:rPr>
          <w:b/>
          <w:bCs/>
          <w:color w:val="000000"/>
          <w:sz w:val="32"/>
        </w:rPr>
        <w:t>月</w:t>
      </w:r>
    </w:p>
    <w:p>
      <w:pPr>
        <w:spacing w:line="200" w:lineRule="exact"/>
        <w:rPr>
          <w:color w:val="000000"/>
          <w:sz w:val="32"/>
        </w:rPr>
      </w:pPr>
    </w:p>
    <w:p>
      <w:pPr>
        <w:outlineLvl w:val="0"/>
        <w:rPr>
          <w:bCs/>
          <w:color w:val="000000"/>
          <w:sz w:val="32"/>
        </w:rPr>
      </w:pPr>
    </w:p>
    <w:p>
      <w:pPr>
        <w:widowControl/>
        <w:jc w:val="left"/>
        <w:rPr>
          <w:bCs/>
          <w:color w:val="000000"/>
          <w:sz w:val="32"/>
        </w:rPr>
      </w:pPr>
      <w:r>
        <w:rPr>
          <w:bCs/>
          <w:color w:val="000000"/>
          <w:sz w:val="32"/>
        </w:rPr>
        <w:br w:type="page"/>
      </w:r>
    </w:p>
    <w:p>
      <w:pPr>
        <w:outlineLvl w:val="0"/>
        <w:rPr>
          <w:bCs/>
          <w:color w:val="000000"/>
          <w:sz w:val="32"/>
        </w:rPr>
      </w:pPr>
    </w:p>
    <w:p>
      <w:pPr>
        <w:jc w:val="center"/>
        <w:rPr>
          <w:bCs/>
          <w:color w:val="000000"/>
          <w:sz w:val="32"/>
          <w:szCs w:val="24"/>
        </w:rPr>
      </w:pPr>
      <w:r>
        <w:rPr>
          <w:bCs/>
          <w:color w:val="000000"/>
          <w:sz w:val="32"/>
        </w:rPr>
        <w:t>《</w:t>
      </w:r>
      <w:r>
        <w:rPr>
          <w:bCs/>
          <w:color w:val="000000"/>
          <w:sz w:val="32"/>
          <w:szCs w:val="24"/>
        </w:rPr>
        <w:t>建设项目环境影响报告表》编制说明</w:t>
      </w:r>
    </w:p>
    <w:p>
      <w:pPr>
        <w:jc w:val="center"/>
        <w:rPr>
          <w:bCs/>
          <w:color w:val="000000"/>
          <w:sz w:val="32"/>
          <w:szCs w:val="24"/>
        </w:rPr>
      </w:pPr>
    </w:p>
    <w:p>
      <w:pPr>
        <w:spacing w:line="560" w:lineRule="exact"/>
        <w:ind w:firstLine="573"/>
        <w:rPr>
          <w:bCs/>
          <w:color w:val="000000"/>
          <w:sz w:val="28"/>
          <w:szCs w:val="24"/>
        </w:rPr>
      </w:pPr>
      <w:r>
        <w:rPr>
          <w:bCs/>
          <w:color w:val="000000"/>
          <w:sz w:val="28"/>
          <w:szCs w:val="24"/>
        </w:rPr>
        <w:t>《建设项目环境影响报告表》由具有从事环境影响评价工作资质的单位编制。</w:t>
      </w:r>
    </w:p>
    <w:p>
      <w:pPr>
        <w:spacing w:line="560" w:lineRule="exact"/>
        <w:ind w:firstLine="573"/>
        <w:rPr>
          <w:bCs/>
          <w:color w:val="000000"/>
          <w:sz w:val="28"/>
          <w:szCs w:val="24"/>
        </w:rPr>
      </w:pPr>
      <w:r>
        <w:rPr>
          <w:bCs/>
          <w:color w:val="000000"/>
          <w:sz w:val="28"/>
          <w:szCs w:val="24"/>
        </w:rPr>
        <w:t>1、项目名称——指项目立项批复时的名称，应不超过30个字（两个英文字段作一个汉字）。</w:t>
      </w:r>
    </w:p>
    <w:p>
      <w:pPr>
        <w:spacing w:line="560" w:lineRule="exact"/>
        <w:ind w:firstLine="573"/>
        <w:rPr>
          <w:bCs/>
          <w:color w:val="000000"/>
          <w:sz w:val="28"/>
          <w:szCs w:val="24"/>
        </w:rPr>
      </w:pPr>
      <w:r>
        <w:rPr>
          <w:bCs/>
          <w:color w:val="000000"/>
          <w:sz w:val="28"/>
          <w:szCs w:val="24"/>
        </w:rPr>
        <w:t>2、建设地点——指项目所在地详细地址，公路、铁路应填写起止地点。</w:t>
      </w:r>
    </w:p>
    <w:p>
      <w:pPr>
        <w:spacing w:line="560" w:lineRule="exact"/>
        <w:ind w:firstLine="573"/>
        <w:rPr>
          <w:bCs/>
          <w:color w:val="000000"/>
          <w:sz w:val="28"/>
          <w:szCs w:val="24"/>
        </w:rPr>
      </w:pPr>
      <w:r>
        <w:rPr>
          <w:bCs/>
          <w:color w:val="000000"/>
          <w:sz w:val="28"/>
          <w:szCs w:val="24"/>
        </w:rPr>
        <w:t>3、行业类别——按国标填写。</w:t>
      </w:r>
    </w:p>
    <w:p>
      <w:pPr>
        <w:spacing w:line="560" w:lineRule="exact"/>
        <w:ind w:firstLine="573"/>
        <w:rPr>
          <w:bCs/>
          <w:color w:val="000000"/>
          <w:sz w:val="28"/>
          <w:szCs w:val="24"/>
        </w:rPr>
      </w:pPr>
      <w:r>
        <w:rPr>
          <w:bCs/>
          <w:color w:val="000000"/>
          <w:sz w:val="28"/>
          <w:szCs w:val="24"/>
        </w:rPr>
        <w:t>4、总投资——指项目投资总额。</w:t>
      </w:r>
    </w:p>
    <w:p>
      <w:pPr>
        <w:spacing w:line="560" w:lineRule="exact"/>
        <w:ind w:firstLine="573"/>
        <w:rPr>
          <w:bCs/>
          <w:color w:val="000000"/>
          <w:sz w:val="28"/>
          <w:szCs w:val="24"/>
        </w:rPr>
      </w:pPr>
      <w:r>
        <w:rPr>
          <w:bCs/>
          <w:color w:val="000000"/>
          <w:sz w:val="28"/>
          <w:szCs w:val="24"/>
        </w:rPr>
        <w:t>5、主要环境保护目标——指项目区周围一定范围内集中居民住宅区、学校、医院、保护文物、风景名胜区、水源地和生态敏感点等，应尽可能给出保护目标、性质、规模和距厂界距离等。</w:t>
      </w:r>
    </w:p>
    <w:p>
      <w:pPr>
        <w:spacing w:line="560" w:lineRule="exact"/>
        <w:ind w:firstLine="573"/>
        <w:rPr>
          <w:bCs/>
          <w:color w:val="000000"/>
          <w:sz w:val="28"/>
          <w:szCs w:val="24"/>
        </w:rPr>
      </w:pPr>
      <w:r>
        <w:rPr>
          <w:bCs/>
          <w:color w:val="000000"/>
          <w:sz w:val="28"/>
          <w:szCs w:val="24"/>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560" w:lineRule="exact"/>
        <w:ind w:firstLine="573"/>
        <w:rPr>
          <w:bCs/>
          <w:color w:val="000000"/>
          <w:sz w:val="28"/>
          <w:szCs w:val="24"/>
        </w:rPr>
      </w:pPr>
      <w:r>
        <w:rPr>
          <w:bCs/>
          <w:color w:val="000000"/>
          <w:sz w:val="28"/>
          <w:szCs w:val="24"/>
        </w:rPr>
        <w:t>7、预审意见——由行业主管部门填写答复意见，无主管部门项目，可不填。</w:t>
      </w:r>
    </w:p>
    <w:p>
      <w:pPr>
        <w:spacing w:line="560" w:lineRule="exact"/>
        <w:ind w:firstLine="573"/>
        <w:rPr>
          <w:bCs/>
          <w:color w:val="000000"/>
          <w:sz w:val="28"/>
          <w:szCs w:val="24"/>
        </w:rPr>
      </w:pPr>
      <w:r>
        <w:rPr>
          <w:bCs/>
          <w:color w:val="000000"/>
          <w:sz w:val="28"/>
          <w:szCs w:val="24"/>
        </w:rPr>
        <w:t>8、审批意见——由负责审批该项目的环境保护行政主管部门批复。</w:t>
      </w:r>
    </w:p>
    <w:p>
      <w:pPr>
        <w:outlineLvl w:val="0"/>
        <w:rPr>
          <w:b/>
          <w:color w:val="000000"/>
          <w:sz w:val="32"/>
        </w:rPr>
        <w:sectPr>
          <w:pgSz w:w="11906" w:h="16838"/>
          <w:pgMar w:top="1440" w:right="1800" w:bottom="1440" w:left="1800" w:header="851" w:footer="992" w:gutter="0"/>
          <w:pgNumType w:start="1"/>
          <w:cols w:space="425" w:num="1"/>
          <w:docGrid w:type="lines" w:linePitch="312" w:charSpace="0"/>
        </w:sectPr>
      </w:pPr>
    </w:p>
    <w:p>
      <w:pPr>
        <w:outlineLvl w:val="0"/>
        <w:rPr>
          <w:b/>
          <w:color w:val="000000"/>
          <w:sz w:val="32"/>
        </w:rPr>
      </w:pPr>
      <w:r>
        <w:rPr>
          <w:b/>
          <w:color w:val="000000"/>
          <w:sz w:val="32"/>
        </w:rPr>
        <w:t>建设项目基本情况</w:t>
      </w:r>
    </w:p>
    <w:tbl>
      <w:tblPr>
        <w:tblStyle w:val="47"/>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1"/>
        <w:gridCol w:w="838"/>
        <w:gridCol w:w="978"/>
        <w:gridCol w:w="970"/>
        <w:gridCol w:w="63"/>
        <w:gridCol w:w="391"/>
        <w:gridCol w:w="457"/>
        <w:gridCol w:w="583"/>
        <w:gridCol w:w="69"/>
        <w:gridCol w:w="485"/>
        <w:gridCol w:w="1054"/>
        <w:gridCol w:w="402"/>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08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项目名称</w:t>
            </w:r>
          </w:p>
        </w:tc>
        <w:tc>
          <w:tcPr>
            <w:tcW w:w="6959" w:type="dxa"/>
            <w:gridSpan w:val="12"/>
            <w:vAlign w:val="center"/>
          </w:tcPr>
          <w:p>
            <w:pPr>
              <w:jc w:val="center"/>
              <w:rPr>
                <w:sz w:val="24"/>
                <w:szCs w:val="24"/>
              </w:rPr>
            </w:pPr>
            <w:r>
              <w:rPr>
                <w:rFonts w:hint="eastAsia"/>
                <w:sz w:val="24"/>
                <w:szCs w:val="24"/>
                <w:lang w:eastAsia="zh-CN"/>
              </w:rPr>
              <w:t>威县乐牛乳业有限公司厂区配套设施污水处理站提标改造项目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08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建设单位</w:t>
            </w:r>
          </w:p>
        </w:tc>
        <w:tc>
          <w:tcPr>
            <w:tcW w:w="6959"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color w:val="000000"/>
                <w:sz w:val="24"/>
                <w:szCs w:val="24"/>
                <w:lang w:eastAsia="zh-CN"/>
              </w:rPr>
            </w:pPr>
            <w:r>
              <w:rPr>
                <w:rFonts w:hint="eastAsia"/>
                <w:sz w:val="24"/>
                <w:szCs w:val="24"/>
                <w:lang w:eastAsia="zh-CN"/>
              </w:rPr>
              <w:t>威县乐牛乳业有限公司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08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法人代表</w:t>
            </w:r>
          </w:p>
        </w:tc>
        <w:tc>
          <w:tcPr>
            <w:tcW w:w="2786" w:type="dxa"/>
            <w:gridSpan w:val="3"/>
            <w:vAlign w:val="center"/>
          </w:tcPr>
          <w:p>
            <w:pPr>
              <w:keepNext w:val="0"/>
              <w:keepLines w:val="0"/>
              <w:pageBreakBefore w:val="0"/>
              <w:widowControl w:val="0"/>
              <w:tabs>
                <w:tab w:val="left" w:pos="3240"/>
              </w:tabs>
              <w:kinsoku/>
              <w:wordWrap/>
              <w:overflowPunct/>
              <w:topLinePunct w:val="0"/>
              <w:autoSpaceDE/>
              <w:autoSpaceDN/>
              <w:bidi w:val="0"/>
              <w:adjustRightInd/>
              <w:snapToGrid/>
              <w:spacing w:line="240" w:lineRule="auto"/>
              <w:jc w:val="center"/>
              <w:textAlignment w:val="auto"/>
              <w:rPr>
                <w:rFonts w:ascii="Times New Roman"/>
                <w:sz w:val="24"/>
                <w:szCs w:val="24"/>
              </w:rPr>
            </w:pPr>
            <w:r>
              <w:rPr>
                <w:rFonts w:hint="default" w:ascii="Times New Roman" w:hAnsi="Times New Roman" w:cs="Times New Roman"/>
                <w:sz w:val="24"/>
                <w:szCs w:val="24"/>
                <w:lang w:eastAsia="zh-CN"/>
              </w:rPr>
              <w:t>谷印可</w:t>
            </w:r>
          </w:p>
        </w:tc>
        <w:tc>
          <w:tcPr>
            <w:tcW w:w="2048" w:type="dxa"/>
            <w:gridSpan w:val="6"/>
            <w:vAlign w:val="center"/>
          </w:tcPr>
          <w:p>
            <w:pPr>
              <w:keepNext w:val="0"/>
              <w:keepLines w:val="0"/>
              <w:pageBreakBefore w:val="0"/>
              <w:widowControl w:val="0"/>
              <w:tabs>
                <w:tab w:val="left" w:pos="3240"/>
              </w:tabs>
              <w:kinsoku/>
              <w:wordWrap/>
              <w:overflowPunct/>
              <w:topLinePunct w:val="0"/>
              <w:autoSpaceDE/>
              <w:autoSpaceDN/>
              <w:bidi w:val="0"/>
              <w:adjustRightInd/>
              <w:snapToGrid/>
              <w:spacing w:line="240" w:lineRule="auto"/>
              <w:jc w:val="center"/>
              <w:textAlignment w:val="auto"/>
              <w:rPr>
                <w:b/>
                <w:bCs/>
                <w:color w:val="000000"/>
                <w:sz w:val="24"/>
                <w:szCs w:val="24"/>
              </w:rPr>
            </w:pPr>
            <w:r>
              <w:rPr>
                <w:rFonts w:hint="default" w:ascii="Times New Roman" w:hAnsi="Times New Roman" w:cs="Times New Roman"/>
                <w:b/>
                <w:bCs/>
                <w:sz w:val="24"/>
                <w:szCs w:val="24"/>
              </w:rPr>
              <w:t>联系人</w:t>
            </w:r>
          </w:p>
        </w:tc>
        <w:tc>
          <w:tcPr>
            <w:tcW w:w="2125" w:type="dxa"/>
            <w:gridSpan w:val="3"/>
            <w:vAlign w:val="center"/>
          </w:tcPr>
          <w:p>
            <w:pPr>
              <w:keepNext w:val="0"/>
              <w:keepLines w:val="0"/>
              <w:pageBreakBefore w:val="0"/>
              <w:widowControl w:val="0"/>
              <w:tabs>
                <w:tab w:val="left" w:pos="3240"/>
              </w:tabs>
              <w:kinsoku/>
              <w:wordWrap/>
              <w:overflowPunct/>
              <w:topLinePunct w:val="0"/>
              <w:autoSpaceDE/>
              <w:autoSpaceDN/>
              <w:bidi w:val="0"/>
              <w:adjustRightInd/>
              <w:snapToGrid/>
              <w:spacing w:line="240" w:lineRule="auto"/>
              <w:jc w:val="center"/>
              <w:textAlignment w:val="auto"/>
              <w:rPr>
                <w:sz w:val="24"/>
                <w:szCs w:val="24"/>
              </w:rPr>
            </w:pPr>
            <w:r>
              <w:rPr>
                <w:rFonts w:hint="default" w:ascii="Times New Roman" w:hAnsi="Times New Roman" w:cs="Times New Roman"/>
                <w:sz w:val="24"/>
                <w:szCs w:val="24"/>
                <w:highlight w:val="none"/>
                <w:lang w:eastAsia="zh-CN"/>
              </w:rPr>
              <w:t>谷印可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8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通讯地址</w:t>
            </w:r>
          </w:p>
        </w:tc>
        <w:tc>
          <w:tcPr>
            <w:tcW w:w="6959"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4"/>
                <w:szCs w:val="24"/>
                <w:lang w:eastAsia="zh-CN"/>
              </w:rPr>
            </w:pPr>
            <w:r>
              <w:rPr>
                <w:rFonts w:hint="eastAsia"/>
                <w:sz w:val="24"/>
                <w:szCs w:val="24"/>
                <w:lang w:eastAsia="zh-CN"/>
              </w:rPr>
              <w:t>河北省邢台市威县乳业园区迎宾大道6号，威县乐牛乳业有限公司厂区内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08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联系电话</w:t>
            </w:r>
          </w:p>
        </w:tc>
        <w:tc>
          <w:tcPr>
            <w:tcW w:w="18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4"/>
                <w:szCs w:val="24"/>
              </w:rPr>
            </w:pPr>
            <w:r>
              <w:rPr>
                <w:rFonts w:hint="default" w:ascii="Times New Roman" w:hAnsi="Times New Roman" w:cs="Times New Roman"/>
                <w:sz w:val="24"/>
                <w:szCs w:val="24"/>
                <w:highlight w:val="none"/>
                <w:lang w:val="en-US" w:eastAsia="zh-CN"/>
              </w:rPr>
              <w:t>15833485703</w:t>
            </w:r>
          </w:p>
        </w:tc>
        <w:tc>
          <w:tcPr>
            <w:tcW w:w="142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 w:val="24"/>
                <w:szCs w:val="24"/>
              </w:rPr>
            </w:pPr>
            <w:r>
              <w:rPr>
                <w:b/>
                <w:bCs/>
                <w:sz w:val="24"/>
                <w:szCs w:val="24"/>
              </w:rPr>
              <w:t>传真</w:t>
            </w:r>
          </w:p>
        </w:tc>
        <w:tc>
          <w:tcPr>
            <w:tcW w:w="10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4"/>
                <w:szCs w:val="24"/>
              </w:rPr>
            </w:pPr>
            <w:r>
              <w:rPr>
                <w:rFonts w:hint="eastAsia"/>
                <w:bCs/>
                <w:sz w:val="24"/>
                <w:szCs w:val="24"/>
              </w:rPr>
              <w:t>——</w:t>
            </w:r>
          </w:p>
        </w:tc>
        <w:tc>
          <w:tcPr>
            <w:tcW w:w="160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 w:val="24"/>
                <w:szCs w:val="24"/>
              </w:rPr>
            </w:pPr>
            <w:r>
              <w:rPr>
                <w:b/>
                <w:bCs/>
                <w:sz w:val="24"/>
                <w:szCs w:val="24"/>
              </w:rPr>
              <w:t>邮政编码</w:t>
            </w:r>
          </w:p>
        </w:tc>
        <w:tc>
          <w:tcPr>
            <w:tcW w:w="107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4"/>
                <w:szCs w:val="24"/>
              </w:rPr>
            </w:pPr>
            <w:r>
              <w:rPr>
                <w:rFonts w:hint="default" w:ascii="Times New Roman" w:hAnsi="Times New Roman" w:cs="Times New Roman"/>
                <w:b w:val="0"/>
                <w:bCs w:val="0"/>
                <w:color w:val="000000"/>
                <w:sz w:val="24"/>
                <w:szCs w:val="24"/>
                <w:highlight w:val="none"/>
                <w:lang w:val="en-US" w:eastAsia="zh-CN"/>
              </w:rPr>
              <w:t>054701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08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建设地点</w:t>
            </w:r>
          </w:p>
        </w:tc>
        <w:tc>
          <w:tcPr>
            <w:tcW w:w="6959" w:type="dxa"/>
            <w:gridSpan w:val="1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4"/>
                <w:szCs w:val="24"/>
              </w:rPr>
            </w:pPr>
            <w:r>
              <w:rPr>
                <w:rFonts w:hint="eastAsia"/>
                <w:sz w:val="24"/>
                <w:szCs w:val="24"/>
                <w:lang w:eastAsia="zh-CN"/>
              </w:rPr>
              <w:t>河北省邢台市威县乳业园区迎宾大道6号，，威县乐牛乳业有限公司厂区内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9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立项审批部门</w:t>
            </w:r>
          </w:p>
        </w:tc>
        <w:tc>
          <w:tcPr>
            <w:tcW w:w="2011"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000000"/>
                <w:sz w:val="24"/>
                <w:szCs w:val="24"/>
              </w:rPr>
            </w:pPr>
            <w:r>
              <w:rPr>
                <w:rFonts w:hint="eastAsia"/>
                <w:bCs/>
                <w:sz w:val="24"/>
                <w:szCs w:val="24"/>
              </w:rPr>
              <w:t>——</w:t>
            </w:r>
          </w:p>
        </w:tc>
        <w:tc>
          <w:tcPr>
            <w:tcW w:w="150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批准文号</w:t>
            </w:r>
          </w:p>
        </w:tc>
        <w:tc>
          <w:tcPr>
            <w:tcW w:w="26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000000"/>
                <w:sz w:val="24"/>
                <w:szCs w:val="24"/>
              </w:rPr>
            </w:pPr>
            <w:r>
              <w:rPr>
                <w:rFonts w:hint="eastAs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08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建设性质</w:t>
            </w:r>
          </w:p>
        </w:tc>
        <w:tc>
          <w:tcPr>
            <w:tcW w:w="284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000000"/>
                <w:sz w:val="24"/>
                <w:szCs w:val="24"/>
              </w:rPr>
            </w:pPr>
            <w:r>
              <w:rPr>
                <w:bCs/>
                <w:color w:val="000000"/>
                <w:sz w:val="24"/>
                <w:szCs w:val="24"/>
              </w:rPr>
              <w:t>新建□改扩建□技改■</w:t>
            </w:r>
          </w:p>
        </w:tc>
        <w:tc>
          <w:tcPr>
            <w:tcW w:w="150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行业类别</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及代码</w:t>
            </w:r>
          </w:p>
        </w:tc>
        <w:tc>
          <w:tcPr>
            <w:tcW w:w="2610" w:type="dxa"/>
            <w:gridSpan w:val="4"/>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000000"/>
                <w:sz w:val="24"/>
                <w:szCs w:val="24"/>
              </w:rPr>
            </w:pPr>
            <w:r>
              <w:rPr>
                <w:bCs/>
                <w:color w:val="000000"/>
                <w:sz w:val="24"/>
                <w:szCs w:val="24"/>
              </w:rPr>
              <w:t xml:space="preserve">D4620 </w:t>
            </w:r>
            <w:r>
              <w:rPr>
                <w:rFonts w:hint="eastAsia"/>
                <w:bCs/>
                <w:color w:val="000000"/>
                <w:sz w:val="24"/>
                <w:szCs w:val="24"/>
              </w:rPr>
              <w:t>污水处理及其再生利用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08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占地面积</w:t>
            </w:r>
          </w:p>
        </w:tc>
        <w:tc>
          <w:tcPr>
            <w:tcW w:w="284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sz w:val="24"/>
                <w:szCs w:val="24"/>
                <w:lang w:eastAsia="zh-CN"/>
              </w:rPr>
            </w:pPr>
            <w:r>
              <w:rPr>
                <w:rFonts w:hint="eastAsia"/>
                <w:bCs/>
                <w:color w:val="0000FF"/>
                <w:spacing w:val="-2"/>
                <w:sz w:val="24"/>
                <w:szCs w:val="24"/>
                <w:lang w:val="en-US" w:eastAsia="zh-CN"/>
              </w:rPr>
              <w:t>/</w:t>
            </w:r>
          </w:p>
        </w:tc>
        <w:tc>
          <w:tcPr>
            <w:tcW w:w="150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绿化面积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（m</w:t>
            </w:r>
            <w:r>
              <w:rPr>
                <w:b/>
                <w:bCs/>
                <w:color w:val="000000"/>
                <w:sz w:val="24"/>
                <w:szCs w:val="24"/>
                <w:vertAlign w:val="superscript"/>
              </w:rPr>
              <w:t>2</w:t>
            </w:r>
            <w:r>
              <w:rPr>
                <w:b/>
                <w:bCs/>
                <w:color w:val="000000"/>
                <w:sz w:val="24"/>
                <w:szCs w:val="24"/>
              </w:rPr>
              <w:t>）</w:t>
            </w:r>
          </w:p>
        </w:tc>
        <w:tc>
          <w:tcPr>
            <w:tcW w:w="261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4"/>
                <w:szCs w:val="24"/>
              </w:rPr>
            </w:pPr>
            <w:r>
              <w:rPr>
                <w:rFonts w:hint="eastAsia"/>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208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总投资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（万元）</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4"/>
                <w:szCs w:val="24"/>
                <w:lang w:val="en-US" w:eastAsia="zh-CN"/>
              </w:rPr>
            </w:pPr>
            <w:r>
              <w:rPr>
                <w:rFonts w:hint="eastAsia"/>
                <w:sz w:val="24"/>
                <w:szCs w:val="24"/>
                <w:lang w:val="en-US" w:eastAsia="zh-CN"/>
              </w:rPr>
              <w:t>300</w:t>
            </w:r>
          </w:p>
        </w:tc>
        <w:tc>
          <w:tcPr>
            <w:tcW w:w="2011"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其中：环保投</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资（万元）</w:t>
            </w:r>
          </w:p>
        </w:tc>
        <w:tc>
          <w:tcPr>
            <w:tcW w:w="150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sz w:val="24"/>
                <w:szCs w:val="24"/>
                <w:lang w:val="en-US" w:eastAsia="zh-CN"/>
              </w:rPr>
            </w:pPr>
            <w:r>
              <w:rPr>
                <w:rFonts w:hint="eastAsia"/>
                <w:sz w:val="24"/>
                <w:szCs w:val="24"/>
                <w:lang w:val="en-US" w:eastAsia="zh-CN"/>
              </w:rPr>
              <w:t>300</w:t>
            </w:r>
          </w:p>
        </w:tc>
        <w:tc>
          <w:tcPr>
            <w:tcW w:w="1941"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 w:val="24"/>
                <w:szCs w:val="24"/>
              </w:rPr>
            </w:pPr>
            <w:r>
              <w:rPr>
                <w:b/>
                <w:bCs/>
                <w:sz w:val="24"/>
                <w:szCs w:val="24"/>
              </w:rPr>
              <w:t>环保投资占</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 w:val="24"/>
                <w:szCs w:val="24"/>
              </w:rPr>
            </w:pPr>
            <w:r>
              <w:rPr>
                <w:b/>
                <w:bCs/>
                <w:sz w:val="24"/>
                <w:szCs w:val="24"/>
              </w:rPr>
              <w:t>总投资比例（%）</w:t>
            </w:r>
          </w:p>
        </w:tc>
        <w:tc>
          <w:tcPr>
            <w:tcW w:w="66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000000"/>
                <w:sz w:val="24"/>
                <w:szCs w:val="24"/>
              </w:rPr>
            </w:pPr>
            <w:r>
              <w:rPr>
                <w:rFonts w:hint="eastAsia"/>
                <w:bCs/>
                <w:color w:val="00000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08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评价经费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（万元）</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000000"/>
                <w:sz w:val="24"/>
                <w:szCs w:val="24"/>
              </w:rPr>
            </w:pPr>
          </w:p>
        </w:tc>
        <w:tc>
          <w:tcPr>
            <w:tcW w:w="2859"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szCs w:val="24"/>
              </w:rPr>
            </w:pPr>
            <w:r>
              <w:rPr>
                <w:b/>
                <w:bCs/>
                <w:color w:val="000000"/>
                <w:sz w:val="24"/>
                <w:szCs w:val="24"/>
              </w:rPr>
              <w:t>预计投产日期</w:t>
            </w:r>
          </w:p>
        </w:tc>
        <w:tc>
          <w:tcPr>
            <w:tcW w:w="3262"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sz w:val="24"/>
                <w:szCs w:val="24"/>
              </w:rPr>
            </w:pPr>
            <w:r>
              <w:rPr>
                <w:rFonts w:hint="eastAsia"/>
                <w:bCs/>
                <w:sz w:val="24"/>
                <w:szCs w:val="24"/>
              </w:rPr>
              <w:t>2020年12月31日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8" w:hRule="atLeast"/>
          <w:jc w:val="center"/>
        </w:trPr>
        <w:tc>
          <w:tcPr>
            <w:tcW w:w="9040" w:type="dxa"/>
            <w:gridSpan w:val="13"/>
          </w:tcPr>
          <w:p>
            <w:pPr>
              <w:spacing w:line="360" w:lineRule="auto"/>
              <w:contextualSpacing/>
              <w:rPr>
                <w:b/>
                <w:bCs/>
                <w:color w:val="000000"/>
                <w:sz w:val="24"/>
                <w:szCs w:val="24"/>
              </w:rPr>
            </w:pPr>
            <w:r>
              <w:rPr>
                <w:b/>
                <w:bCs/>
                <w:color w:val="000000"/>
                <w:sz w:val="24"/>
                <w:szCs w:val="24"/>
              </w:rPr>
              <w:t>工程内容及规模：</w:t>
            </w:r>
          </w:p>
          <w:p>
            <w:pPr>
              <w:pStyle w:val="11"/>
              <w:adjustRightInd/>
              <w:spacing w:line="360" w:lineRule="auto"/>
              <w:ind w:right="105" w:rightChars="50" w:firstLine="482"/>
              <w:contextualSpacing/>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2"/>
                <w:highlight w:val="none"/>
                <w:lang w:val="en-US" w:eastAsia="zh-CN"/>
              </w:rPr>
              <w:t>威县乐牛乳业有限公司成立于2017年10月16日，经营范围包括乳制品、饮料加工、销售；自营和代理商品的进出口业务。该企业于2018年3月</w:t>
            </w:r>
            <w:r>
              <w:rPr>
                <w:rFonts w:hint="default" w:ascii="Times New Roman" w:hAnsi="Times New Roman" w:eastAsia="宋体"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lang w:eastAsia="zh-CN"/>
              </w:rPr>
              <w:t>威县赵村乡前寺庄村南，乐源大道路西侧建设年产16万吨液体乳及乳饮料生产线项目，该项目</w:t>
            </w:r>
            <w:r>
              <w:rPr>
                <w:rFonts w:hint="eastAsia" w:ascii="Times New Roman" w:hAnsi="Times New Roman" w:eastAsia="宋体" w:cs="Times New Roman"/>
                <w:color w:val="auto"/>
                <w:sz w:val="24"/>
                <w:szCs w:val="24"/>
                <w:highlight w:val="none"/>
                <w:lang w:eastAsia="zh-CN"/>
              </w:rPr>
              <w:t>环境影响报告书于</w:t>
            </w:r>
            <w:r>
              <w:rPr>
                <w:rFonts w:hint="default" w:ascii="Times New Roman" w:hAnsi="Times New Roman" w:eastAsia="宋体" w:cs="Times New Roman"/>
                <w:color w:val="auto"/>
                <w:sz w:val="24"/>
                <w:szCs w:val="24"/>
                <w:highlight w:val="none"/>
                <w:lang w:val="en-US" w:eastAsia="zh-CN"/>
              </w:rPr>
              <w:t>2018年4月25日在</w:t>
            </w:r>
            <w:r>
              <w:rPr>
                <w:rFonts w:hint="eastAsia"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val="en-US" w:eastAsia="zh-CN"/>
              </w:rPr>
              <w:t>邢台市环境保护局威县分局备案；企业</w:t>
            </w:r>
            <w:r>
              <w:rPr>
                <w:rFonts w:hint="default" w:ascii="Times New Roman" w:hAnsi="Times New Roman" w:cs="Times New Roman"/>
                <w:color w:val="auto"/>
                <w:sz w:val="24"/>
              </w:rPr>
              <w:t>在项目后期设计建设过程中，</w:t>
            </w:r>
            <w:r>
              <w:rPr>
                <w:rFonts w:hint="default" w:ascii="Times New Roman" w:hAnsi="Times New Roman" w:cs="Times New Roman"/>
                <w:b w:val="0"/>
                <w:bCs w:val="0"/>
                <w:color w:val="auto"/>
                <w:sz w:val="24"/>
                <w:szCs w:val="24"/>
                <w:lang w:eastAsia="zh-CN"/>
              </w:rPr>
              <w:t>平面布置和生产设备进行了调整，</w:t>
            </w:r>
            <w:r>
              <w:rPr>
                <w:rFonts w:hint="default" w:ascii="Times New Roman" w:hAnsi="Times New Roman" w:cs="Times New Roman"/>
                <w:color w:val="auto"/>
                <w:sz w:val="24"/>
                <w:lang w:val="en-US" w:eastAsia="zh-CN"/>
              </w:rPr>
              <w:t>并对环保设备进行了升级改造，</w:t>
            </w:r>
            <w:r>
              <w:rPr>
                <w:rFonts w:hint="default" w:ascii="Times New Roman" w:hAnsi="Times New Roman" w:cs="Times New Roman"/>
                <w:color w:val="auto"/>
                <w:sz w:val="24"/>
                <w:highlight w:val="none"/>
                <w:lang w:eastAsia="zh-CN"/>
              </w:rPr>
              <w:t>建设单位依据厂区实际情况拟进行分期建设，因此编制了</w:t>
            </w:r>
            <w:r>
              <w:rPr>
                <w:rFonts w:hint="default" w:ascii="Times New Roman" w:hAnsi="Times New Roman" w:cs="Times New Roman"/>
                <w:color w:val="auto"/>
                <w:sz w:val="24"/>
                <w:szCs w:val="22"/>
                <w:highlight w:val="none"/>
                <w:lang w:val="en-US" w:eastAsia="zh-CN"/>
              </w:rPr>
              <w:t>威</w:t>
            </w:r>
            <w:r>
              <w:rPr>
                <w:rFonts w:hint="default" w:ascii="Times New Roman" w:hAnsi="Times New Roman" w:cs="Times New Roman"/>
                <w:color w:val="auto"/>
                <w:sz w:val="24"/>
                <w:highlight w:val="none"/>
                <w:lang w:eastAsia="zh-CN"/>
              </w:rPr>
              <w:t>县乐牛乳业有限公司</w:t>
            </w:r>
            <w:r>
              <w:rPr>
                <w:rFonts w:hint="default" w:ascii="Times New Roman" w:hAnsi="Times New Roman" w:eastAsia="宋体" w:cs="Times New Roman"/>
                <w:color w:val="auto"/>
                <w:sz w:val="24"/>
                <w:szCs w:val="24"/>
                <w:highlight w:val="none"/>
                <w:lang w:eastAsia="zh-CN"/>
              </w:rPr>
              <w:t>年产16万吨液体乳及乳饮料生产线项目补充报告，该报告于</w:t>
            </w:r>
            <w:r>
              <w:rPr>
                <w:rFonts w:hint="default" w:ascii="Times New Roman" w:hAnsi="Times New Roman" w:eastAsia="宋体" w:cs="Times New Roman"/>
                <w:color w:val="auto"/>
                <w:sz w:val="24"/>
                <w:szCs w:val="24"/>
                <w:highlight w:val="none"/>
                <w:lang w:val="en-US" w:eastAsia="zh-CN"/>
              </w:rPr>
              <w:t>2019年1月19日取得了</w:t>
            </w:r>
            <w:r>
              <w:rPr>
                <w:rFonts w:hint="eastAsia"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val="en-US" w:eastAsia="zh-CN"/>
              </w:rPr>
              <w:t>邢台市环境保护局威县分局的审批意见。2020年5月15日企业进行了自主验收并取得专家意见。</w:t>
            </w:r>
          </w:p>
          <w:p>
            <w:pPr>
              <w:pStyle w:val="11"/>
              <w:adjustRightInd/>
              <w:spacing w:line="360" w:lineRule="auto"/>
              <w:ind w:right="105" w:rightChars="50" w:firstLine="482"/>
              <w:contextualSpacing/>
              <w:rPr>
                <w:rFonts w:hint="eastAsia" w:ascii="Times New Roman" w:hAnsi="Times New Roman"/>
                <w:color w:val="auto"/>
                <w:sz w:val="24"/>
                <w:lang w:eastAsia="zh-CN"/>
              </w:rPr>
            </w:pPr>
            <w:r>
              <w:rPr>
                <w:rFonts w:hint="default" w:ascii="Times New Roman" w:hAnsi="Times New Roman" w:cs="Times New Roman"/>
                <w:color w:val="auto"/>
                <w:sz w:val="24"/>
                <w:szCs w:val="22"/>
                <w:highlight w:val="none"/>
                <w:lang w:val="en-US" w:eastAsia="zh-CN"/>
              </w:rPr>
              <w:t>威县乐牛乳业有限公司</w:t>
            </w:r>
            <w:r>
              <w:rPr>
                <w:rFonts w:hint="eastAsia" w:ascii="Times New Roman" w:hAnsi="Times New Roman" w:cs="Times New Roman"/>
                <w:color w:val="auto"/>
                <w:sz w:val="24"/>
                <w:szCs w:val="22"/>
                <w:highlight w:val="none"/>
                <w:lang w:val="en-US" w:eastAsia="zh-CN"/>
              </w:rPr>
              <w:t>现有污水处理站出水水质</w:t>
            </w:r>
            <w:r>
              <w:rPr>
                <w:rFonts w:ascii="Times New Roman" w:hAnsi="Times New Roman"/>
                <w:color w:val="auto"/>
                <w:sz w:val="24"/>
              </w:rPr>
              <w:t>执行《城镇污水处理厂污染物排放标准》（GB18918-2002）一级A标准</w:t>
            </w:r>
            <w:r>
              <w:rPr>
                <w:rFonts w:hint="eastAsia" w:ascii="Times New Roman" w:hAnsi="Times New Roman"/>
                <w:color w:val="auto"/>
                <w:sz w:val="24"/>
                <w:lang w:eastAsia="zh-CN"/>
              </w:rPr>
              <w:t>，子牙河、黑龙港及运东流域是我省水污染严重区域，也是需要重点治理的区域，为有效减少子牙河、黑龙港及运东流域水污染物排放，</w:t>
            </w:r>
            <w:r>
              <w:rPr>
                <w:rFonts w:ascii="Times New Roman" w:hAnsi="Times New Roman"/>
                <w:color w:val="auto"/>
                <w:sz w:val="24"/>
              </w:rPr>
              <w:t>河北省实施流域水污染排放地方标准推动水环境</w:t>
            </w:r>
            <w:r>
              <w:rPr>
                <w:rFonts w:ascii="Times New Roman" w:hAnsi="Times New Roman"/>
                <w:color w:val="auto"/>
                <w:spacing w:val="20"/>
                <w:sz w:val="24"/>
              </w:rPr>
              <w:t>质量改善，根据河北省地方标准</w:t>
            </w:r>
            <w:r>
              <w:rPr>
                <w:rFonts w:hint="default" w:ascii="Times New Roman" w:hAnsi="Times New Roman" w:cs="Times New Roman"/>
                <w:color w:val="auto"/>
                <w:spacing w:val="20"/>
                <w:sz w:val="24"/>
                <w:szCs w:val="24"/>
                <w:lang w:val="en-US" w:eastAsia="zh-CN"/>
              </w:rPr>
              <w:t>《黑龙港及运东流域水污染物排放标准》</w:t>
            </w:r>
            <w:r>
              <w:rPr>
                <w:rFonts w:hint="default" w:ascii="Times New Roman" w:hAnsi="Times New Roman" w:cs="Times New Roman"/>
                <w:color w:val="auto"/>
                <w:sz w:val="24"/>
                <w:szCs w:val="24"/>
                <w:lang w:val="en-US" w:eastAsia="zh-CN"/>
              </w:rPr>
              <w:t>（DB13/2797 -2018）</w:t>
            </w:r>
            <w:r>
              <w:rPr>
                <w:rFonts w:ascii="Times New Roman" w:hAnsi="Times New Roman"/>
                <w:color w:val="auto"/>
                <w:sz w:val="24"/>
              </w:rPr>
              <w:t>，</w:t>
            </w:r>
            <w:r>
              <w:rPr>
                <w:rFonts w:hint="eastAsia" w:ascii="Times New Roman" w:hAnsi="Times New Roman"/>
                <w:color w:val="auto"/>
                <w:sz w:val="24"/>
                <w:lang w:eastAsia="zh-CN"/>
              </w:rPr>
              <w:t>威县乐牛乳业有限公司</w:t>
            </w:r>
            <w:r>
              <w:rPr>
                <w:rFonts w:ascii="Times New Roman" w:hAnsi="Times New Roman"/>
                <w:color w:val="auto"/>
                <w:sz w:val="24"/>
              </w:rPr>
              <w:t>属于子</w:t>
            </w:r>
            <w:r>
              <w:rPr>
                <w:rFonts w:hint="eastAsia" w:ascii="Times New Roman" w:hAnsi="Times New Roman"/>
                <w:color w:val="auto"/>
                <w:sz w:val="24"/>
                <w:lang w:eastAsia="zh-CN"/>
              </w:rPr>
              <w:t>黑龙港</w:t>
            </w:r>
            <w:r>
              <w:rPr>
                <w:rFonts w:ascii="Times New Roman" w:hAnsi="Times New Roman"/>
                <w:color w:val="auto"/>
                <w:sz w:val="24"/>
              </w:rPr>
              <w:t>域重点控制区，污水厂排放标准</w:t>
            </w:r>
            <w:r>
              <w:rPr>
                <w:rFonts w:hint="eastAsia" w:ascii="Times New Roman" w:hAnsi="Times New Roman"/>
                <w:color w:val="auto"/>
                <w:sz w:val="24"/>
                <w:lang w:eastAsia="zh-CN"/>
              </w:rPr>
              <w:t>应</w:t>
            </w:r>
            <w:r>
              <w:rPr>
                <w:rFonts w:ascii="Times New Roman" w:hAnsi="Times New Roman"/>
                <w:color w:val="auto"/>
                <w:sz w:val="24"/>
              </w:rPr>
              <w:t>高于原执行一级A标准，现有处理工艺已不能满足新标准。因此，</w:t>
            </w:r>
            <w:r>
              <w:rPr>
                <w:rFonts w:hint="eastAsia" w:ascii="Times New Roman" w:hAnsi="Times New Roman"/>
                <w:color w:val="auto"/>
                <w:sz w:val="24"/>
                <w:lang w:eastAsia="zh-CN"/>
              </w:rPr>
              <w:t>威县乐牛乳业</w:t>
            </w:r>
            <w:r>
              <w:rPr>
                <w:rFonts w:ascii="Times New Roman" w:hAnsi="Times New Roman"/>
                <w:color w:val="auto"/>
                <w:sz w:val="24"/>
              </w:rPr>
              <w:t>污水处理</w:t>
            </w:r>
            <w:r>
              <w:rPr>
                <w:rFonts w:hint="eastAsia" w:ascii="Times New Roman" w:hAnsi="Times New Roman"/>
                <w:color w:val="auto"/>
                <w:sz w:val="24"/>
                <w:lang w:eastAsia="zh-CN"/>
              </w:rPr>
              <w:t>站</w:t>
            </w:r>
            <w:r>
              <w:rPr>
                <w:rFonts w:ascii="Times New Roman" w:hAnsi="Times New Roman"/>
                <w:color w:val="auto"/>
                <w:sz w:val="24"/>
              </w:rPr>
              <w:t>需要进行提标改造</w:t>
            </w:r>
            <w:r>
              <w:rPr>
                <w:rFonts w:hint="eastAsia" w:ascii="Times New Roman" w:hAnsi="Times New Roman"/>
                <w:color w:val="auto"/>
                <w:sz w:val="24"/>
                <w:lang w:eastAsia="zh-CN"/>
              </w:rPr>
              <w:t>，公司通过对厂区两套</w:t>
            </w:r>
            <w:r>
              <w:rPr>
                <w:rFonts w:hint="eastAsia" w:ascii="Times New Roman" w:hAnsi="Times New Roman"/>
                <w:color w:val="auto"/>
                <w:sz w:val="24"/>
                <w:lang w:val="en-US" w:eastAsia="zh-CN"/>
              </w:rPr>
              <w:t>1250m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/d处理规模的污水处理站采用加强硝化液回流降低总氮及增加除磷单元降低总磷的方式</w:t>
            </w:r>
            <w:r>
              <w:rPr>
                <w:rFonts w:hint="eastAsia" w:ascii="Times New Roman" w:hAnsi="Times New Roman"/>
                <w:color w:val="0000FF"/>
                <w:sz w:val="24"/>
                <w:lang w:val="en-US" w:eastAsia="zh-CN"/>
              </w:rPr>
              <w:t>，</w:t>
            </w:r>
            <w:r>
              <w:rPr>
                <w:rFonts w:hint="eastAsia" w:ascii="Times New Roman" w:hAnsi="Times New Roman"/>
                <w:color w:val="auto"/>
                <w:sz w:val="24"/>
                <w:lang w:val="en-US" w:eastAsia="zh-CN"/>
              </w:rPr>
              <w:t>对其进行提标改造，改造完成后污水处理站出水执行《黑龙港及运东流域水污染物排放标准》（DB13/2797 -2018）表1重点控制区排放限值，同时达到《地表水环境质量标准》（GB3838-2002）Ⅳ水质标准（总氮指标除外，依旧执行15mg/L标准）</w:t>
            </w:r>
            <w:r>
              <w:rPr>
                <w:rFonts w:ascii="Times New Roman" w:hAnsi="Times New Roman"/>
                <w:color w:val="auto"/>
                <w:sz w:val="24"/>
              </w:rPr>
              <w:t>。</w:t>
            </w:r>
          </w:p>
          <w:p>
            <w:pPr>
              <w:spacing w:line="360" w:lineRule="auto"/>
              <w:ind w:firstLine="480" w:firstLineChars="200"/>
              <w:contextualSpacing/>
              <w:rPr>
                <w:sz w:val="24"/>
                <w:szCs w:val="24"/>
              </w:rPr>
            </w:pPr>
            <w:r>
              <w:rPr>
                <w:sz w:val="24"/>
                <w:szCs w:val="24"/>
              </w:rPr>
              <w:t>根据《中华人民共和国环境影响评价法》、《建设项目环境保护管理条例》及《建设项目环境影响评价分类管理名录》（环境保护部44号令）</w:t>
            </w:r>
            <w:r>
              <w:rPr>
                <w:rFonts w:hint="eastAsia"/>
                <w:sz w:val="24"/>
                <w:szCs w:val="24"/>
              </w:rPr>
              <w:t>，</w:t>
            </w:r>
            <w:r>
              <w:rPr>
                <w:sz w:val="24"/>
                <w:szCs w:val="24"/>
              </w:rPr>
              <w:t>本项目</w:t>
            </w:r>
            <w:r>
              <w:rPr>
                <w:rFonts w:hint="eastAsia"/>
                <w:sz w:val="24"/>
                <w:szCs w:val="24"/>
              </w:rPr>
              <w:t>为“三十三</w:t>
            </w:r>
            <w:r>
              <w:rPr>
                <w:sz w:val="24"/>
                <w:szCs w:val="24"/>
              </w:rPr>
              <w:t>、水的生产和供应业——9</w:t>
            </w:r>
            <w:r>
              <w:rPr>
                <w:rFonts w:hint="eastAsia"/>
                <w:sz w:val="24"/>
                <w:szCs w:val="24"/>
                <w:lang w:val="en-US" w:eastAsia="zh-CN"/>
              </w:rPr>
              <w:t>7</w:t>
            </w:r>
            <w:r>
              <w:rPr>
                <w:rFonts w:hint="eastAsia"/>
                <w:sz w:val="24"/>
                <w:szCs w:val="24"/>
                <w:lang w:eastAsia="zh-CN"/>
              </w:rPr>
              <w:t>工业废水处理</w:t>
            </w:r>
            <w:r>
              <w:rPr>
                <w:rFonts w:hint="eastAsia"/>
                <w:sz w:val="24"/>
                <w:szCs w:val="24"/>
              </w:rPr>
              <w:t>”中“其他”类别</w:t>
            </w:r>
            <w:r>
              <w:rPr>
                <w:sz w:val="24"/>
                <w:szCs w:val="24"/>
              </w:rPr>
              <w:t>，</w:t>
            </w:r>
            <w:r>
              <w:rPr>
                <w:rFonts w:hint="eastAsia"/>
                <w:sz w:val="24"/>
                <w:szCs w:val="24"/>
              </w:rPr>
              <w:t>故</w:t>
            </w:r>
            <w:r>
              <w:rPr>
                <w:sz w:val="24"/>
                <w:szCs w:val="24"/>
              </w:rPr>
              <w:t>本项目应编制环境影响报告表。为此，</w:t>
            </w:r>
            <w:r>
              <w:rPr>
                <w:rFonts w:hint="eastAsia"/>
                <w:sz w:val="24"/>
                <w:szCs w:val="24"/>
                <w:lang w:eastAsia="zh-CN"/>
              </w:rPr>
              <w:t>威县乐牛乳业有限公司</w:t>
            </w:r>
            <w:r>
              <w:rPr>
                <w:sz w:val="24"/>
                <w:szCs w:val="24"/>
              </w:rPr>
              <w:t>委托</w:t>
            </w:r>
            <w:r>
              <w:rPr>
                <w:rFonts w:hint="eastAsia"/>
                <w:sz w:val="24"/>
                <w:szCs w:val="24"/>
              </w:rPr>
              <w:t>我</w:t>
            </w:r>
            <w:r>
              <w:rPr>
                <w:sz w:val="24"/>
                <w:szCs w:val="24"/>
              </w:rPr>
              <w:t>公司承担《</w:t>
            </w:r>
            <w:r>
              <w:rPr>
                <w:rFonts w:hint="eastAsia"/>
                <w:sz w:val="24"/>
                <w:szCs w:val="24"/>
                <w:lang w:eastAsia="zh-CN"/>
              </w:rPr>
              <w:t>威县乐牛乳业有限公司厂区配套设施污水处理站提标改造项目</w:t>
            </w:r>
            <w:r>
              <w:rPr>
                <w:rFonts w:hint="eastAsia"/>
                <w:sz w:val="24"/>
                <w:szCs w:val="24"/>
              </w:rPr>
              <w:t>环境影响</w:t>
            </w:r>
            <w:r>
              <w:rPr>
                <w:sz w:val="24"/>
                <w:szCs w:val="24"/>
              </w:rPr>
              <w:t>报告表》的编制工作。</w:t>
            </w:r>
            <w:r>
              <w:rPr>
                <w:rFonts w:hint="eastAsia"/>
                <w:sz w:val="24"/>
                <w:szCs w:val="24"/>
                <w:lang w:eastAsia="zh-CN"/>
              </w:rPr>
              <w:t>我单位</w:t>
            </w:r>
            <w:r>
              <w:rPr>
                <w:sz w:val="24"/>
                <w:szCs w:val="24"/>
              </w:rPr>
              <w:t>接受委托后，立即进行了现场踏勘和资料收集，按照《环境影响评价技术导则》的规定，编制完成了本项目环境影响报告表。</w:t>
            </w:r>
          </w:p>
          <w:p>
            <w:pPr>
              <w:spacing w:line="360" w:lineRule="auto"/>
              <w:ind w:firstLine="482" w:firstLineChars="200"/>
              <w:contextualSpacing/>
              <w:rPr>
                <w:b/>
                <w:sz w:val="24"/>
                <w:szCs w:val="24"/>
              </w:rPr>
            </w:pPr>
            <w:r>
              <w:rPr>
                <w:b/>
                <w:sz w:val="24"/>
                <w:szCs w:val="24"/>
              </w:rPr>
              <w:t>一、现有工程概况</w:t>
            </w:r>
          </w:p>
          <w:p>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（1）项目名称：</w:t>
            </w:r>
            <w:r>
              <w:rPr>
                <w:rFonts w:hint="default" w:ascii="Times New Roman" w:hAnsi="Times New Roman" w:eastAsia="宋体" w:cs="Times New Roman"/>
                <w:color w:val="auto"/>
                <w:sz w:val="24"/>
                <w:szCs w:val="24"/>
                <w:lang w:eastAsia="zh-CN"/>
              </w:rPr>
              <w:t>年产16万吨液体乳及乳饮料生产线项目</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（2）建设单位：</w:t>
            </w:r>
            <w:r>
              <w:rPr>
                <w:rFonts w:hint="default" w:ascii="Times New Roman" w:hAnsi="Times New Roman" w:eastAsia="宋体" w:cs="Times New Roman"/>
                <w:color w:val="auto"/>
                <w:sz w:val="24"/>
                <w:szCs w:val="24"/>
                <w:lang w:eastAsia="zh-CN"/>
              </w:rPr>
              <w:t>威县乐牛乳业有限公司</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rPr>
              <w:t>项目性质：新建</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（4）</w:t>
            </w:r>
            <w:r>
              <w:rPr>
                <w:rFonts w:hint="default" w:ascii="Times New Roman" w:hAnsi="Times New Roman" w:eastAsia="宋体" w:cs="Times New Roman"/>
                <w:color w:val="auto"/>
                <w:sz w:val="24"/>
                <w:szCs w:val="24"/>
              </w:rPr>
              <w:t>建设地点：</w:t>
            </w:r>
            <w:r>
              <w:rPr>
                <w:rFonts w:hint="default" w:ascii="Times New Roman" w:hAnsi="Times New Roman" w:eastAsia="宋体" w:cs="Times New Roman"/>
                <w:color w:val="auto"/>
                <w:sz w:val="24"/>
                <w:szCs w:val="24"/>
                <w:lang w:eastAsia="zh-CN"/>
              </w:rPr>
              <w:t>现有项目位于</w:t>
            </w:r>
            <w:r>
              <w:rPr>
                <w:rFonts w:hint="default" w:ascii="Times New Roman" w:hAnsi="Times New Roman" w:eastAsia="宋体" w:cs="Times New Roman"/>
                <w:color w:val="auto"/>
                <w:sz w:val="24"/>
                <w:szCs w:val="24"/>
                <w:highlight w:val="none"/>
                <w:lang w:eastAsia="zh-CN"/>
              </w:rPr>
              <w:t>威县赵村乡前寺庄村南，乐源大道路西</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中心地理坐标为东经115°</w:t>
            </w:r>
            <w:r>
              <w:rPr>
                <w:rFonts w:hint="default"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03.13</w:t>
            </w:r>
            <w:r>
              <w:rPr>
                <w:rFonts w:hint="default" w:ascii="Times New Roman" w:hAnsi="Times New Roman" w:eastAsia="宋体" w:cs="Times New Roman"/>
                <w:color w:val="auto"/>
                <w:sz w:val="24"/>
                <w:highlight w:val="none"/>
              </w:rPr>
              <w:t>″，北纬37°</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39.03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bCs/>
                <w:color w:val="auto"/>
                <w:sz w:val="24"/>
                <w:highlight w:val="none"/>
              </w:rPr>
              <w:t>。场址北侧、</w:t>
            </w:r>
            <w:r>
              <w:rPr>
                <w:rFonts w:hint="default" w:ascii="Times New Roman" w:hAnsi="Times New Roman" w:eastAsia="宋体" w:cs="Times New Roman"/>
                <w:bCs/>
                <w:color w:val="auto"/>
                <w:sz w:val="24"/>
                <w:highlight w:val="none"/>
                <w:lang w:eastAsia="zh-CN"/>
              </w:rPr>
              <w:t>西</w:t>
            </w:r>
            <w:r>
              <w:rPr>
                <w:rFonts w:hint="default" w:ascii="Times New Roman" w:hAnsi="Times New Roman" w:eastAsia="宋体" w:cs="Times New Roman"/>
                <w:bCs/>
                <w:color w:val="auto"/>
                <w:sz w:val="24"/>
                <w:highlight w:val="none"/>
              </w:rPr>
              <w:t>侧和南侧为农田，</w:t>
            </w:r>
            <w:r>
              <w:rPr>
                <w:rFonts w:hint="default" w:ascii="Times New Roman" w:hAnsi="Times New Roman" w:eastAsia="宋体" w:cs="Times New Roman"/>
                <w:bCs/>
                <w:color w:val="auto"/>
                <w:sz w:val="24"/>
                <w:highlight w:val="none"/>
                <w:lang w:eastAsia="zh-CN"/>
              </w:rPr>
              <w:t>东</w:t>
            </w:r>
            <w:r>
              <w:rPr>
                <w:rFonts w:hint="default" w:ascii="Times New Roman" w:hAnsi="Times New Roman" w:eastAsia="宋体" w:cs="Times New Roman"/>
                <w:bCs/>
                <w:color w:val="auto"/>
                <w:sz w:val="24"/>
                <w:highlight w:val="none"/>
              </w:rPr>
              <w:t>侧</w:t>
            </w:r>
            <w:r>
              <w:rPr>
                <w:rFonts w:hint="default" w:ascii="Times New Roman" w:hAnsi="Times New Roman" w:eastAsia="宋体" w:cs="Times New Roman"/>
                <w:bCs/>
                <w:color w:val="auto"/>
                <w:sz w:val="24"/>
                <w:highlight w:val="none"/>
                <w:lang w:eastAsia="zh-CN"/>
              </w:rPr>
              <w:t>为乐源大道，</w:t>
            </w:r>
            <w:r>
              <w:rPr>
                <w:rFonts w:hint="default" w:ascii="Times New Roman" w:hAnsi="Times New Roman" w:eastAsia="宋体" w:cs="Times New Roman"/>
                <w:bCs/>
                <w:color w:val="auto"/>
                <w:sz w:val="24"/>
                <w:highlight w:val="none"/>
              </w:rPr>
              <w:t>隔路为农田。</w:t>
            </w:r>
            <w:r>
              <w:rPr>
                <w:rFonts w:hint="default" w:ascii="Times New Roman" w:hAnsi="Times New Roman" w:eastAsia="宋体" w:cs="Times New Roman"/>
                <w:bCs/>
                <w:color w:val="auto"/>
                <w:sz w:val="24"/>
                <w:highlight w:val="none"/>
                <w:lang w:eastAsia="zh-CN"/>
              </w:rPr>
              <w:t>项目所在地西南</w:t>
            </w:r>
            <w:r>
              <w:rPr>
                <w:rFonts w:hint="default" w:ascii="Times New Roman" w:hAnsi="Times New Roman" w:eastAsia="宋体" w:cs="Times New Roman"/>
                <w:bCs/>
                <w:color w:val="auto"/>
                <w:sz w:val="24"/>
                <w:highlight w:val="none"/>
                <w:lang w:val="en-US" w:eastAsia="zh-CN"/>
              </w:rPr>
              <w:t>1560m处为后南寺庄村，西南1470m处为中南寺庄村，西南1510m处为前南寺庄村，东南1700m处为关吴村，东南1990m处为国吴村，东1900m处为薛吴村，北710m处为前寺庄村，北780m处为西寺庄村，北1090m处为东寺庄村，北1250m处为北寺庄村</w:t>
            </w:r>
            <w:r>
              <w:rPr>
                <w:rFonts w:hint="default" w:ascii="Times New Roman" w:hAnsi="Times New Roman" w:eastAsia="宋体" w:cs="Times New Roman"/>
                <w:color w:val="auto"/>
                <w:sz w:val="24"/>
                <w:szCs w:val="24"/>
                <w:lang w:val="en-US" w:eastAsia="zh-CN"/>
              </w:rPr>
              <w:t>。</w:t>
            </w:r>
          </w:p>
          <w:p>
            <w:pPr>
              <w:pStyle w:val="34"/>
              <w:keepNext w:val="0"/>
              <w:keepLines w:val="0"/>
              <w:pageBreakBefore w:val="0"/>
              <w:kinsoku/>
              <w:wordWrap/>
              <w:overflowPunct/>
              <w:topLinePunct w:val="0"/>
              <w:autoSpaceDE/>
              <w:autoSpaceDN/>
              <w:bidi w:val="0"/>
              <w:adjustRightInd w:val="0"/>
              <w:snapToGrid w:val="0"/>
              <w:spacing w:line="44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（5）总投资：</w:t>
            </w: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szCs w:val="24"/>
                <w:highlight w:val="none"/>
              </w:rPr>
              <w:t>总投资</w:t>
            </w:r>
            <w:r>
              <w:rPr>
                <w:rFonts w:hint="default" w:ascii="Times New Roman" w:hAnsi="Times New Roman" w:eastAsia="宋体" w:cs="Times New Roman"/>
                <w:color w:val="auto"/>
                <w:sz w:val="24"/>
                <w:szCs w:val="24"/>
                <w:highlight w:val="none"/>
                <w:lang w:val="en-US" w:eastAsia="zh-CN"/>
              </w:rPr>
              <w:t>43401.74</w:t>
            </w:r>
            <w:r>
              <w:rPr>
                <w:rFonts w:hint="default" w:ascii="Times New Roman" w:hAnsi="Times New Roman" w:eastAsia="宋体" w:cs="Times New Roman"/>
                <w:color w:val="auto"/>
                <w:sz w:val="24"/>
                <w:szCs w:val="24"/>
                <w:highlight w:val="none"/>
                <w:lang w:eastAsia="zh-CN"/>
              </w:rPr>
              <w:t>万元</w:t>
            </w:r>
            <w:r>
              <w:rPr>
                <w:rFonts w:hint="default" w:ascii="Times New Roman" w:hAnsi="Times New Roman" w:eastAsia="宋体" w:cs="Times New Roman"/>
                <w:color w:val="auto"/>
                <w:sz w:val="24"/>
                <w:szCs w:val="24"/>
                <w:highlight w:val="none"/>
              </w:rPr>
              <w:t>，其中环保投资</w:t>
            </w:r>
            <w:r>
              <w:rPr>
                <w:rFonts w:hint="default" w:ascii="Times New Roman" w:hAnsi="Times New Roman" w:eastAsia="宋体" w:cs="Times New Roman"/>
                <w:color w:val="auto"/>
                <w:sz w:val="24"/>
                <w:szCs w:val="24"/>
                <w:highlight w:val="none"/>
                <w:lang w:val="en-US" w:eastAsia="zh-CN"/>
              </w:rPr>
              <w:t>850万元</w:t>
            </w:r>
            <w:r>
              <w:rPr>
                <w:rFonts w:hint="default" w:ascii="Times New Roman" w:hAnsi="Times New Roman" w:eastAsia="宋体" w:cs="Times New Roman"/>
                <w:color w:val="auto"/>
                <w:sz w:val="24"/>
                <w:szCs w:val="24"/>
                <w:highlight w:val="none"/>
              </w:rPr>
              <w:t>，占总投资的</w:t>
            </w:r>
            <w:r>
              <w:rPr>
                <w:rFonts w:hint="default" w:ascii="Times New Roman" w:hAnsi="Times New Roman" w:eastAsia="宋体" w:cs="Times New Roman"/>
                <w:color w:val="auto"/>
                <w:sz w:val="24"/>
                <w:szCs w:val="24"/>
                <w:highlight w:val="none"/>
                <w:lang w:val="en-US" w:eastAsia="zh-CN"/>
              </w:rPr>
              <w:t>1.95%</w:t>
            </w:r>
            <w:r>
              <w:rPr>
                <w:rFonts w:hint="default" w:ascii="Times New Roman" w:hAnsi="Times New Roman" w:eastAsia="宋体" w:cs="Times New Roman"/>
                <w:color w:val="auto"/>
                <w:sz w:val="24"/>
              </w:rPr>
              <w:t>。</w:t>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（6）建设内容及规模：</w:t>
            </w:r>
            <w:r>
              <w:rPr>
                <w:rFonts w:hint="default" w:ascii="Times New Roman" w:hAnsi="Times New Roman" w:eastAsia="宋体" w:cs="Times New Roman"/>
                <w:color w:val="auto"/>
                <w:sz w:val="24"/>
                <w:szCs w:val="24"/>
                <w:lang w:eastAsia="zh-CN"/>
              </w:rPr>
              <w:t>现有</w:t>
            </w:r>
            <w:r>
              <w:rPr>
                <w:rFonts w:hint="default" w:ascii="Times New Roman" w:hAnsi="Times New Roman" w:eastAsia="宋体" w:cs="Times New Roman"/>
                <w:color w:val="auto"/>
                <w:sz w:val="24"/>
                <w:szCs w:val="24"/>
                <w:highlight w:val="none"/>
              </w:rPr>
              <w:t xml:space="preserve">项目总占地面积 </w:t>
            </w:r>
            <w:r>
              <w:rPr>
                <w:rFonts w:hint="default" w:ascii="Times New Roman" w:hAnsi="Times New Roman" w:eastAsia="宋体" w:cs="Times New Roman"/>
                <w:color w:val="auto"/>
                <w:sz w:val="24"/>
                <w:szCs w:val="24"/>
                <w:highlight w:val="none"/>
                <w:lang w:eastAsia="zh-CN"/>
              </w:rPr>
              <w:t>68568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（约 102.8 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建（构）筑物总占地面积 </w:t>
            </w:r>
            <w:r>
              <w:rPr>
                <w:rFonts w:hint="default" w:ascii="Times New Roman" w:hAnsi="Times New Roman" w:eastAsia="宋体" w:cs="Times New Roman"/>
                <w:color w:val="auto"/>
                <w:sz w:val="24"/>
                <w:szCs w:val="24"/>
                <w:highlight w:val="none"/>
                <w:lang w:val="en-US" w:eastAsia="zh-CN"/>
              </w:rPr>
              <w:t>21227.4m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 xml:space="preserve">，总建筑面积 </w:t>
            </w:r>
            <w:r>
              <w:rPr>
                <w:rFonts w:hint="default" w:ascii="Times New Roman" w:hAnsi="Times New Roman" w:eastAsia="宋体" w:cs="Times New Roman"/>
                <w:color w:val="auto"/>
                <w:sz w:val="24"/>
                <w:szCs w:val="24"/>
                <w:highlight w:val="none"/>
                <w:lang w:val="en-US" w:eastAsia="zh-CN"/>
              </w:rPr>
              <w:t>33471.7m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项目组成包括液体乳车间、能源中心、原辅料库、药品废品库、门卫室等设施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lang w:val="en-US" w:eastAsia="zh-CN"/>
              </w:rPr>
              <w:t>项目建成后，</w:t>
            </w:r>
            <w:r>
              <w:rPr>
                <w:rFonts w:hint="default" w:ascii="Times New Roman" w:hAnsi="Times New Roman" w:eastAsia="宋体" w:cs="Times New Roman"/>
                <w:color w:val="auto"/>
                <w:sz w:val="24"/>
                <w:szCs w:val="24"/>
              </w:rPr>
              <w:t>年产16万吨液体乳及乳饮料，</w:t>
            </w:r>
            <w:r>
              <w:rPr>
                <w:rFonts w:hint="default" w:ascii="Times New Roman" w:hAnsi="Times New Roman" w:eastAsia="宋体" w:cs="Times New Roman"/>
                <w:color w:val="auto"/>
                <w:sz w:val="24"/>
                <w:szCs w:val="24"/>
                <w:lang w:eastAsia="zh-CN"/>
              </w:rPr>
              <w:t>其中</w:t>
            </w:r>
            <w:r>
              <w:rPr>
                <w:rFonts w:hint="default" w:ascii="Times New Roman" w:hAnsi="Times New Roman" w:eastAsia="宋体" w:cs="Times New Roman"/>
                <w:color w:val="auto"/>
                <w:sz w:val="24"/>
                <w:szCs w:val="24"/>
              </w:rPr>
              <w:t>新鲜巴氏乳54000吨</w:t>
            </w:r>
            <w:r>
              <w:rPr>
                <w:rFonts w:hint="default"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rPr>
              <w:t>、灭菌乳54000吨</w:t>
            </w:r>
            <w:r>
              <w:rPr>
                <w:rFonts w:hint="default"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rPr>
              <w:t>、花色乳51000吨</w:t>
            </w:r>
            <w:r>
              <w:rPr>
                <w:rFonts w:hint="default" w:ascii="Times New Roman" w:hAnsi="Times New Roman" w:eastAsia="宋体" w:cs="Times New Roman"/>
                <w:color w:val="auto"/>
                <w:sz w:val="24"/>
                <w:szCs w:val="24"/>
                <w:lang w:val="en-US" w:eastAsia="zh-CN"/>
              </w:rPr>
              <w:t>/年、乳饮料1000吨/年。</w:t>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劳动定员及工作制度：</w:t>
            </w:r>
            <w:r>
              <w:rPr>
                <w:rFonts w:hint="default" w:ascii="Times New Roman" w:hAnsi="Times New Roman" w:eastAsia="宋体" w:cs="Times New Roman"/>
                <w:color w:val="auto"/>
                <w:sz w:val="24"/>
                <w:szCs w:val="24"/>
                <w:lang w:eastAsia="zh-CN"/>
              </w:rPr>
              <w:t>现有项目劳动定员</w:t>
            </w:r>
            <w:r>
              <w:rPr>
                <w:rFonts w:hint="default" w:ascii="Times New Roman" w:hAnsi="Times New Roman" w:eastAsia="宋体" w:cs="Times New Roman"/>
                <w:color w:val="auto"/>
                <w:sz w:val="24"/>
                <w:szCs w:val="24"/>
                <w:highlight w:val="none"/>
                <w:lang w:val="en-US" w:eastAsia="zh-CN"/>
              </w:rPr>
              <w:t>350</w:t>
            </w:r>
            <w:r>
              <w:rPr>
                <w:rFonts w:hint="default" w:ascii="Times New Roman" w:hAnsi="Times New Roman" w:eastAsia="宋体" w:cs="Times New Roman"/>
                <w:color w:val="auto"/>
                <w:sz w:val="24"/>
                <w:szCs w:val="24"/>
                <w:highlight w:val="none"/>
              </w:rPr>
              <w:t>人，年工作日300天，</w:t>
            </w:r>
            <w:r>
              <w:rPr>
                <w:rFonts w:hint="default" w:ascii="Times New Roman" w:hAnsi="Times New Roman" w:eastAsia="宋体" w:cs="Times New Roman"/>
                <w:color w:val="auto"/>
                <w:sz w:val="24"/>
                <w:szCs w:val="24"/>
                <w:highlight w:val="none"/>
                <w:lang w:eastAsia="zh-CN"/>
              </w:rPr>
              <w:t>液</w:t>
            </w:r>
            <w:r>
              <w:rPr>
                <w:rFonts w:hint="default" w:ascii="Times New Roman" w:hAnsi="Times New Roman" w:eastAsia="宋体" w:cs="Times New Roman"/>
                <w:color w:val="auto"/>
                <w:sz w:val="24"/>
                <w:szCs w:val="24"/>
                <w:highlight w:val="none"/>
              </w:rPr>
              <w:t>体乳及乳制品生产日工作18小时，制瓶厂日工作24小时，管理人员为日班工作制，每班8小时</w:t>
            </w:r>
            <w:r>
              <w:rPr>
                <w:rFonts w:hint="default" w:ascii="Times New Roman" w:hAnsi="Times New Roman" w:eastAsia="宋体" w:cs="Times New Roman"/>
                <w:color w:val="auto"/>
                <w:sz w:val="24"/>
                <w:szCs w:val="24"/>
              </w:rPr>
              <w:t>。</w:t>
            </w:r>
          </w:p>
          <w:p>
            <w:pPr>
              <w:pStyle w:val="128"/>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（8）现有工程主要原辅材料消耗及主要生产设备</w:t>
            </w:r>
          </w:p>
          <w:p>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1</w:t>
            </w:r>
            <w:r>
              <w:rPr>
                <w:rFonts w:hint="default" w:ascii="Times New Roman" w:hAnsi="Times New Roman" w:eastAsia="宋体" w:cs="Times New Roman"/>
                <w:b/>
                <w:bCs/>
                <w:color w:val="auto"/>
                <w:kern w:val="0"/>
                <w:sz w:val="24"/>
                <w:szCs w:val="24"/>
              </w:rPr>
              <w:t xml:space="preserve">   现有工程原辅材料消耗一览表</w:t>
            </w:r>
          </w:p>
          <w:tbl>
            <w:tblPr>
              <w:tblStyle w:val="4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9"/>
              <w:gridCol w:w="2672"/>
              <w:gridCol w:w="2334"/>
              <w:gridCol w:w="24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516"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32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单位</w:t>
                  </w:r>
                </w:p>
              </w:tc>
              <w:tc>
                <w:tcPr>
                  <w:tcW w:w="140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年用量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1</w:t>
                  </w:r>
                </w:p>
              </w:tc>
              <w:tc>
                <w:tcPr>
                  <w:tcW w:w="15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鲜牛奶</w:t>
                  </w:r>
                </w:p>
              </w:tc>
              <w:tc>
                <w:tcPr>
                  <w:tcW w:w="13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t/a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155190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2</w:t>
                  </w:r>
                </w:p>
              </w:tc>
              <w:tc>
                <w:tcPr>
                  <w:tcW w:w="1516" w:type="pct"/>
                  <w:noWrap w:val="0"/>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白砂糖</w:t>
                  </w:r>
                </w:p>
              </w:tc>
              <w:tc>
                <w:tcPr>
                  <w:tcW w:w="1324" w:type="pct"/>
                  <w:noWrap w:val="0"/>
                  <w:vAlign w:val="top"/>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t/a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3</w:t>
                  </w:r>
                </w:p>
              </w:tc>
              <w:tc>
                <w:tcPr>
                  <w:tcW w:w="1516" w:type="pct"/>
                  <w:noWrap w:val="0"/>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浓缩果汁</w:t>
                  </w:r>
                </w:p>
              </w:tc>
              <w:tc>
                <w:tcPr>
                  <w:tcW w:w="1324" w:type="pct"/>
                  <w:noWrap w:val="0"/>
                  <w:vAlign w:val="top"/>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t/a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765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4</w:t>
                  </w:r>
                </w:p>
              </w:tc>
              <w:tc>
                <w:tcPr>
                  <w:tcW w:w="1516" w:type="pct"/>
                  <w:noWrap w:val="0"/>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固体麦精</w:t>
                  </w:r>
                </w:p>
              </w:tc>
              <w:tc>
                <w:tcPr>
                  <w:tcW w:w="1324" w:type="pct"/>
                  <w:noWrap w:val="0"/>
                  <w:vAlign w:val="top"/>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t/a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280.5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5</w:t>
                  </w:r>
                </w:p>
              </w:tc>
              <w:tc>
                <w:tcPr>
                  <w:tcW w:w="1516" w:type="pct"/>
                  <w:noWrap w:val="0"/>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JLBW-114</w:t>
                  </w:r>
                </w:p>
              </w:tc>
              <w:tc>
                <w:tcPr>
                  <w:tcW w:w="1324" w:type="pct"/>
                  <w:noWrap w:val="0"/>
                  <w:vAlign w:val="top"/>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t/a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127.5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6</w:t>
                  </w:r>
                </w:p>
              </w:tc>
              <w:tc>
                <w:tcPr>
                  <w:tcW w:w="1516" w:type="pct"/>
                  <w:noWrap w:val="0"/>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JLBW-117</w:t>
                  </w:r>
                </w:p>
              </w:tc>
              <w:tc>
                <w:tcPr>
                  <w:tcW w:w="1324" w:type="pct"/>
                  <w:noWrap w:val="0"/>
                  <w:vAlign w:val="top"/>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t/a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168.3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7</w:t>
                  </w:r>
                </w:p>
              </w:tc>
              <w:tc>
                <w:tcPr>
                  <w:tcW w:w="1516" w:type="pct"/>
                  <w:noWrap w:val="0"/>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JLBT-005</w:t>
                  </w:r>
                </w:p>
              </w:tc>
              <w:tc>
                <w:tcPr>
                  <w:tcW w:w="1324" w:type="pct"/>
                  <w:noWrap w:val="0"/>
                  <w:vAlign w:val="top"/>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t/a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61.2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8</w:t>
                  </w:r>
                </w:p>
              </w:tc>
              <w:tc>
                <w:tcPr>
                  <w:tcW w:w="15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包 材</w:t>
                  </w:r>
                </w:p>
              </w:tc>
              <w:tc>
                <w:tcPr>
                  <w:tcW w:w="13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8.1</w:t>
                  </w:r>
                </w:p>
              </w:tc>
              <w:tc>
                <w:tcPr>
                  <w:tcW w:w="15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HDPE颗粒料</w:t>
                  </w:r>
                </w:p>
              </w:tc>
              <w:tc>
                <w:tcPr>
                  <w:tcW w:w="13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t/a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8.2</w:t>
                  </w:r>
                </w:p>
              </w:tc>
              <w:tc>
                <w:tcPr>
                  <w:tcW w:w="15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PE膜</w:t>
                  </w:r>
                </w:p>
              </w:tc>
              <w:tc>
                <w:tcPr>
                  <w:tcW w:w="13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t/a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931.5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8.3</w:t>
                  </w:r>
                </w:p>
              </w:tc>
              <w:tc>
                <w:tcPr>
                  <w:tcW w:w="15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瓶盖</w:t>
                  </w:r>
                </w:p>
              </w:tc>
              <w:tc>
                <w:tcPr>
                  <w:tcW w:w="13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万只/a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21429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8.4</w:t>
                  </w:r>
                </w:p>
              </w:tc>
              <w:tc>
                <w:tcPr>
                  <w:tcW w:w="15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砖机卷材</w:t>
                  </w:r>
                </w:p>
              </w:tc>
              <w:tc>
                <w:tcPr>
                  <w:tcW w:w="13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卷/a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6513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8.5</w:t>
                  </w:r>
                </w:p>
              </w:tc>
              <w:tc>
                <w:tcPr>
                  <w:tcW w:w="15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纸箱</w:t>
                  </w:r>
                </w:p>
              </w:tc>
              <w:tc>
                <w:tcPr>
                  <w:tcW w:w="13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万只/a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410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8.6</w:t>
                  </w:r>
                </w:p>
              </w:tc>
              <w:tc>
                <w:tcPr>
                  <w:tcW w:w="15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瓶坯</w:t>
                  </w:r>
                </w:p>
              </w:tc>
              <w:tc>
                <w:tcPr>
                  <w:tcW w:w="13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万只/a</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21429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9</w:t>
                  </w:r>
                </w:p>
              </w:tc>
              <w:tc>
                <w:tcPr>
                  <w:tcW w:w="15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燃料、动力</w:t>
                  </w:r>
                </w:p>
              </w:tc>
              <w:tc>
                <w:tcPr>
                  <w:tcW w:w="13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c>
                <w:tcPr>
                  <w:tcW w:w="140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9.1</w:t>
                  </w:r>
                </w:p>
              </w:tc>
              <w:tc>
                <w:tcPr>
                  <w:tcW w:w="1516"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天然气</w:t>
                  </w:r>
                </w:p>
              </w:tc>
              <w:tc>
                <w:tcPr>
                  <w:tcW w:w="1324"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万Nm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404"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518.4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9.2</w:t>
                  </w:r>
                </w:p>
              </w:tc>
              <w:tc>
                <w:tcPr>
                  <w:tcW w:w="1516"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电</w:t>
                  </w:r>
                </w:p>
              </w:tc>
              <w:tc>
                <w:tcPr>
                  <w:tcW w:w="1324"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万kWh/a</w:t>
                  </w:r>
                </w:p>
              </w:tc>
              <w:tc>
                <w:tcPr>
                  <w:tcW w:w="1404"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2410.2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9.3</w:t>
                  </w:r>
                </w:p>
              </w:tc>
              <w:tc>
                <w:tcPr>
                  <w:tcW w:w="1516"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水</w:t>
                  </w:r>
                </w:p>
              </w:tc>
              <w:tc>
                <w:tcPr>
                  <w:tcW w:w="1324"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万</w:t>
                  </w:r>
                  <w:r>
                    <w:rPr>
                      <w:rFonts w:hint="default" w:ascii="Times New Roman" w:hAnsi="Times New Roman" w:eastAsia="宋体" w:cs="Times New Roman"/>
                      <w:color w:val="auto"/>
                      <w:sz w:val="21"/>
                      <w:szCs w:val="21"/>
                      <w:highlight w:val="none"/>
                      <w:lang w:val="en-US" w:eastAsia="zh-CN"/>
                    </w:rPr>
                    <w:t>m³</w:t>
                  </w:r>
                  <w:r>
                    <w:rPr>
                      <w:rFonts w:hint="default" w:ascii="Times New Roman" w:hAnsi="Times New Roman" w:eastAsia="宋体" w:cs="Times New Roman"/>
                      <w:color w:val="auto"/>
                      <w:sz w:val="21"/>
                      <w:szCs w:val="21"/>
                      <w:highlight w:val="none"/>
                    </w:rPr>
                    <w:t>/a</w:t>
                  </w:r>
                </w:p>
              </w:tc>
              <w:tc>
                <w:tcPr>
                  <w:tcW w:w="1404" w:type="pct"/>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50.67</w:t>
                  </w:r>
                </w:p>
              </w:tc>
            </w:tr>
          </w:tbl>
          <w:p>
            <w:pPr>
              <w:widowControl/>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rPr>
              <w:t xml:space="preserve">  现有工程主要生产设备和辅助设备一览表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060"/>
              <w:gridCol w:w="3912"/>
              <w:gridCol w:w="796"/>
              <w:gridCol w:w="2240"/>
              <w:gridCol w:w="80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序号</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设备名称</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单位</w:t>
                  </w:r>
                </w:p>
              </w:tc>
              <w:tc>
                <w:tcPr>
                  <w:tcW w:w="1271" w:type="pct"/>
                  <w:tcBorders>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规格型号</w:t>
                  </w:r>
                </w:p>
              </w:tc>
              <w:tc>
                <w:tcPr>
                  <w:tcW w:w="452" w:type="pc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Cs/>
                      <w:color w:val="auto"/>
                      <w:kern w:val="0"/>
                      <w:sz w:val="21"/>
                      <w:szCs w:val="21"/>
                      <w:lang w:eastAsia="zh-CN"/>
                    </w:rPr>
                    <w:t>数量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w:t>
                  </w:r>
                </w:p>
              </w:tc>
              <w:tc>
                <w:tcPr>
                  <w:tcW w:w="4397" w:type="pct"/>
                  <w:gridSpan w:val="4"/>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highlight w:val="none"/>
                    </w:rPr>
                    <w:t>前处理工序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w:t>
                  </w:r>
                </w:p>
              </w:tc>
              <w:tc>
                <w:tcPr>
                  <w:tcW w:w="4397" w:type="pct"/>
                  <w:gridSpan w:val="4"/>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收奶工序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离心泵</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30t/h</w:t>
                  </w:r>
                </w:p>
              </w:tc>
              <w:tc>
                <w:tcPr>
                  <w:tcW w:w="452" w:type="pct"/>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离心泵（暂存到奶仓）</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left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30t/h</w:t>
                  </w:r>
                </w:p>
              </w:tc>
              <w:tc>
                <w:tcPr>
                  <w:tcW w:w="452" w:type="pc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3</w:t>
                  </w:r>
                </w:p>
              </w:tc>
              <w:tc>
                <w:tcPr>
                  <w:tcW w:w="2220" w:type="pct"/>
                  <w:tcBorders>
                    <w:top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净乳机</w:t>
                  </w:r>
                </w:p>
              </w:tc>
              <w:tc>
                <w:tcPr>
                  <w:tcW w:w="452" w:type="pct"/>
                  <w:tcBorders>
                    <w:top w:val="single" w:color="auto" w:sz="4" w:space="0"/>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30t/h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生奶降温板式换热器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30t/h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生奶仓</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80t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熟奶仓</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80t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离心泵</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30t/h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CIP回流泵</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40t/h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（二）</w:t>
                  </w:r>
                </w:p>
              </w:tc>
              <w:tc>
                <w:tcPr>
                  <w:tcW w:w="4397" w:type="pct"/>
                  <w:gridSpan w:val="4"/>
                  <w:tcBorders>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巴氏乳预巴式杀菌工序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巴氏杀菌机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t/h</w:t>
                  </w:r>
                </w:p>
              </w:tc>
              <w:tc>
                <w:tcPr>
                  <w:tcW w:w="45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1.4微米膜过滤器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t/h</w:t>
                  </w:r>
                </w:p>
              </w:tc>
              <w:tc>
                <w:tcPr>
                  <w:tcW w:w="45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均质机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t/h</w:t>
                  </w:r>
                </w:p>
              </w:tc>
              <w:tc>
                <w:tcPr>
                  <w:tcW w:w="45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RO水罐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p>
              </w:tc>
              <w:tc>
                <w:tcPr>
                  <w:tcW w:w="45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（三）</w:t>
                  </w:r>
                </w:p>
              </w:tc>
              <w:tc>
                <w:tcPr>
                  <w:tcW w:w="4397" w:type="pct"/>
                  <w:gridSpan w:val="4"/>
                  <w:tcBorders>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配料工序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离心泵</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30t/h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高剪</w:t>
                  </w:r>
                  <w:r>
                    <w:rPr>
                      <w:rFonts w:hint="default" w:ascii="Times New Roman" w:hAnsi="Times New Roman" w:eastAsia="宋体" w:cs="Times New Roman"/>
                      <w:color w:val="auto"/>
                      <w:sz w:val="21"/>
                      <w:szCs w:val="21"/>
                      <w:highlight w:val="none"/>
                      <w:lang w:val="en-US" w:eastAsia="zh-CN"/>
                    </w:rPr>
                    <w:t>切化料系统</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lang w:val="en-US" w:eastAsia="zh-CN"/>
                    </w:rPr>
                    <w:t>套</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板式换热器（辅料升温）</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r>
                    <w:rPr>
                      <w:rFonts w:hint="default" w:ascii="Times New Roman" w:hAnsi="Times New Roman" w:eastAsia="宋体" w:cs="Times New Roman"/>
                      <w:color w:val="auto"/>
                      <w:sz w:val="21"/>
                      <w:szCs w:val="21"/>
                      <w:highlight w:val="none"/>
                    </w:rPr>
                    <w: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板式换热器（降温辅料）</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30t</w:t>
                  </w:r>
                  <w:r>
                    <w:rPr>
                      <w:rFonts w:hint="default" w:ascii="Times New Roman" w:hAnsi="Times New Roman" w:eastAsia="宋体" w:cs="Times New Roman"/>
                      <w:color w:val="auto"/>
                      <w:sz w:val="21"/>
                      <w:szCs w:val="21"/>
                      <w:highlight w:val="none"/>
                    </w:rPr>
                    <w: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离心泵（高剪循环）</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r>
                    <w:rPr>
                      <w:rFonts w:hint="default" w:ascii="Times New Roman" w:hAnsi="Times New Roman" w:eastAsia="宋体" w:cs="Times New Roman"/>
                      <w:color w:val="auto"/>
                      <w:sz w:val="21"/>
                      <w:szCs w:val="21"/>
                      <w:highlight w:val="none"/>
                    </w:rPr>
                    <w: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配料罐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6t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CIP回流泵</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30t</w:t>
                  </w:r>
                  <w:r>
                    <w:rPr>
                      <w:rFonts w:hint="default" w:ascii="Times New Roman" w:hAnsi="Times New Roman" w:eastAsia="宋体" w:cs="Times New Roman"/>
                      <w:color w:val="auto"/>
                      <w:sz w:val="21"/>
                      <w:szCs w:val="21"/>
                      <w:highlight w:val="none"/>
                    </w:rPr>
                    <w: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回收奶罐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lang w:val="en-US" w:eastAsia="zh-CN"/>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6t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冷凝水回收罐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lang w:val="en-US" w:eastAsia="zh-CN"/>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6t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（四）</w:t>
                  </w:r>
                </w:p>
              </w:tc>
              <w:tc>
                <w:tcPr>
                  <w:tcW w:w="4397" w:type="pct"/>
                  <w:gridSpan w:val="4"/>
                  <w:tcBorders>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待装工序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待装罐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CIP回流泵</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30t</w:t>
                  </w:r>
                  <w:r>
                    <w:rPr>
                      <w:rFonts w:hint="default" w:ascii="Times New Roman" w:hAnsi="Times New Roman" w:eastAsia="宋体" w:cs="Times New Roman"/>
                      <w:color w:val="auto"/>
                      <w:sz w:val="21"/>
                      <w:szCs w:val="21"/>
                      <w:highlight w:val="none"/>
                    </w:rPr>
                    <w: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（五）</w:t>
                  </w:r>
                </w:p>
              </w:tc>
              <w:tc>
                <w:tcPr>
                  <w:tcW w:w="4397" w:type="pct"/>
                  <w:gridSpan w:val="4"/>
                  <w:tcBorders>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200ml</w:t>
                  </w:r>
                  <w:r>
                    <w:rPr>
                      <w:rFonts w:hint="default" w:ascii="Times New Roman" w:hAnsi="Times New Roman" w:eastAsia="宋体" w:cs="Times New Roman"/>
                      <w:color w:val="auto"/>
                      <w:sz w:val="21"/>
                      <w:szCs w:val="21"/>
                      <w:highlight w:val="none"/>
                      <w:lang w:val="en-US" w:eastAsia="zh-CN"/>
                    </w:rPr>
                    <w:t>学生奶</w:t>
                  </w:r>
                  <w:r>
                    <w:rPr>
                      <w:rFonts w:hint="default" w:ascii="Times New Roman" w:hAnsi="Times New Roman" w:eastAsia="宋体" w:cs="Times New Roman"/>
                      <w:color w:val="auto"/>
                      <w:sz w:val="21"/>
                      <w:szCs w:val="21"/>
                      <w:highlight w:val="none"/>
                    </w:rPr>
                    <w:t>UHT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1</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离心泵</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变频供料泵</w:t>
                  </w:r>
                  <w:r>
                    <w:rPr>
                      <w:rFonts w:hint="default" w:ascii="Times New Roman" w:hAnsi="Times New Roman" w:eastAsia="宋体" w:cs="Times New Roman"/>
                      <w:color w:val="auto"/>
                      <w:kern w:val="0"/>
                      <w:sz w:val="21"/>
                      <w:szCs w:val="21"/>
                      <w:highlight w:val="none"/>
                      <w:lang w:eastAsia="zh-CN"/>
                    </w:rPr>
                    <w:t>）</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8.5t/h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2</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UHT</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8.5t</w:t>
                  </w:r>
                  <w:r>
                    <w:rPr>
                      <w:rFonts w:hint="default" w:ascii="Times New Roman" w:hAnsi="Times New Roman" w:eastAsia="宋体" w:cs="Times New Roman"/>
                      <w:color w:val="auto"/>
                      <w:sz w:val="21"/>
                      <w:szCs w:val="21"/>
                      <w:highlight w:val="none"/>
                    </w:rPr>
                    <w: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3</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均质机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8.5t</w:t>
                  </w:r>
                  <w:r>
                    <w:rPr>
                      <w:rFonts w:hint="default" w:ascii="Times New Roman" w:hAnsi="Times New Roman" w:eastAsia="宋体" w:cs="Times New Roman"/>
                      <w:color w:val="auto"/>
                      <w:sz w:val="21"/>
                      <w:szCs w:val="21"/>
                      <w:highlight w:val="none"/>
                    </w:rPr>
                    <w: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4</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脱气罐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8.5t/h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5</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无菌罐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30t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（六）</w:t>
                  </w:r>
                </w:p>
              </w:tc>
              <w:tc>
                <w:tcPr>
                  <w:tcW w:w="4397" w:type="pct"/>
                  <w:gridSpan w:val="4"/>
                  <w:tcBorders>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180ml百利包</w:t>
                  </w:r>
                  <w:r>
                    <w:rPr>
                      <w:rFonts w:hint="default" w:ascii="Times New Roman" w:hAnsi="Times New Roman" w:eastAsia="宋体" w:cs="Times New Roman"/>
                      <w:color w:val="auto"/>
                      <w:kern w:val="0"/>
                      <w:sz w:val="21"/>
                      <w:szCs w:val="21"/>
                      <w:highlight w:val="none"/>
                    </w:rPr>
                    <w:t>UHT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1</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离心泵</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6.3t</w:t>
                  </w:r>
                  <w:r>
                    <w:rPr>
                      <w:rFonts w:hint="default" w:ascii="Times New Roman" w:hAnsi="Times New Roman" w:eastAsia="宋体" w:cs="Times New Roman"/>
                      <w:color w:val="auto"/>
                      <w:sz w:val="21"/>
                      <w:szCs w:val="21"/>
                      <w:highlight w:val="none"/>
                    </w:rPr>
                    <w: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2</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UHT</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6.3t</w:t>
                  </w:r>
                  <w:r>
                    <w:rPr>
                      <w:rFonts w:hint="default" w:ascii="Times New Roman" w:hAnsi="Times New Roman" w:eastAsia="宋体" w:cs="Times New Roman"/>
                      <w:color w:val="auto"/>
                      <w:sz w:val="21"/>
                      <w:szCs w:val="21"/>
                      <w:highlight w:val="none"/>
                    </w:rPr>
                    <w: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3</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均质机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6.3t</w:t>
                  </w:r>
                  <w:r>
                    <w:rPr>
                      <w:rFonts w:hint="default" w:ascii="Times New Roman" w:hAnsi="Times New Roman" w:eastAsia="宋体" w:cs="Times New Roman"/>
                      <w:color w:val="auto"/>
                      <w:sz w:val="21"/>
                      <w:szCs w:val="21"/>
                      <w:highlight w:val="none"/>
                    </w:rPr>
                    <w: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4</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脱气罐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6.3t</w:t>
                  </w:r>
                  <w:r>
                    <w:rPr>
                      <w:rFonts w:hint="default" w:ascii="Times New Roman" w:hAnsi="Times New Roman" w:eastAsia="宋体" w:cs="Times New Roman"/>
                      <w:color w:val="auto"/>
                      <w:sz w:val="21"/>
                      <w:szCs w:val="21"/>
                      <w:highlight w:val="none"/>
                    </w:rPr>
                    <w: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5</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无菌罐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（七）</w:t>
                  </w:r>
                </w:p>
              </w:tc>
              <w:tc>
                <w:tcPr>
                  <w:tcW w:w="4397" w:type="pct"/>
                  <w:gridSpan w:val="4"/>
                  <w:tcBorders>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CIP工序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浓酸罐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2</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浓碱罐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3</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酸罐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4</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碱罐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5</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回水罐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6</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清水罐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7</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热水罐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8</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冷消毒罐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9</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纯水仓</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80t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10</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软水仓</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80t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11</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冷凝水回收罐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12</w:t>
                  </w:r>
                </w:p>
              </w:tc>
              <w:tc>
                <w:tcPr>
                  <w:tcW w:w="222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进程泵</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变频增压泵</w:t>
                  </w:r>
                  <w:r>
                    <w:rPr>
                      <w:rFonts w:hint="default" w:ascii="Times New Roman" w:hAnsi="Times New Roman" w:eastAsia="宋体" w:cs="Times New Roman"/>
                      <w:color w:val="auto"/>
                      <w:kern w:val="0"/>
                      <w:sz w:val="21"/>
                      <w:szCs w:val="21"/>
                      <w:highlight w:val="none"/>
                      <w:lang w:eastAsia="zh-CN"/>
                    </w:rPr>
                    <w:t>）</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50t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八</w:t>
                  </w:r>
                  <w:r>
                    <w:rPr>
                      <w:rFonts w:hint="default" w:ascii="Times New Roman" w:hAnsi="Times New Roman" w:eastAsia="宋体" w:cs="Times New Roman"/>
                      <w:color w:val="auto"/>
                      <w:sz w:val="21"/>
                      <w:szCs w:val="21"/>
                      <w:highlight w:val="none"/>
                    </w:rPr>
                    <w:t>）</w:t>
                  </w:r>
                </w:p>
              </w:tc>
              <w:tc>
                <w:tcPr>
                  <w:tcW w:w="4397" w:type="pct"/>
                  <w:gridSpan w:val="4"/>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奶车CIP工序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酸罐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kern w:val="0"/>
                      <w:sz w:val="21"/>
                      <w:szCs w:val="21"/>
                      <w:lang w:eastAsia="zh-CN"/>
                    </w:rPr>
                  </w:pP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5t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碱罐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kern w:val="0"/>
                      <w:sz w:val="21"/>
                      <w:szCs w:val="21"/>
                      <w:lang w:eastAsia="zh-CN"/>
                    </w:rPr>
                  </w:pP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5t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清水罐</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kern w:val="0"/>
                      <w:sz w:val="21"/>
                      <w:szCs w:val="21"/>
                      <w:lang w:eastAsia="zh-CN"/>
                    </w:rPr>
                  </w:pP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5t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rPr>
                    <w:t>进程泵</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变频增压泵</w:t>
                  </w:r>
                  <w:r>
                    <w:rPr>
                      <w:rFonts w:hint="default" w:ascii="Times New Roman" w:hAnsi="Times New Roman" w:eastAsia="宋体" w:cs="Times New Roman"/>
                      <w:color w:val="auto"/>
                      <w:kern w:val="0"/>
                      <w:sz w:val="21"/>
                      <w:szCs w:val="21"/>
                      <w:highlight w:val="none"/>
                      <w:lang w:eastAsia="zh-CN"/>
                    </w:rPr>
                    <w:t>）</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kern w:val="0"/>
                      <w:sz w:val="21"/>
                      <w:szCs w:val="21"/>
                      <w:lang w:eastAsia="zh-CN"/>
                    </w:rPr>
                  </w:pP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20t</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九</w:t>
                  </w:r>
                  <w:r>
                    <w:rPr>
                      <w:rFonts w:hint="default" w:ascii="Times New Roman" w:hAnsi="Times New Roman" w:eastAsia="宋体" w:cs="Times New Roman"/>
                      <w:color w:val="auto"/>
                      <w:sz w:val="21"/>
                      <w:szCs w:val="21"/>
                      <w:highlight w:val="none"/>
                    </w:rPr>
                    <w:t>）</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灌装机恒压供水系统</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sz w:val="21"/>
                      <w:szCs w:val="21"/>
                      <w:highlight w:val="none"/>
                    </w:rPr>
                    <w:t>套</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二、</w:t>
                  </w:r>
                </w:p>
              </w:tc>
              <w:tc>
                <w:tcPr>
                  <w:tcW w:w="4397" w:type="pct"/>
                  <w:gridSpan w:val="4"/>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rPr>
                    <w:t>灌装、包装设备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一</w:t>
                  </w:r>
                  <w:r>
                    <w:rPr>
                      <w:rFonts w:hint="default" w:ascii="Times New Roman" w:hAnsi="Times New Roman" w:eastAsia="宋体" w:cs="Times New Roman"/>
                      <w:color w:val="auto"/>
                      <w:sz w:val="21"/>
                      <w:szCs w:val="21"/>
                      <w:highlight w:val="none"/>
                    </w:rPr>
                    <w:t>）</w:t>
                  </w:r>
                </w:p>
              </w:tc>
              <w:tc>
                <w:tcPr>
                  <w:tcW w:w="4397" w:type="pct"/>
                  <w:gridSpan w:val="4"/>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200ml</w:t>
                  </w:r>
                  <w:r>
                    <w:rPr>
                      <w:rFonts w:hint="default" w:ascii="Times New Roman" w:hAnsi="Times New Roman" w:eastAsia="宋体" w:cs="Times New Roman"/>
                      <w:color w:val="auto"/>
                      <w:sz w:val="21"/>
                      <w:szCs w:val="21"/>
                      <w:highlight w:val="none"/>
                      <w:lang w:val="en-US" w:eastAsia="zh-CN"/>
                    </w:rPr>
                    <w:t>学生奶</w:t>
                  </w:r>
                  <w:r>
                    <w:rPr>
                      <w:rFonts w:hint="default" w:ascii="Times New Roman" w:hAnsi="Times New Roman" w:eastAsia="宋体" w:cs="Times New Roman"/>
                      <w:color w:val="auto"/>
                      <w:sz w:val="21"/>
                      <w:szCs w:val="21"/>
                      <w:highlight w:val="none"/>
                    </w:rPr>
                    <w:t>灌装、包装设备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利乐A3 SPEED</w:t>
                  </w:r>
                  <w:r>
                    <w:rPr>
                      <w:rFonts w:hint="default" w:ascii="Times New Roman" w:hAnsi="Times New Roman" w:eastAsia="宋体" w:cs="Times New Roman"/>
                      <w:color w:val="auto"/>
                      <w:sz w:val="21"/>
                      <w:szCs w:val="21"/>
                      <w:highlight w:val="none"/>
                    </w:rPr>
                    <w:t>灌装机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缓冲塔</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贴管机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输送线</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套</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喷码机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自动</w:t>
                  </w:r>
                  <w:r>
                    <w:rPr>
                      <w:rFonts w:hint="default" w:ascii="Times New Roman" w:hAnsi="Times New Roman" w:eastAsia="宋体" w:cs="Times New Roman"/>
                      <w:color w:val="auto"/>
                      <w:sz w:val="21"/>
                      <w:szCs w:val="21"/>
                      <w:highlight w:val="none"/>
                    </w:rPr>
                    <w:t>装箱机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二</w:t>
                  </w:r>
                  <w:r>
                    <w:rPr>
                      <w:rFonts w:hint="default" w:ascii="Times New Roman" w:hAnsi="Times New Roman" w:eastAsia="宋体" w:cs="Times New Roman"/>
                      <w:color w:val="auto"/>
                      <w:sz w:val="21"/>
                      <w:szCs w:val="21"/>
                      <w:highlight w:val="none"/>
                    </w:rPr>
                    <w:t>）</w:t>
                  </w:r>
                </w:p>
              </w:tc>
              <w:tc>
                <w:tcPr>
                  <w:tcW w:w="4397" w:type="pct"/>
                  <w:gridSpan w:val="4"/>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180ml百利包灌装、包装设备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DASB-8灌装机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输送线</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套</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喷码机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三</w:t>
                  </w:r>
                  <w:r>
                    <w:rPr>
                      <w:rFonts w:hint="default" w:ascii="Times New Roman" w:hAnsi="Times New Roman" w:eastAsia="宋体" w:cs="Times New Roman"/>
                      <w:b w:val="0"/>
                      <w:bCs w:val="0"/>
                      <w:color w:val="auto"/>
                      <w:sz w:val="21"/>
                      <w:szCs w:val="21"/>
                      <w:highlight w:val="none"/>
                      <w:lang w:eastAsia="zh-CN"/>
                    </w:rPr>
                    <w:t>、</w:t>
                  </w:r>
                </w:p>
              </w:tc>
              <w:tc>
                <w:tcPr>
                  <w:tcW w:w="4397" w:type="pct"/>
                  <w:gridSpan w:val="4"/>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lang w:eastAsia="zh-CN"/>
                    </w:rPr>
                    <w:t>公用辅助设备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反渗透制水设备</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套</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10t/h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软化水处理设备</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套</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燃气锅炉</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t/h</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空压机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10m³</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制冷机</w:t>
                  </w:r>
                  <w:r>
                    <w:rPr>
                      <w:rFonts w:hint="default" w:ascii="Times New Roman" w:hAnsi="Times New Roman" w:eastAsia="宋体" w:cs="Times New Roman"/>
                      <w:color w:val="auto"/>
                      <w:sz w:val="21"/>
                      <w:szCs w:val="21"/>
                      <w:highlight w:val="none"/>
                      <w:lang w:eastAsia="zh-CN"/>
                    </w:rPr>
                    <w:t>组</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套</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1000kW</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个</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80m</w:t>
                  </w:r>
                  <w:r>
                    <w:rPr>
                      <w:rFonts w:hint="default" w:ascii="Times New Roman" w:hAnsi="Times New Roman" w:eastAsia="宋体" w:cs="Times New Roman"/>
                      <w:color w:val="auto"/>
                      <w:sz w:val="21"/>
                      <w:szCs w:val="21"/>
                      <w:highlight w:val="none"/>
                      <w:vertAlign w:val="superscript"/>
                    </w:rPr>
                    <w:t>3</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水泵</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000" w:type="pct"/>
                  <w:gridSpan w:val="5"/>
                  <w:tcBorders>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lang w:eastAsia="zh-CN"/>
                    </w:rPr>
                    <w:t>辅助工程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燃气锅炉</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0ml吹瓶机+模具</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0ml自动检测、输送及装袋及</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套</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0ml瓶供料辅机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套</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78</w:t>
                  </w:r>
                  <w:r>
                    <w:rPr>
                      <w:rFonts w:hint="default" w:ascii="Times New Roman" w:hAnsi="Times New Roman" w:eastAsia="宋体" w:cs="Times New Roman"/>
                      <w:color w:val="auto"/>
                      <w:sz w:val="21"/>
                      <w:szCs w:val="21"/>
                      <w:highlight w:val="none"/>
                    </w:rPr>
                    <w:t>0ml吹瓶机+模具</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78</w:t>
                  </w:r>
                  <w:r>
                    <w:rPr>
                      <w:rFonts w:hint="default" w:ascii="Times New Roman" w:hAnsi="Times New Roman" w:eastAsia="宋体" w:cs="Times New Roman"/>
                      <w:color w:val="auto"/>
                      <w:sz w:val="21"/>
                      <w:szCs w:val="21"/>
                      <w:highlight w:val="none"/>
                    </w:rPr>
                    <w:t>0ml自动检测、输送及装袋</w:t>
                  </w:r>
                  <w:r>
                    <w:rPr>
                      <w:rFonts w:hint="default" w:ascii="Times New Roman" w:hAnsi="Times New Roman" w:eastAsia="宋体" w:cs="Times New Roman"/>
                      <w:color w:val="auto"/>
                      <w:sz w:val="21"/>
                      <w:szCs w:val="21"/>
                      <w:highlight w:val="none"/>
                      <w:lang w:eastAsia="zh-CN"/>
                    </w:rPr>
                    <w:t>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套</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78</w:t>
                  </w:r>
                  <w:r>
                    <w:rPr>
                      <w:rFonts w:hint="default" w:ascii="Times New Roman" w:hAnsi="Times New Roman" w:eastAsia="宋体" w:cs="Times New Roman"/>
                      <w:color w:val="auto"/>
                      <w:sz w:val="21"/>
                      <w:szCs w:val="21"/>
                      <w:highlight w:val="none"/>
                    </w:rPr>
                    <w:t>0ml瓶供料辅机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套</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vertAlign w:val="baseline"/>
                      <w:lang w:val="en-US" w:eastAsia="zh-CN"/>
                    </w:rPr>
                  </w:pP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5000" w:type="pct"/>
                  <w:gridSpan w:val="5"/>
                  <w:tcBorders>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化验室设备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高效液相色谱仪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1260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气相色谱仪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7890B</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紫外可见分光光度计</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E201</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原子吸收光度计</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PinAAcle900Z</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双道原子荧光光度计</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AFS-230E</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凯氏定氮仪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Kjeltec8100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7</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乳成分分析仪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milkoscanFT1</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8</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细菌体细胞分析仪一体机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BacSomatic</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9</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酶标仪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FC</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10</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显微镜</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B1-223A</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11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微波消解仪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MARS6</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12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超纯水机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UPH-Ⅲ-60L</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13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德国冰点仪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cryostarI</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14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台式高速离心机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TG16-WS</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15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高速冷冻离心机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TGL-20M</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16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电热恒温鼓风干燥箱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XT5118M-OV240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17</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电热恒温鼓风干燥箱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XT5118M-OV240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18</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电热恒温鼓风干燥箱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XT5118M-OV240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19</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电热恒温鼓风干燥箱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XT5118M-OV240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20</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电热恒温鼓风干燥箱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XT5118M-OV240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21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电热恒温水浴锅</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HWS-26</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22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电热恒温水浴锅</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HWS-26</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23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电热恒温水浴锅</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HWS-26</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24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电热恒温水浴锅</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HWS-26</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25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电热恒温水浴锅</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HWS-26</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26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电热恒温水浴锅</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HWS-26</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27</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电热恒温水浴锅</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HWS-26</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28</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电热恒温培养箱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XT5116-IN240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29</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电热恒温培养箱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XT5116-IN240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30</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电热恒温培养箱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XT5116-IN240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31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电热恒温培养箱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XT5116-IN240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32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低温生化培养箱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XT5107-IB150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33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电热恒温培养箱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XT5116-IN240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34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电热恒温培养箱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XT5116-IN240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35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霉菌培养箱</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XT5107-IM150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36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立式压力蒸汽灭菌器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LS-75HD</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37</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立式压力蒸汽灭菌器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LS-75HD</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38</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立式压力蒸汽灭菌器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LS-75HD</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39</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分析天平</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XSE205</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40</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分析天平</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ME204E</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41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分析天平</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ME204E</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42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在线电导率仪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FE38-Standard</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43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酸度计</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FE28-Standard</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44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阿贝折射仪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WYA-3S</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45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旋转蒸发仪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RE52AA</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46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数控超声波清洗仪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KQ500DE</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47</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数控超声波清洗仪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KQ500DE</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48</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溶剂过滤器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AP-9925</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49</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溶剂过滤器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AP-9925</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50</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漩涡混匀器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VORTEX 3</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51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漩涡混匀器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VORTEX 3</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52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漩涡混匀器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VORTEX 3</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53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漩涡混匀器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VORTEX 3</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54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漩涡混匀器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VORTEX 3</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55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漩涡混匀器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VORTEX 3</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56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基本型圆周振荡器</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VORTEX 3</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57</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氮吹浓缩装置</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MTN-5800A</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58</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氮吹浓缩装置</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MTN-5800A</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59</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马弗炉</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FO810C</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60</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净化工作台</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SW-CJ-2FD</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61</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生物安全柜</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BHC-1300IIA2</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62</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红外线灭菌仪</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UNIPOWER I</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63</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电子天平</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JJ600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64</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电子天平</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JJ600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65</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电子天平</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JJ600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66</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电子天平</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JJ600</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02"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rPr>
                    <w:t>67</w:t>
                  </w:r>
                </w:p>
              </w:tc>
              <w:tc>
                <w:tcPr>
                  <w:tcW w:w="2220"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杂质度过滤机</w:t>
                  </w:r>
                </w:p>
              </w:tc>
              <w:tc>
                <w:tcPr>
                  <w:tcW w:w="452"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1271" w:type="pct"/>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ZZ-2</w:t>
                  </w:r>
                </w:p>
              </w:tc>
              <w:tc>
                <w:tcPr>
                  <w:tcW w:w="4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bl>
          <w:p>
            <w:pPr>
              <w:pStyle w:val="128"/>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（9）给排水</w:t>
            </w:r>
          </w:p>
          <w:p>
            <w:pPr>
              <w:keepNext w:val="0"/>
              <w:keepLines w:val="0"/>
              <w:pageBreakBefore w:val="0"/>
              <w:kinsoku/>
              <w:wordWrap/>
              <w:overflowPunct/>
              <w:topLinePunct w:val="0"/>
              <w:autoSpaceDE/>
              <w:autoSpaceDN/>
              <w:bidi w:val="0"/>
              <w:adjustRightInd w:val="0"/>
              <w:snapToGrid w:val="0"/>
              <w:spacing w:line="440" w:lineRule="exact"/>
              <w:ind w:firstLine="470" w:firstLineChars="196"/>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①给水</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3"/>
              </w:numPr>
              <w:tabs>
                <w:tab w:val="left" w:pos="690"/>
                <w:tab w:val="clear" w:pos="312"/>
              </w:tabs>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项目纯水设备用水水量为</w:t>
            </w:r>
            <w:r>
              <w:rPr>
                <w:rFonts w:hint="default" w:ascii="Times New Roman" w:hAnsi="Times New Roman" w:eastAsia="宋体" w:cs="Times New Roman"/>
                <w:color w:val="auto"/>
                <w:kern w:val="0"/>
                <w:sz w:val="24"/>
                <w:szCs w:val="24"/>
                <w:highlight w:val="none"/>
                <w:lang w:bidi="ar"/>
              </w:rPr>
              <w:t>463500</w:t>
            </w:r>
            <w:r>
              <w:rPr>
                <w:rFonts w:hint="default" w:ascii="Times New Roman" w:hAnsi="Times New Roman" w:eastAsia="宋体" w:cs="Times New Roman"/>
                <w:color w:val="auto"/>
                <w:sz w:val="24"/>
                <w:szCs w:val="24"/>
                <w:highlight w:val="none"/>
              </w:rPr>
              <w:t xml:space="preserve"> m³/a（</w:t>
            </w:r>
            <w:r>
              <w:rPr>
                <w:rFonts w:hint="default" w:ascii="Times New Roman" w:hAnsi="Times New Roman" w:eastAsia="宋体" w:cs="Times New Roman"/>
                <w:color w:val="auto"/>
                <w:sz w:val="24"/>
                <w:szCs w:val="24"/>
                <w:highlight w:val="none"/>
                <w:lang w:val="en-US" w:eastAsia="zh-CN"/>
              </w:rPr>
              <w:t>1545</w:t>
            </w:r>
            <w:r>
              <w:rPr>
                <w:rFonts w:hint="default" w:ascii="Times New Roman" w:hAnsi="Times New Roman" w:eastAsia="宋体" w:cs="Times New Roman"/>
                <w:color w:val="auto"/>
                <w:sz w:val="24"/>
                <w:szCs w:val="24"/>
                <w:highlight w:val="none"/>
              </w:rPr>
              <w:t>m³/d），全部为新鲜水，出水率按</w:t>
            </w:r>
            <w:r>
              <w:rPr>
                <w:rFonts w:hint="default"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%计算，制得纯水水量为</w:t>
            </w:r>
            <w:r>
              <w:rPr>
                <w:rFonts w:hint="default" w:ascii="Times New Roman" w:hAnsi="Times New Roman" w:eastAsia="宋体" w:cs="Times New Roman"/>
                <w:color w:val="auto"/>
                <w:sz w:val="24"/>
                <w:szCs w:val="24"/>
                <w:highlight w:val="none"/>
                <w:lang w:val="en-US" w:eastAsia="zh-CN"/>
              </w:rPr>
              <w:t>370800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1236</w:t>
            </w:r>
            <w:r>
              <w:rPr>
                <w:rFonts w:hint="default" w:ascii="Times New Roman" w:hAnsi="Times New Roman" w:eastAsia="宋体" w:cs="Times New Roman"/>
                <w:color w:val="auto"/>
                <w:sz w:val="24"/>
                <w:szCs w:val="24"/>
                <w:highlight w:val="none"/>
              </w:rPr>
              <w:t>m³/d），全部用作生产用水</w:t>
            </w:r>
            <w:r>
              <w:rPr>
                <w:rFonts w:hint="default" w:ascii="Times New Roman" w:hAnsi="Times New Roman" w:eastAsia="宋体" w:cs="Times New Roman"/>
                <w:color w:val="auto"/>
                <w:sz w:val="24"/>
                <w:szCs w:val="24"/>
                <w:highlight w:val="none"/>
                <w:lang w:eastAsia="zh-CN"/>
              </w:rPr>
              <w:t>（含在线清洗用水）和锅炉用水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产品用纯水水量为</w:t>
            </w:r>
            <w:r>
              <w:rPr>
                <w:rFonts w:hint="default" w:ascii="Times New Roman" w:hAnsi="Times New Roman" w:eastAsia="宋体" w:cs="Times New Roman"/>
                <w:color w:val="auto"/>
                <w:sz w:val="24"/>
                <w:szCs w:val="24"/>
                <w:highlight w:val="none"/>
                <w:lang w:val="en-US" w:eastAsia="zh-CN"/>
              </w:rPr>
              <w:t>6000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m³/d）</w:t>
            </w:r>
            <w:r>
              <w:rPr>
                <w:rFonts w:hint="default" w:ascii="Times New Roman" w:hAnsi="Times New Roman" w:eastAsia="宋体" w:cs="Times New Roman"/>
                <w:color w:val="auto"/>
                <w:sz w:val="24"/>
                <w:szCs w:val="24"/>
                <w:highlight w:val="none"/>
                <w:lang w:eastAsia="zh-CN"/>
              </w:rPr>
              <w:t>，生产设备在线清洗用水为</w:t>
            </w:r>
            <w:r>
              <w:rPr>
                <w:rFonts w:hint="default" w:ascii="Times New Roman" w:hAnsi="Times New Roman" w:eastAsia="宋体" w:cs="Times New Roman"/>
                <w:color w:val="auto"/>
                <w:sz w:val="24"/>
                <w:szCs w:val="24"/>
                <w:highlight w:val="none"/>
                <w:lang w:val="en-US" w:eastAsia="zh-CN"/>
              </w:rPr>
              <w:t>353400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1178</w:t>
            </w:r>
            <w:r>
              <w:rPr>
                <w:rFonts w:hint="default" w:ascii="Times New Roman" w:hAnsi="Times New Roman" w:eastAsia="宋体" w:cs="Times New Roman"/>
                <w:color w:val="auto"/>
                <w:sz w:val="24"/>
                <w:szCs w:val="24"/>
                <w:highlight w:val="none"/>
              </w:rPr>
              <w:t>m³/d）</w:t>
            </w:r>
            <w:r>
              <w:rPr>
                <w:rFonts w:hint="default" w:ascii="Times New Roman" w:hAnsi="Times New Roman" w:eastAsia="宋体" w:cs="Times New Roman"/>
                <w:color w:val="auto"/>
                <w:sz w:val="24"/>
                <w:szCs w:val="24"/>
                <w:highlight w:val="none"/>
                <w:lang w:eastAsia="zh-CN"/>
              </w:rPr>
              <w:t>，锅炉定期添加纯水水量为</w:t>
            </w:r>
            <w:r>
              <w:rPr>
                <w:rFonts w:hint="default" w:ascii="Times New Roman" w:hAnsi="Times New Roman" w:eastAsia="宋体" w:cs="Times New Roman"/>
                <w:color w:val="auto"/>
                <w:sz w:val="24"/>
                <w:szCs w:val="24"/>
                <w:highlight w:val="none"/>
                <w:lang w:val="en-US" w:eastAsia="zh-CN"/>
              </w:rPr>
              <w:t>11400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38</w:t>
            </w:r>
            <w:r>
              <w:rPr>
                <w:rFonts w:hint="default" w:ascii="Times New Roman" w:hAnsi="Times New Roman" w:eastAsia="宋体" w:cs="Times New Roman"/>
                <w:color w:val="auto"/>
                <w:sz w:val="24"/>
                <w:szCs w:val="24"/>
                <w:highlight w:val="none"/>
              </w:rPr>
              <w:t>m³/d）</w:t>
            </w:r>
            <w:r>
              <w:rPr>
                <w:rFonts w:hint="default" w:ascii="Times New Roman" w:hAnsi="Times New Roman" w:eastAsia="宋体" w:cs="Times New Roman"/>
                <w:color w:val="auto"/>
                <w:sz w:val="24"/>
                <w:szCs w:val="24"/>
                <w:highlight w:val="none"/>
                <w:lang w:eastAsia="zh-CN"/>
              </w:rPr>
              <w:t>。纯水制备产生的浓盐水水量为</w:t>
            </w:r>
            <w:r>
              <w:rPr>
                <w:rFonts w:hint="default" w:ascii="Times New Roman" w:hAnsi="Times New Roman" w:eastAsia="宋体" w:cs="Times New Roman"/>
                <w:color w:val="auto"/>
                <w:sz w:val="24"/>
                <w:szCs w:val="24"/>
                <w:highlight w:val="none"/>
                <w:lang w:val="en-US" w:eastAsia="zh-CN"/>
              </w:rPr>
              <w:t>92700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309</w:t>
            </w:r>
            <w:r>
              <w:rPr>
                <w:rFonts w:hint="default" w:ascii="Times New Roman" w:hAnsi="Times New Roman" w:eastAsia="宋体" w:cs="Times New Roman"/>
                <w:color w:val="auto"/>
                <w:sz w:val="24"/>
                <w:szCs w:val="24"/>
                <w:highlight w:val="none"/>
              </w:rPr>
              <w:t>m³/d）</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tabs>
                <w:tab w:val="left" w:pos="840"/>
              </w:tabs>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b.项目</w:t>
            </w:r>
            <w:r>
              <w:rPr>
                <w:rFonts w:hint="default" w:ascii="Times New Roman" w:hAnsi="Times New Roman" w:eastAsia="宋体" w:cs="Times New Roman"/>
                <w:color w:val="auto"/>
                <w:sz w:val="24"/>
                <w:szCs w:val="24"/>
                <w:highlight w:val="none"/>
                <w:lang w:eastAsia="zh-CN"/>
              </w:rPr>
              <w:t>车间</w:t>
            </w:r>
            <w:r>
              <w:rPr>
                <w:rFonts w:hint="default" w:ascii="Times New Roman" w:hAnsi="Times New Roman" w:eastAsia="宋体" w:cs="Times New Roman"/>
                <w:color w:val="auto"/>
                <w:sz w:val="24"/>
                <w:szCs w:val="24"/>
                <w:highlight w:val="none"/>
              </w:rPr>
              <w:t>清洗用水量为</w:t>
            </w:r>
            <w:r>
              <w:rPr>
                <w:rFonts w:hint="default" w:ascii="Times New Roman" w:hAnsi="Times New Roman" w:eastAsia="宋体" w:cs="Times New Roman"/>
                <w:color w:val="auto"/>
                <w:sz w:val="24"/>
                <w:szCs w:val="24"/>
                <w:highlight w:val="none"/>
                <w:lang w:val="en-US" w:eastAsia="zh-CN"/>
              </w:rPr>
              <w:t>21000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70</w:t>
            </w:r>
            <w:r>
              <w:rPr>
                <w:rFonts w:hint="default" w:ascii="Times New Roman" w:hAnsi="Times New Roman" w:eastAsia="宋体" w:cs="Times New Roman"/>
                <w:color w:val="auto"/>
                <w:sz w:val="24"/>
                <w:szCs w:val="24"/>
                <w:highlight w:val="none"/>
              </w:rPr>
              <w:t>m³/d)。</w:t>
            </w:r>
          </w:p>
          <w:p>
            <w:pPr>
              <w:keepNext w:val="0"/>
              <w:keepLines w:val="0"/>
              <w:pageBreakBefore w:val="0"/>
              <w:widowControl w:val="0"/>
              <w:tabs>
                <w:tab w:val="left" w:pos="840"/>
              </w:tabs>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c.项目冷却用水量为</w:t>
            </w:r>
            <w:r>
              <w:rPr>
                <w:rFonts w:hint="default" w:ascii="Times New Roman" w:hAnsi="Times New Roman" w:eastAsia="宋体" w:cs="Times New Roman"/>
                <w:color w:val="auto"/>
                <w:sz w:val="24"/>
                <w:szCs w:val="24"/>
                <w:highlight w:val="none"/>
                <w:lang w:val="en-US" w:eastAsia="zh-CN"/>
              </w:rPr>
              <w:t>60000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m³/d)，其中新鲜水为</w:t>
            </w:r>
            <w:r>
              <w:rPr>
                <w:rFonts w:hint="default" w:ascii="Times New Roman" w:hAnsi="Times New Roman" w:eastAsia="宋体" w:cs="Times New Roman"/>
                <w:color w:val="auto"/>
                <w:sz w:val="24"/>
                <w:szCs w:val="24"/>
                <w:highlight w:val="none"/>
                <w:lang w:val="en-US" w:eastAsia="zh-CN"/>
              </w:rPr>
              <w:t>12000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m³/d）,回用水量为</w:t>
            </w:r>
            <w:r>
              <w:rPr>
                <w:rFonts w:hint="default" w:ascii="Times New Roman" w:hAnsi="Times New Roman" w:eastAsia="宋体" w:cs="Times New Roman"/>
                <w:color w:val="auto"/>
                <w:sz w:val="24"/>
                <w:szCs w:val="24"/>
                <w:highlight w:val="none"/>
                <w:lang w:val="en-US" w:eastAsia="zh-CN"/>
              </w:rPr>
              <w:t>48000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160</w:t>
            </w:r>
            <w:r>
              <w:rPr>
                <w:rFonts w:hint="default" w:ascii="Times New Roman" w:hAnsi="Times New Roman" w:eastAsia="宋体" w:cs="Times New Roman"/>
                <w:color w:val="auto"/>
                <w:sz w:val="24"/>
                <w:szCs w:val="24"/>
                <w:highlight w:val="none"/>
              </w:rPr>
              <w:t>m³/d）。</w:t>
            </w:r>
          </w:p>
          <w:p>
            <w:pPr>
              <w:keepNext w:val="0"/>
              <w:keepLines w:val="0"/>
              <w:pageBreakBefore w:val="0"/>
              <w:widowControl w:val="0"/>
              <w:tabs>
                <w:tab w:val="left" w:pos="840"/>
              </w:tabs>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.项目生活用水量为</w:t>
            </w:r>
            <w:r>
              <w:rPr>
                <w:rFonts w:hint="default" w:ascii="Times New Roman" w:hAnsi="Times New Roman" w:eastAsia="宋体" w:cs="Times New Roman"/>
                <w:color w:val="auto"/>
                <w:sz w:val="24"/>
                <w:szCs w:val="24"/>
                <w:highlight w:val="none"/>
                <w:lang w:val="en-US" w:eastAsia="zh-CN"/>
              </w:rPr>
              <w:t>4200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m³/d），全部为新鲜水。</w:t>
            </w:r>
          </w:p>
          <w:p>
            <w:pPr>
              <w:keepNext w:val="0"/>
              <w:keepLines w:val="0"/>
              <w:pageBreakBefore w:val="0"/>
              <w:widowControl w:val="0"/>
              <w:tabs>
                <w:tab w:val="left" w:pos="840"/>
              </w:tabs>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e.项目绿化面积为9600㎡，绿化用水按照0.6m³/㎡.a计算，用水量为5760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19.2</w:t>
            </w:r>
            <w:r>
              <w:rPr>
                <w:rFonts w:hint="default" w:ascii="Times New Roman" w:hAnsi="Times New Roman" w:eastAsia="宋体" w:cs="Times New Roman"/>
                <w:color w:val="auto"/>
                <w:sz w:val="24"/>
                <w:szCs w:val="24"/>
                <w:highlight w:val="none"/>
              </w:rPr>
              <w:t>m³/d）</w:t>
            </w:r>
            <w:r>
              <w:rPr>
                <w:rFonts w:hint="default" w:ascii="Times New Roman" w:hAnsi="Times New Roman" w:eastAsia="宋体" w:cs="Times New Roman"/>
                <w:color w:val="auto"/>
                <w:sz w:val="24"/>
                <w:szCs w:val="24"/>
                <w:highlight w:val="none"/>
                <w:lang w:eastAsia="zh-CN"/>
              </w:rPr>
              <w:t>，全部采用厂区污水处理站处理后的达标废水，不使用新鲜水。</w:t>
            </w:r>
          </w:p>
          <w:p>
            <w:pPr>
              <w:keepNext w:val="0"/>
              <w:keepLines w:val="0"/>
              <w:pageBreakBefore w:val="0"/>
              <w:widowControl w:val="0"/>
              <w:tabs>
                <w:tab w:val="left" w:pos="840"/>
              </w:tabs>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f.其他用水：项目厂区道路硬化及其他地面（面积为10000㎡）清扫抑尘用水量按照2L/平方米.d计算，总用水量为6000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m³/d）</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全部采用厂区污水处理站处理后的达标废水，不使用新鲜水。</w:t>
            </w:r>
          </w:p>
          <w:p>
            <w:pPr>
              <w:keepNext w:val="0"/>
              <w:keepLines w:val="0"/>
              <w:pageBreakBefore w:val="0"/>
              <w:kinsoku/>
              <w:wordWrap/>
              <w:overflowPunct/>
              <w:topLinePunct w:val="0"/>
              <w:autoSpaceDE/>
              <w:autoSpaceDN/>
              <w:bidi w:val="0"/>
              <w:adjustRightInd w:val="0"/>
              <w:snapToGrid w:val="0"/>
              <w:spacing w:line="440" w:lineRule="exact"/>
              <w:ind w:firstLine="470" w:firstLineChars="196"/>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rPr>
              <w:t>综上，项目总用水量为</w:t>
            </w:r>
            <w:r>
              <w:rPr>
                <w:rFonts w:hint="default" w:ascii="Times New Roman" w:hAnsi="Times New Roman" w:eastAsia="宋体" w:cs="Times New Roman"/>
                <w:color w:val="auto"/>
                <w:sz w:val="24"/>
                <w:szCs w:val="24"/>
                <w:highlight w:val="none"/>
                <w:lang w:val="en-US" w:eastAsia="zh-CN"/>
              </w:rPr>
              <w:t>570060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1900.2</w:t>
            </w:r>
            <w:r>
              <w:rPr>
                <w:rFonts w:hint="default" w:ascii="Times New Roman" w:hAnsi="Times New Roman" w:eastAsia="宋体" w:cs="Times New Roman"/>
                <w:color w:val="auto"/>
                <w:sz w:val="24"/>
                <w:szCs w:val="24"/>
                <w:highlight w:val="none"/>
              </w:rPr>
              <w:t>m³/d），其中新鲜水用水量为</w:t>
            </w:r>
            <w:r>
              <w:rPr>
                <w:rFonts w:hint="default" w:ascii="Times New Roman" w:hAnsi="Times New Roman" w:eastAsia="宋体" w:cs="Times New Roman"/>
                <w:color w:val="auto"/>
                <w:sz w:val="24"/>
                <w:szCs w:val="24"/>
                <w:highlight w:val="none"/>
                <w:lang w:val="en-US" w:eastAsia="zh-CN"/>
              </w:rPr>
              <w:t>506700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1689</w:t>
            </w:r>
            <w:r>
              <w:rPr>
                <w:rFonts w:hint="default" w:ascii="Times New Roman" w:hAnsi="Times New Roman" w:eastAsia="宋体" w:cs="Times New Roman"/>
                <w:color w:val="auto"/>
                <w:sz w:val="24"/>
                <w:szCs w:val="24"/>
                <w:highlight w:val="none"/>
              </w:rPr>
              <w:t>m³/d），重复用水量为</w:t>
            </w:r>
            <w:r>
              <w:rPr>
                <w:rFonts w:hint="default" w:ascii="Times New Roman" w:hAnsi="Times New Roman" w:eastAsia="宋体" w:cs="Times New Roman"/>
                <w:color w:val="auto"/>
                <w:sz w:val="24"/>
                <w:szCs w:val="24"/>
                <w:highlight w:val="none"/>
                <w:lang w:val="en-US" w:eastAsia="zh-CN"/>
              </w:rPr>
              <w:t>51600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172</w:t>
            </w:r>
            <w:r>
              <w:rPr>
                <w:rFonts w:hint="default" w:ascii="Times New Roman" w:hAnsi="Times New Roman" w:eastAsia="宋体" w:cs="Times New Roman"/>
                <w:color w:val="auto"/>
                <w:sz w:val="24"/>
                <w:szCs w:val="24"/>
                <w:highlight w:val="none"/>
              </w:rPr>
              <w:t>m³/d)，</w:t>
            </w:r>
            <w:r>
              <w:rPr>
                <w:rFonts w:hint="default" w:ascii="Times New Roman" w:hAnsi="Times New Roman" w:eastAsia="宋体" w:cs="Times New Roman"/>
                <w:color w:val="auto"/>
                <w:sz w:val="24"/>
                <w:szCs w:val="24"/>
                <w:highlight w:val="none"/>
                <w:lang w:eastAsia="zh-CN"/>
              </w:rPr>
              <w:t>回用</w:t>
            </w:r>
            <w:r>
              <w:rPr>
                <w:rFonts w:hint="default" w:ascii="Times New Roman" w:hAnsi="Times New Roman" w:eastAsia="宋体" w:cs="Times New Roman"/>
                <w:color w:val="auto"/>
                <w:sz w:val="24"/>
                <w:szCs w:val="24"/>
                <w:highlight w:val="none"/>
              </w:rPr>
              <w:t>水量为</w:t>
            </w:r>
            <w:r>
              <w:rPr>
                <w:rFonts w:hint="default" w:ascii="Times New Roman" w:hAnsi="Times New Roman" w:eastAsia="宋体" w:cs="Times New Roman"/>
                <w:color w:val="auto"/>
                <w:sz w:val="24"/>
                <w:szCs w:val="24"/>
                <w:highlight w:val="none"/>
                <w:lang w:val="en-US" w:eastAsia="zh-CN"/>
              </w:rPr>
              <w:t>11760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39.2</w:t>
            </w:r>
            <w:r>
              <w:rPr>
                <w:rFonts w:hint="default" w:ascii="Times New Roman" w:hAnsi="Times New Roman" w:eastAsia="宋体" w:cs="Times New Roman"/>
                <w:color w:val="auto"/>
                <w:sz w:val="24"/>
                <w:szCs w:val="24"/>
                <w:highlight w:val="none"/>
              </w:rPr>
              <w:t>m³/d)。项目新鲜水由</w:t>
            </w:r>
            <w:r>
              <w:rPr>
                <w:rFonts w:hint="default" w:ascii="Times New Roman" w:hAnsi="Times New Roman" w:eastAsia="宋体" w:cs="Times New Roman"/>
                <w:color w:val="auto"/>
                <w:sz w:val="24"/>
                <w:szCs w:val="24"/>
                <w:highlight w:val="none"/>
                <w:lang w:eastAsia="zh-CN"/>
              </w:rPr>
              <w:t>薛吴村乡自来水管网接入</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val="0"/>
              <w:snapToGrid w:val="0"/>
              <w:spacing w:line="440" w:lineRule="exact"/>
              <w:ind w:firstLine="470" w:firstLineChars="196"/>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②排水</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eastAsia="zh-CN"/>
              </w:rPr>
              <w:t>排水：项目排水采取雨污分流制，雨水单独收集后外排。</w:t>
            </w:r>
            <w:r>
              <w:rPr>
                <w:rFonts w:hint="default" w:ascii="Times New Roman" w:hAnsi="Times New Roman" w:eastAsia="宋体" w:cs="Times New Roman"/>
                <w:color w:val="auto"/>
                <w:sz w:val="24"/>
                <w:szCs w:val="24"/>
                <w:highlight w:val="none"/>
              </w:rPr>
              <w:t>项目生产用水、蒸汽液化水、冷却水全部利用，不外排。</w:t>
            </w:r>
            <w:r>
              <w:rPr>
                <w:rFonts w:hint="default" w:ascii="Times New Roman" w:hAnsi="Times New Roman" w:eastAsia="宋体" w:cs="Times New Roman"/>
                <w:color w:val="auto"/>
                <w:sz w:val="24"/>
                <w:szCs w:val="24"/>
                <w:highlight w:val="none"/>
                <w:lang w:eastAsia="zh-CN"/>
              </w:rPr>
              <w:t>纯水制备产生的浓盐水</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92700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309</w:t>
            </w:r>
            <w:r>
              <w:rPr>
                <w:rFonts w:hint="default" w:ascii="Times New Roman" w:hAnsi="Times New Roman" w:eastAsia="宋体" w:cs="Times New Roman"/>
                <w:color w:val="auto"/>
                <w:sz w:val="24"/>
                <w:szCs w:val="24"/>
                <w:highlight w:val="none"/>
              </w:rPr>
              <w:t>m³/d)；</w:t>
            </w:r>
            <w:r>
              <w:rPr>
                <w:rFonts w:hint="default" w:ascii="Times New Roman" w:hAnsi="Times New Roman" w:eastAsia="宋体" w:cs="Times New Roman"/>
                <w:color w:val="auto"/>
                <w:sz w:val="24"/>
                <w:szCs w:val="24"/>
                <w:highlight w:val="none"/>
                <w:lang w:eastAsia="zh-CN"/>
              </w:rPr>
              <w:t>在线</w:t>
            </w:r>
            <w:r>
              <w:rPr>
                <w:rFonts w:hint="default" w:ascii="Times New Roman" w:hAnsi="Times New Roman" w:eastAsia="宋体" w:cs="Times New Roman"/>
                <w:color w:val="auto"/>
                <w:sz w:val="24"/>
                <w:szCs w:val="24"/>
                <w:highlight w:val="none"/>
              </w:rPr>
              <w:t>设备清洗污水为</w:t>
            </w:r>
            <w:r>
              <w:rPr>
                <w:rFonts w:hint="default" w:ascii="Times New Roman" w:hAnsi="Times New Roman" w:eastAsia="宋体" w:cs="Times New Roman"/>
                <w:color w:val="auto"/>
                <w:sz w:val="24"/>
                <w:szCs w:val="24"/>
                <w:highlight w:val="none"/>
                <w:lang w:val="en-US" w:eastAsia="zh-CN"/>
              </w:rPr>
              <w:t>318060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1060.2</w:t>
            </w:r>
            <w:r>
              <w:rPr>
                <w:rFonts w:hint="default" w:ascii="Times New Roman" w:hAnsi="Times New Roman" w:eastAsia="宋体" w:cs="Times New Roman"/>
                <w:color w:val="auto"/>
                <w:sz w:val="24"/>
                <w:szCs w:val="24"/>
                <w:highlight w:val="none"/>
              </w:rPr>
              <w:t>m³/d)；</w:t>
            </w:r>
            <w:r>
              <w:rPr>
                <w:rFonts w:hint="default" w:ascii="Times New Roman" w:hAnsi="Times New Roman" w:eastAsia="宋体" w:cs="Times New Roman"/>
                <w:color w:val="auto"/>
                <w:sz w:val="24"/>
                <w:szCs w:val="24"/>
                <w:highlight w:val="none"/>
                <w:lang w:eastAsia="zh-CN"/>
              </w:rPr>
              <w:t>车间</w:t>
            </w:r>
            <w:r>
              <w:rPr>
                <w:rFonts w:hint="default" w:ascii="Times New Roman" w:hAnsi="Times New Roman" w:eastAsia="宋体" w:cs="Times New Roman"/>
                <w:color w:val="auto"/>
                <w:sz w:val="24"/>
                <w:szCs w:val="24"/>
                <w:highlight w:val="none"/>
              </w:rPr>
              <w:t>清洗污水为</w:t>
            </w:r>
            <w:r>
              <w:rPr>
                <w:rFonts w:hint="default" w:ascii="Times New Roman" w:hAnsi="Times New Roman" w:eastAsia="宋体" w:cs="Times New Roman"/>
                <w:color w:val="auto"/>
                <w:sz w:val="24"/>
                <w:szCs w:val="24"/>
                <w:highlight w:val="none"/>
                <w:lang w:val="en-US" w:eastAsia="zh-CN"/>
              </w:rPr>
              <w:t>18900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（63</w:t>
            </w:r>
            <w:r>
              <w:rPr>
                <w:rFonts w:hint="default" w:ascii="Times New Roman" w:hAnsi="Times New Roman" w:eastAsia="宋体" w:cs="Times New Roman"/>
                <w:color w:val="auto"/>
                <w:sz w:val="24"/>
                <w:szCs w:val="24"/>
                <w:highlight w:val="none"/>
              </w:rPr>
              <w:t>m³/d)；</w:t>
            </w:r>
            <w:r>
              <w:rPr>
                <w:rFonts w:hint="default" w:ascii="Times New Roman" w:hAnsi="Times New Roman" w:eastAsia="宋体" w:cs="Times New Roman"/>
                <w:color w:val="auto"/>
                <w:sz w:val="24"/>
                <w:szCs w:val="24"/>
                <w:highlight w:val="none"/>
                <w:lang w:eastAsia="zh-CN"/>
              </w:rPr>
              <w:t>冷却设备定期排污水</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12000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m³/d)；生活污水排放量按新鲜水需求量的80%计算，为</w:t>
            </w:r>
            <w:r>
              <w:rPr>
                <w:rFonts w:hint="default" w:ascii="Times New Roman" w:hAnsi="Times New Roman" w:eastAsia="宋体" w:cs="Times New Roman"/>
                <w:color w:val="auto"/>
                <w:sz w:val="24"/>
                <w:szCs w:val="24"/>
                <w:highlight w:val="none"/>
                <w:lang w:val="en-US" w:eastAsia="zh-CN"/>
              </w:rPr>
              <w:t>3360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11.2</w:t>
            </w:r>
            <w:r>
              <w:rPr>
                <w:rFonts w:hint="default" w:ascii="Times New Roman" w:hAnsi="Times New Roman" w:eastAsia="宋体" w:cs="Times New Roman"/>
                <w:color w:val="auto"/>
                <w:sz w:val="24"/>
                <w:szCs w:val="24"/>
                <w:highlight w:val="none"/>
              </w:rPr>
              <w:t>m³/d)。</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综上，污水总排量为</w:t>
            </w:r>
            <w:r>
              <w:rPr>
                <w:rFonts w:hint="default" w:ascii="Times New Roman" w:hAnsi="Times New Roman" w:eastAsia="宋体" w:cs="Times New Roman"/>
                <w:color w:val="auto"/>
                <w:sz w:val="24"/>
                <w:szCs w:val="24"/>
                <w:highlight w:val="none"/>
                <w:lang w:val="en-US" w:eastAsia="zh-CN"/>
              </w:rPr>
              <w:t>445020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1483.4</w:t>
            </w:r>
            <w:r>
              <w:rPr>
                <w:rFonts w:hint="default" w:ascii="Times New Roman" w:hAnsi="Times New Roman" w:eastAsia="宋体" w:cs="Times New Roman"/>
                <w:color w:val="auto"/>
                <w:sz w:val="24"/>
                <w:szCs w:val="24"/>
                <w:highlight w:val="none"/>
              </w:rPr>
              <w:t>m³/d)，综合污水</w:t>
            </w:r>
            <w:r>
              <w:rPr>
                <w:rFonts w:hint="default" w:ascii="Times New Roman" w:hAnsi="Times New Roman" w:eastAsia="宋体" w:cs="Times New Roman"/>
                <w:color w:val="auto"/>
                <w:sz w:val="24"/>
                <w:szCs w:val="24"/>
                <w:highlight w:val="none"/>
                <w:lang w:eastAsia="zh-CN"/>
              </w:rPr>
              <w:t>由</w:t>
            </w:r>
            <w:r>
              <w:rPr>
                <w:rFonts w:hint="default" w:ascii="Times New Roman" w:hAnsi="Times New Roman" w:eastAsia="宋体" w:cs="Times New Roman"/>
                <w:color w:val="auto"/>
                <w:sz w:val="24"/>
                <w:szCs w:val="24"/>
                <w:highlight w:val="none"/>
              </w:rPr>
              <w:t>厂区内的污水处理站处理</w:t>
            </w:r>
            <w:r>
              <w:rPr>
                <w:rFonts w:hint="default" w:ascii="Times New Roman" w:hAnsi="Times New Roman" w:eastAsia="宋体" w:cs="Times New Roman"/>
                <w:color w:val="auto"/>
                <w:sz w:val="24"/>
                <w:szCs w:val="24"/>
                <w:highlight w:val="none"/>
                <w:lang w:eastAsia="zh-CN"/>
              </w:rPr>
              <w:t>达标</w:t>
            </w:r>
            <w:r>
              <w:rPr>
                <w:rFonts w:hint="default" w:ascii="Times New Roman" w:hAnsi="Times New Roman" w:eastAsia="宋体" w:cs="Times New Roman"/>
                <w:color w:val="auto"/>
                <w:sz w:val="24"/>
                <w:szCs w:val="24"/>
                <w:highlight w:val="none"/>
              </w:rPr>
              <w:t>后</w:t>
            </w:r>
            <w:r>
              <w:rPr>
                <w:rFonts w:hint="default" w:ascii="Times New Roman" w:hAnsi="Times New Roman" w:eastAsia="宋体" w:cs="Times New Roman"/>
                <w:color w:val="auto"/>
                <w:sz w:val="24"/>
                <w:szCs w:val="24"/>
                <w:highlight w:val="none"/>
                <w:lang w:val="en-US" w:eastAsia="zh-CN"/>
              </w:rPr>
              <w:t>11760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val="en-US" w:eastAsia="zh-CN"/>
              </w:rPr>
              <w:t>39.2</w:t>
            </w:r>
            <w:r>
              <w:rPr>
                <w:rFonts w:hint="default" w:ascii="Times New Roman" w:hAnsi="Times New Roman" w:eastAsia="宋体" w:cs="Times New Roman"/>
                <w:color w:val="auto"/>
                <w:sz w:val="24"/>
                <w:szCs w:val="24"/>
                <w:highlight w:val="none"/>
              </w:rPr>
              <w:t>m³/d)</w:t>
            </w:r>
            <w:r>
              <w:rPr>
                <w:rFonts w:hint="default" w:ascii="Times New Roman" w:hAnsi="Times New Roman" w:eastAsia="宋体" w:cs="Times New Roman"/>
                <w:color w:val="auto"/>
                <w:sz w:val="24"/>
                <w:szCs w:val="24"/>
                <w:highlight w:val="none"/>
                <w:lang w:eastAsia="zh-CN"/>
              </w:rPr>
              <w:t>用于厂区绿化和其他用水，剩余部分排入项目区北侧九支渠</w:t>
            </w:r>
            <w:r>
              <w:rPr>
                <w:rFonts w:hint="default" w:ascii="Times New Roman" w:hAnsi="Times New Roman" w:eastAsia="宋体" w:cs="Times New Roman"/>
                <w:color w:val="auto"/>
                <w:sz w:val="24"/>
                <w:szCs w:val="24"/>
                <w:lang w:eastAsia="zh-CN"/>
              </w:rPr>
              <w:t>。现有</w:t>
            </w:r>
            <w:r>
              <w:rPr>
                <w:rFonts w:hint="default" w:ascii="Times New Roman" w:hAnsi="Times New Roman" w:eastAsia="宋体" w:cs="Times New Roman"/>
                <w:color w:val="auto"/>
                <w:sz w:val="24"/>
                <w:szCs w:val="24"/>
                <w:highlight w:val="none"/>
              </w:rPr>
              <w:t>项目水量平衡表</w:t>
            </w:r>
            <w:r>
              <w:rPr>
                <w:rFonts w:hint="default" w:ascii="Times New Roman" w:hAnsi="Times New Roman" w:eastAsia="宋体" w:cs="Times New Roman"/>
                <w:color w:val="auto"/>
                <w:sz w:val="24"/>
                <w:szCs w:val="24"/>
                <w:highlight w:val="none"/>
                <w:lang w:eastAsia="zh-CN"/>
              </w:rPr>
              <w:t>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水量平衡图见图</w:t>
            </w:r>
            <w:r>
              <w:rPr>
                <w:rFonts w:hint="default" w:ascii="Times New Roman" w:hAnsi="Times New Roman" w:eastAsia="宋体" w:cs="Times New Roman"/>
                <w:color w:val="auto"/>
                <w:sz w:val="24"/>
                <w:szCs w:val="24"/>
                <w:highlight w:val="none"/>
                <w:lang w:val="en-US" w:eastAsia="zh-CN"/>
              </w:rPr>
              <w:t>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center"/>
              <w:textAlignment w:val="auto"/>
              <w:outlineLvl w:val="9"/>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 xml:space="preserve">   项目给排水水量平衡表     单位：m</w:t>
            </w:r>
            <w:r>
              <w:rPr>
                <w:rFonts w:hint="default" w:ascii="Times New Roman" w:hAnsi="Times New Roman" w:eastAsia="宋体" w:cs="Times New Roman"/>
                <w:b/>
                <w:bCs/>
                <w:color w:val="auto"/>
                <w:sz w:val="24"/>
                <w:szCs w:val="24"/>
                <w:highlight w:val="none"/>
                <w:vertAlign w:val="superscript"/>
              </w:rPr>
              <w:t>3</w:t>
            </w:r>
            <w:r>
              <w:rPr>
                <w:rFonts w:hint="default" w:ascii="Times New Roman" w:hAnsi="Times New Roman" w:eastAsia="宋体" w:cs="Times New Roman"/>
                <w:b/>
                <w:bCs/>
                <w:color w:val="auto"/>
                <w:sz w:val="24"/>
                <w:szCs w:val="24"/>
                <w:highlight w:val="none"/>
              </w:rPr>
              <w:t>/d</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620"/>
              <w:gridCol w:w="1159"/>
              <w:gridCol w:w="1159"/>
              <w:gridCol w:w="1159"/>
              <w:gridCol w:w="1159"/>
              <w:gridCol w:w="930"/>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39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919"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总用水量</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新鲜水量</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循环水量</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回用水量</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损耗量</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39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919"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纯水制备用水</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1545</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1545</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39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1.1</w:t>
                  </w:r>
                </w:p>
              </w:tc>
              <w:tc>
                <w:tcPr>
                  <w:tcW w:w="919"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产品用水</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39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919"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在线清洗用水</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1178</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1178</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117.8</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39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919"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锅炉用水</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39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919"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车间清洗用水</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39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19"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冷却用水</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39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919"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生活用水</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39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919"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绿化用水</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19.2</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19.2</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19.2</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39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919"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厂区其他用水</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5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52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313" w:type="pct"/>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65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1900.2</w:t>
                  </w:r>
                </w:p>
              </w:tc>
              <w:tc>
                <w:tcPr>
                  <w:tcW w:w="65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1689</w:t>
                  </w:r>
                </w:p>
              </w:tc>
              <w:tc>
                <w:tcPr>
                  <w:tcW w:w="65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172</w:t>
                  </w:r>
                </w:p>
              </w:tc>
              <w:tc>
                <w:tcPr>
                  <w:tcW w:w="65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39.2</w:t>
                  </w:r>
                </w:p>
              </w:tc>
              <w:tc>
                <w:tcPr>
                  <w:tcW w:w="5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244.8</w:t>
                  </w:r>
                </w:p>
              </w:tc>
              <w:tc>
                <w:tcPr>
                  <w:tcW w:w="5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u w:val="none"/>
                      <w:lang w:val="en-US" w:eastAsia="zh-CN" w:bidi="ar"/>
                    </w:rPr>
                    <w:t>1483.4</w:t>
                  </w:r>
                </w:p>
              </w:tc>
            </w:tr>
          </w:tbl>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pStyle w:val="11"/>
              <w:rPr>
                <w:rFonts w:hint="default" w:ascii="Times New Roman" w:hAnsi="Times New Roman" w:eastAsia="宋体" w:cs="Times New Roman"/>
                <w:color w:val="auto"/>
                <w:sz w:val="24"/>
                <w:szCs w:val="24"/>
                <w:highlight w:val="none"/>
              </w:rPr>
            </w:pPr>
          </w:p>
          <w:p>
            <w:pPr>
              <w:pStyle w:val="8"/>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pStyle w:val="11"/>
              <w:rPr>
                <w:rFonts w:hint="default" w:ascii="Times New Roman" w:hAnsi="Times New Roman" w:eastAsia="宋体" w:cs="Times New Roman"/>
                <w:color w:val="auto"/>
                <w:sz w:val="24"/>
                <w:szCs w:val="24"/>
                <w:highlight w:val="none"/>
              </w:rPr>
            </w:pPr>
          </w:p>
          <w:p>
            <w:pPr>
              <w:pStyle w:val="8"/>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pStyle w:val="11"/>
              <w:rPr>
                <w:rFonts w:hint="default" w:ascii="Times New Roman" w:hAnsi="Times New Roman" w:eastAsia="宋体" w:cs="Times New Roman"/>
                <w:color w:val="auto"/>
                <w:sz w:val="24"/>
                <w:szCs w:val="24"/>
                <w:highlight w:val="none"/>
              </w:rPr>
            </w:pPr>
          </w:p>
          <w:p>
            <w:pPr>
              <w:pStyle w:val="8"/>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pStyle w:val="11"/>
              <w:rPr>
                <w:rFonts w:hint="default" w:ascii="Times New Roman" w:hAnsi="Times New Roman" w:eastAsia="宋体" w:cs="Times New Roman"/>
                <w:color w:val="auto"/>
                <w:sz w:val="24"/>
                <w:szCs w:val="24"/>
                <w:highlight w:val="none"/>
              </w:rPr>
            </w:pPr>
          </w:p>
          <w:p>
            <w:pPr>
              <w:pStyle w:val="8"/>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pStyle w:val="11"/>
              <w:rPr>
                <w:rFonts w:hint="default" w:ascii="Times New Roman" w:hAnsi="Times New Roman" w:eastAsia="宋体" w:cs="Times New Roman"/>
                <w:color w:val="auto"/>
                <w:sz w:val="24"/>
                <w:szCs w:val="24"/>
                <w:highlight w:val="none"/>
              </w:rPr>
            </w:pPr>
          </w:p>
          <w:p>
            <w:pPr>
              <w:pStyle w:val="8"/>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pStyle w:val="11"/>
              <w:rPr>
                <w:rFonts w:hint="default" w:ascii="Times New Roman" w:hAnsi="Times New Roman" w:eastAsia="宋体" w:cs="Times New Roman"/>
                <w:color w:val="auto"/>
                <w:sz w:val="24"/>
                <w:szCs w:val="24"/>
                <w:highlight w:val="none"/>
              </w:rPr>
            </w:pPr>
          </w:p>
          <w:p>
            <w:pPr>
              <w:pStyle w:val="8"/>
              <w:rPr>
                <w:rFonts w:hint="default" w:ascii="Times New Roman" w:hAnsi="Times New Roman" w:eastAsia="宋体" w:cs="Times New Roman"/>
                <w:color w:val="auto"/>
                <w:sz w:val="24"/>
                <w:szCs w:val="24"/>
                <w:highlight w:val="none"/>
              </w:rPr>
            </w:pPr>
          </w:p>
          <w:p>
            <w:pPr>
              <w:rPr>
                <w:rFonts w:hint="default" w:ascii="Times New Roman" w:hAnsi="Times New Roman" w:eastAsia="宋体" w:cs="Times New Roman"/>
                <w:color w:val="auto"/>
                <w:sz w:val="24"/>
                <w:szCs w:val="24"/>
                <w:highlight w:val="none"/>
              </w:rPr>
            </w:pPr>
          </w:p>
          <w:p>
            <w:pPr>
              <w:pStyle w:val="11"/>
              <w:rPr>
                <w:rFonts w:hint="default" w:ascii="Times New Roman" w:hAnsi="Times New Roman" w:eastAsia="宋体" w:cs="Times New Roman"/>
                <w:color w:val="auto"/>
                <w:sz w:val="24"/>
                <w:szCs w:val="24"/>
                <w:highlight w:val="none"/>
              </w:rPr>
            </w:pPr>
          </w:p>
          <w:p>
            <w:pPr>
              <w:pStyle w:val="8"/>
              <w:rPr>
                <w:rFonts w:hint="default"/>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1"/>
              </w:rPr>
              <w:pict>
                <v:group id="组合 1027" o:spid="_x0000_s2050" o:spt="203" style="position:absolute;left:0pt;margin-left:59.05pt;margin-top:-2.65pt;height:565.65pt;width:366.15pt;z-index:251702272;mso-width-relative:page;mso-height-relative:page;" coordorigin="5535,241374" coordsize="7083,11313">
                  <o:lock v:ext="edit" aspectratio="f"/>
                  <v:shape id="Straight Connector 264" o:spid="_x0000_s2051" o:spt="32" type="#_x0000_t32" style="position:absolute;left:5661;top:246354;height:1;width:774;" filled="f" stroked="t" coordsize="21600,21600">
                    <v:path arrowok="t"/>
                    <v:fill on="f" focussize="0,0"/>
                    <v:stroke color="#000000" endarrow="block"/>
                    <v:imagedata o:title=""/>
                    <o:lock v:ext="edit" aspectratio="f"/>
                  </v:shape>
                  <v:shape id="Straight Connector 265" o:spid="_x0000_s2052" o:spt="32" type="#_x0000_t32" style="position:absolute;left:6443;top:242748;height:6547;width:12;" filled="f" stroked="t" coordsize="21600,21600">
                    <v:path arrowok="t"/>
                    <v:fill on="f" focussize="0,0"/>
                    <v:stroke color="#000000"/>
                    <v:imagedata o:title=""/>
                    <o:lock v:ext="edit" aspectratio="f"/>
                  </v:shape>
                  <v:shape id="Straight Connector 266" o:spid="_x0000_s2053" o:spt="32" type="#_x0000_t32" style="position:absolute;left:6443;top:242748;height:1;width:695;" filled="f" stroked="t" coordsize="21600,21600">
                    <v:path arrowok="t"/>
                    <v:fill on="f" focussize="0,0"/>
                    <v:stroke color="#000000" endarrow="block"/>
                    <v:imagedata o:title=""/>
                    <o:lock v:ext="edit" aspectratio="f"/>
                  </v:shape>
                  <v:shape id="Quad Arrow 267" o:spid="_x0000_s2054" o:spt="202" type="#_x0000_t202" style="position:absolute;left:7128;top:242572;height:448;width:2040;" fillcolor="#FFFFFF" filled="t" stroked="t" coordsize="21600,21600">
                    <v:path/>
                    <v:fill type="gradient" on="t" color2="fill lighten(0)" focus="100%" focussize="0f,0f" focusposition="0f,0f" method="linear sigma"/>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sz w:val="21"/>
                              <w:szCs w:val="21"/>
                              <w:lang w:val="en-US" w:eastAsia="zh-CN"/>
                            </w:rPr>
                          </w:pPr>
                          <w:r>
                            <w:rPr>
                              <w:rFonts w:hint="eastAsia"/>
                              <w:sz w:val="21"/>
                              <w:szCs w:val="21"/>
                              <w:lang w:val="en-US" w:eastAsia="zh-CN"/>
                            </w:rPr>
                            <w:t>纯水设备</w:t>
                          </w:r>
                        </w:p>
                      </w:txbxContent>
                    </v:textbox>
                  </v:shape>
                  <v:shape id="Straight Connector 268" o:spid="_x0000_s2055" o:spt="32" type="#_x0000_t32" style="position:absolute;left:9170;top:242756;height:1;width:695;" filled="f" stroked="t" coordsize="21600,21600">
                    <v:path arrowok="t"/>
                    <v:fill on="f" focussize="0,0"/>
                    <v:stroke color="#000000" endarrow="block"/>
                    <v:imagedata o:title=""/>
                    <o:lock v:ext="edit" aspectratio="f"/>
                  </v:shape>
                  <v:shape id="Quad Arrow 269" o:spid="_x0000_s2056" o:spt="202" type="#_x0000_t202" style="position:absolute;left:9861;top:242568;height:448;width:1908;" fillcolor="#FFFFFF" filled="t" stroked="t" coordsize="21600,21600">
                    <v:path/>
                    <v:fill type="gradient" on="t" color2="fill lighten(0)" focus="100%" focussize="0f,0f" focusposition="0f,0f" method="linear sigma"/>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sz w:val="21"/>
                              <w:szCs w:val="21"/>
                              <w:lang w:val="en-US" w:eastAsia="zh-CN"/>
                            </w:rPr>
                          </w:pPr>
                          <w:r>
                            <w:rPr>
                              <w:rFonts w:hint="eastAsia"/>
                              <w:sz w:val="21"/>
                              <w:szCs w:val="21"/>
                              <w:lang w:val="en-US" w:eastAsia="zh-CN"/>
                            </w:rPr>
                            <w:t>生产用水（</w:t>
                          </w:r>
                          <w:r>
                            <w:rPr>
                              <w:rFonts w:hint="default"/>
                              <w:sz w:val="21"/>
                              <w:szCs w:val="21"/>
                              <w:lang w:val="en-US" w:eastAsia="zh-CN"/>
                            </w:rPr>
                            <w:t>-</w:t>
                          </w:r>
                          <w:r>
                            <w:rPr>
                              <w:rFonts w:hint="eastAsia"/>
                              <w:sz w:val="21"/>
                              <w:szCs w:val="21"/>
                              <w:lang w:val="en-US" w:eastAsia="zh-CN"/>
                            </w:rPr>
                            <w:t>58）</w:t>
                          </w:r>
                        </w:p>
                      </w:txbxContent>
                    </v:textbox>
                  </v:shape>
                  <v:shape id="Straight Connector 270" o:spid="_x0000_s2057" o:spt="32" type="#_x0000_t32" style="position:absolute;left:8664;top:243008;height:971;width:4;" filled="f" stroked="t" coordsize="21600,21600">
                    <v:path arrowok="t"/>
                    <v:fill on="f" focussize="0,0"/>
                    <v:stroke color="#000000" endarrow="block"/>
                    <v:imagedata o:title=""/>
                    <o:lock v:ext="edit" aspectratio="f"/>
                  </v:shape>
                  <v:shape id="Quad Arrow 272" o:spid="_x0000_s2058" o:spt="202" type="#_x0000_t202" style="position:absolute;left:8386;top:243992;height:448;width:2757;" fillcolor="#FFFFFF" filled="t" stroked="t" coordsize="21600,21600">
                    <v:path/>
                    <v:fill type="gradient" on="t" color2="fill lighten(0)" focus="100%" focussize="0f,0f" focusposition="0f,0f" method="linear sigma"/>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锅炉用水</w:t>
                          </w:r>
                        </w:p>
                      </w:txbxContent>
                    </v:textbox>
                  </v:shape>
                  <v:shape id="Straight Connector 273" o:spid="_x0000_s2059" o:spt="32" type="#_x0000_t32" style="position:absolute;left:6441;top:246628;height:1;width:1035;" filled="f" stroked="t" coordsize="21600,21600">
                    <v:path arrowok="t"/>
                    <v:fill on="f" focussize="0,0"/>
                    <v:stroke color="#000000" endarrow="block"/>
                    <v:imagedata o:title=""/>
                    <o:lock v:ext="edit" aspectratio="f"/>
                  </v:shape>
                  <v:shape id="Quad Arrow 275" o:spid="_x0000_s2060" o:spt="202" type="#_x0000_t202" style="position:absolute;left:7474;top:246393;height:448;width:3669;" fillcolor="#FFFFFF" filled="t" stroked="t" coordsize="21600,21600">
                    <v:path/>
                    <v:fill type="gradient" on="t" color2="fill lighten(0)" focus="100%" focussize="0f,0f" focusposition="0f,0f" method="linear sigma"/>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车间清洗用水（7.0）</w:t>
                          </w:r>
                        </w:p>
                      </w:txbxContent>
                    </v:textbox>
                  </v:shape>
                  <v:shape id="Straight Connector 278" o:spid="_x0000_s2061" o:spt="32" type="#_x0000_t32" style="position:absolute;left:11133;top:246643;height:1;width:1035;" filled="f" stroked="t" coordsize="21600,21600">
                    <v:path arrowok="t"/>
                    <v:fill on="f" focussize="0,0"/>
                    <v:stroke color="#000000" endarrow="block"/>
                    <v:imagedata o:title=""/>
                    <o:lock v:ext="edit" aspectratio="f"/>
                  </v:shape>
                  <v:shape id="Straight Connector 280" o:spid="_x0000_s2062" o:spt="32" type="#_x0000_t32" style="position:absolute;left:11143;top:249246;height:1;width:1035;" filled="f" stroked="t" coordsize="21600,21600">
                    <v:path arrowok="t"/>
                    <v:fill on="f" focussize="0,0"/>
                    <v:stroke color="#000000" endarrow="block"/>
                    <v:imagedata o:title=""/>
                    <o:lock v:ext="edit" aspectratio="f"/>
                  </v:shape>
                  <v:shape id="Straight Connector 20" o:spid="_x0000_s2063" o:spt="32" type="#_x0000_t32" style="position:absolute;left:12172;top:241785;flip:x;height:8584;width:2;" filled="f" stroked="t" coordsize="21600,21600">
                    <v:path arrowok="t"/>
                    <v:fill on="f" focussize="0,0"/>
                    <v:stroke color="#000000" endarrow="block"/>
                    <v:imagedata o:title=""/>
                    <o:lock v:ext="edit" aspectratio="f"/>
                  </v:shape>
                  <v:shape id="Quad Arrow 39" o:spid="_x0000_s2064" o:spt="202" type="#_x0000_t202" style="position:absolute;left:10193;top:250354;height:448;width:2373;" fillcolor="#FFFFFF" filled="t" stroked="t" coordsize="21600,21600">
                    <v:path/>
                    <v:fill type="gradient" on="t" color2="fill lighten(0)" focus="100%" focussize="0f,0f" focusposition="0f,0f" method="linear sigma"/>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厂区污水处理站</w:t>
                          </w:r>
                        </w:p>
                      </w:txbxContent>
                    </v:textbox>
                  </v:shape>
                  <v:shape id="Straight Connector 284" o:spid="_x0000_s2065" o:spt="32" type="#_x0000_t32" style="position:absolute;left:9296;top:250598;flip:x;height:1;width:895;" filled="f" stroked="t" coordsize="21600,21600">
                    <v:path arrowok="t"/>
                    <v:fill on="f" focussize="0,0"/>
                    <v:stroke color="#000000"/>
                    <v:imagedata o:title=""/>
                    <o:lock v:ext="edit" aspectratio="f"/>
                  </v:shape>
                  <v:shape id="Quad Arrow 285" o:spid="_x0000_s2066" o:spt="202" type="#_x0000_t202" style="position:absolute;left:6403;top:249914;height:448;width:1993;" fillcolor="#FFFFFF" filled="t" stroked="t" coordsize="21600,21600">
                    <v:path/>
                    <v:fill type="gradient" on="t" color2="fill lighten(0)" focus="100%" focussize="0f,0f" focusposition="0f,0f" method="linear sigma"/>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绿化（-19.2）</w:t>
                          </w:r>
                        </w:p>
                      </w:txbxContent>
                    </v:textbox>
                  </v:shape>
                  <v:shape id="Straight Connector 286" o:spid="_x0000_s2067" o:spt="32" type="#_x0000_t32" style="position:absolute;left:6443;top:249242;height:1;width:1035;" filled="f" stroked="t" coordsize="21600,21600">
                    <v:path arrowok="t"/>
                    <v:fill on="f" focussize="0,0"/>
                    <v:stroke color="#000000" endarrow="block"/>
                    <v:imagedata o:title=""/>
                    <o:lock v:ext="edit" aspectratio="f"/>
                  </v:shape>
                  <v:shape id="Quad Arrow 287" o:spid="_x0000_s2068" o:spt="202" type="#_x0000_t202" style="position:absolute;left:7476;top:248992;height:448;width:3669;" fillcolor="#FFFFFF" filled="t" stroked="t" coordsize="21600,21600">
                    <v:path/>
                    <v:fill type="gradient" on="t" color2="fill lighten(0)" focus="100%" focussize="0f,0f" focusposition="0f,0f" method="linear sigma"/>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生活用水(-2.8)</w:t>
                          </w:r>
                        </w:p>
                      </w:txbxContent>
                    </v:textbox>
                  </v:shape>
                  <v:shape id="Quad Arrow 291" o:spid="_x0000_s2069" o:spt="202" type="#_x0000_t202" style="position:absolute;left:6316;top:242299;height:380;width:783;" fillcolor="#FFFFFF" filled="t" stroked="f" coordsize="21600,21600">
                    <v:path/>
                    <v:fill type="gradient" on="t" color2="fill lighten(0)" focus="100%" focussize="0f,0f" focusposition="0f,0f" method="linear sigma"/>
                    <v:stroke on="f"/>
                    <v:imagedata o:title=""/>
                    <o:lock v:ext="edit" aspectratio="f"/>
                    <v:textbox>
                      <w:txbxContent>
                        <w:p>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545</w:t>
                          </w:r>
                        </w:p>
                      </w:txbxContent>
                    </v:textbox>
                  </v:shape>
                  <v:shape id="Straight Connector 292" o:spid="_x0000_s2070" o:spt="32" type="#_x0000_t32" style="position:absolute;left:8170;top:241774;flip:x y;height:803;width:8;" filled="f" stroked="t" coordsize="21600,21600">
                    <v:path arrowok="t"/>
                    <v:fill on="f" focussize="0,0"/>
                    <v:stroke color="#000000"/>
                    <v:imagedata o:title=""/>
                    <o:lock v:ext="edit" aspectratio="f"/>
                  </v:shape>
                  <v:shape id="Quad Arrow 293" o:spid="_x0000_s2071" o:spt="202" type="#_x0000_t202" style="position:absolute;left:10605;top:243532;height:380;width:783;" fillcolor="#FFFFFF" filled="t" stroked="f" coordsize="21600,21600">
                    <v:path/>
                    <v:fill type="gradient" on="t" color2="fill lighten(0)" focus="100%" focussize="0f,0f" focusposition="0f,0f" method="linear sigma"/>
                    <v:stroke on="f"/>
                    <v:imagedata o:title=""/>
                    <o:lock v:ext="edit" aspectratio="f"/>
                    <v:textbox>
                      <w:txbxContent>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w:t>
                          </w:r>
                        </w:p>
                      </w:txbxContent>
                    </v:textbox>
                  </v:shape>
                  <v:shape id="Quad Arrow 294" o:spid="_x0000_s2072" o:spt="202" type="#_x0000_t202" style="position:absolute;left:8895;top:243456;height:380;width:541;" fillcolor="#FFFFFF" filled="t" stroked="f" coordsize="21600,21600">
                    <v:path/>
                    <v:fill type="gradient" on="t" color2="fill lighten(0)" focus="100%" focussize="0f,0f" focusposition="0f,0f" method="linear sigma"/>
                    <v:stroke on="f"/>
                    <v:imagedata o:title=""/>
                    <o:lock v:ext="edit" aspectratio="f"/>
                    <v:textbox>
                      <w:txbxContent>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38</w:t>
                          </w:r>
                        </w:p>
                      </w:txbxContent>
                    </v:textbox>
                  </v:shape>
                  <v:shape id="Quad Arrow 295" o:spid="_x0000_s2073" o:spt="202" type="#_x0000_t202" style="position:absolute;left:6538;top:246238;height:380;width:783;" fillcolor="#FFFFFF" filled="t" stroked="f" coordsize="21600,21600">
                    <v:path/>
                    <v:fill type="gradient" on="t" color2="fill lighten(0)" focus="100%" focussize="0f,0f" focusposition="0f,0f" method="linear sigma"/>
                    <v:stroke on="f"/>
                    <v:imagedata o:title=""/>
                    <o:lock v:ext="edit" aspectratio="f"/>
                    <v:textbox>
                      <w:txbxContent>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70</w:t>
                          </w:r>
                        </w:p>
                      </w:txbxContent>
                    </v:textbox>
                  </v:shape>
                  <v:shape id="Quad Arrow 296" o:spid="_x0000_s2074" o:spt="202" type="#_x0000_t202" style="position:absolute;left:6538;top:247488;height:380;width:783;" fillcolor="#FFFFFF" filled="t" stroked="f" coordsize="21600,21600">
                    <v:path/>
                    <v:fill type="gradient" on="t" color2="fill lighten(0)" focus="100%" focussize="0f,0f" focusposition="0f,0f" method="linear sigma"/>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宋体"/>
                              <w:sz w:val="21"/>
                              <w:szCs w:val="21"/>
                              <w:lang w:val="en-US" w:eastAsia="zh-CN"/>
                            </w:rPr>
                          </w:pPr>
                          <w:r>
                            <w:rPr>
                              <w:rFonts w:hint="eastAsia"/>
                              <w:sz w:val="21"/>
                              <w:szCs w:val="21"/>
                              <w:lang w:val="en-US" w:eastAsia="zh-CN"/>
                            </w:rPr>
                            <w:t>6</w:t>
                          </w:r>
                          <w:r>
                            <w:rPr>
                              <w:rFonts w:hint="eastAsia" w:ascii="Times New Roman" w:hAnsi="Times New Roman" w:cs="Times New Roman"/>
                              <w:sz w:val="21"/>
                              <w:szCs w:val="21"/>
                              <w:lang w:val="en-US" w:eastAsia="zh-CN"/>
                            </w:rPr>
                            <w:t>0</w:t>
                          </w:r>
                        </w:p>
                      </w:txbxContent>
                    </v:textbox>
                  </v:shape>
                  <v:shape id="Straight Connector 297" o:spid="_x0000_s2075" o:spt="32" type="#_x0000_t32" style="position:absolute;left:11145;top:247806;height:1;width:360;" filled="f" stroked="t" coordsize="21600,21600">
                    <v:path arrowok="t"/>
                    <v:fill on="f" focussize="0,0"/>
                    <v:stroke color="#000000"/>
                    <v:imagedata o:title=""/>
                    <o:lock v:ext="edit" aspectratio="f"/>
                  </v:shape>
                  <v:shape id="Quad Arrow 301" o:spid="_x0000_s2076" o:spt="202" type="#_x0000_t202" style="position:absolute;left:10586;top:247039;height:478;width:814;" fillcolor="#FFFFFF" filled="t" stroked="f" coordsize="21600,21600">
                    <v:path/>
                    <v:fill type="gradient" on="t" color2="fill lighten(0)" focus="100%" focussize="0f,0f" focusposition="0f,0f" method="linear sigma"/>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160</w:t>
                          </w:r>
                        </w:p>
                      </w:txbxContent>
                    </v:textbox>
                  </v:shape>
                  <v:shape id="Quad Arrow 302" o:spid="_x0000_s2077" o:spt="202" type="#_x0000_t202" style="position:absolute;left:6538;top:248817;height:380;width:783;" fillcolor="#FFFFFF" filled="t" stroked="f" coordsize="21600,21600">
                    <v:path/>
                    <v:fill type="gradient" on="t" color2="fill lighten(0)" focus="100%" focussize="0f,0f" focusposition="0f,0f" method="linear sigma"/>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14</w:t>
                          </w:r>
                        </w:p>
                      </w:txbxContent>
                    </v:textbox>
                  </v:shape>
                  <v:shape id="Quad Arrow 303" o:spid="_x0000_s2078" o:spt="202" type="#_x0000_t202" style="position:absolute;left:11350;top:246207;height:380;width:783;" fillcolor="#FFFFFF" filled="t" stroked="f" coordsize="21600,21600">
                    <v:path/>
                    <v:fill type="gradient" on="t" color2="fill lighten(0)" focus="100%" focussize="0f,0f" focusposition="0f,0f" method="linear sigma"/>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63</w:t>
                          </w:r>
                        </w:p>
                      </w:txbxContent>
                    </v:textbox>
                  </v:shape>
                  <v:shape id="Quad Arrow 304" o:spid="_x0000_s2079" o:spt="202" type="#_x0000_t202" style="position:absolute;left:11287;top:248804;height:380;width:783;" fillcolor="#FFFFFF" filled="t" stroked="f" coordsize="21600,21600">
                    <v:path/>
                    <v:fill type="gradient" on="t" color2="fill lighten(0)" focus="100%" focussize="0f,0f" focusposition="0f,0f" method="linear sigma"/>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11.2</w:t>
                          </w:r>
                        </w:p>
                      </w:txbxContent>
                    </v:textbox>
                  </v:shape>
                  <v:shape id="Quad Arrow 305" o:spid="_x0000_s2080" o:spt="202" type="#_x0000_t202" style="position:absolute;left:10983;top:249911;height:380;width:1082;" fillcolor="#FFFFFF" filled="t" stroked="f" coordsize="21600,21600">
                    <v:path/>
                    <v:fill type="gradient" on="t" color2="fill lighten(0)" focus="100%" focussize="0f,0f" focusposition="0f,0f" method="linear sigma"/>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1483.4</w:t>
                          </w:r>
                        </w:p>
                      </w:txbxContent>
                    </v:textbox>
                  </v:shape>
                  <v:shape id="Quad Arrow 306" o:spid="_x0000_s2081" o:spt="202" type="#_x0000_t202" style="position:absolute;left:6290;top:251875;height:812;width:2364;" fillcolor="#FFFFFF" filled="t" stroked="t" coordsize="21600,21600">
                    <v:path/>
                    <v:fill type="gradient" on="t" color2="fill lighten(0)" focus="100%" focussize="0f,0f" focusposition="0f,0f" method="linear sigma"/>
                    <v:stroke color="#000000" joinstyle="miter"/>
                    <v:imagedata o:title=""/>
                    <o:lock v:ext="edit" aspectratio="f"/>
                    <v:textbox>
                      <w:txbxContent>
                        <w:p>
                          <w:pPr>
                            <w:rPr>
                              <w:sz w:val="21"/>
                              <w:szCs w:val="21"/>
                            </w:rPr>
                          </w:pPr>
                          <w:r>
                            <w:rPr>
                              <w:rFonts w:hint="eastAsia"/>
                              <w:sz w:val="21"/>
                              <w:szCs w:val="21"/>
                            </w:rPr>
                            <w:t>图例：水</w:t>
                          </w:r>
                        </w:p>
                        <w:p>
                          <w:pPr>
                            <w:rPr>
                              <w:sz w:val="21"/>
                              <w:szCs w:val="21"/>
                            </w:rPr>
                          </w:pPr>
                          <w:r>
                            <w:rPr>
                              <w:rFonts w:hint="eastAsia"/>
                              <w:sz w:val="21"/>
                              <w:szCs w:val="21"/>
                            </w:rPr>
                            <w:t>蒸汽</w:t>
                          </w:r>
                        </w:p>
                      </w:txbxContent>
                    </v:textbox>
                  </v:shape>
                  <v:shape id="Straight Connector 307" o:spid="_x0000_s2082" o:spt="32" type="#_x0000_t32" style="position:absolute;left:7353;top:252103;flip:y;height:13;width:937;" filled="f" stroked="t" coordsize="21600,21600">
                    <v:path arrowok="t"/>
                    <v:fill on="f" focussize="0,0"/>
                    <v:stroke color="#000000"/>
                    <v:imagedata o:title=""/>
                    <o:lock v:ext="edit" aspectratio="f"/>
                  </v:shape>
                  <v:shape id="Straight Connector 308" o:spid="_x0000_s2083" o:spt="32" type="#_x0000_t32" style="position:absolute;left:7372;top:252424;flip:y;height:13;width:937;" filled="f" stroked="t" coordsize="21600,21600">
                    <v:path arrowok="t"/>
                    <v:fill on="f" focussize="0,0"/>
                    <v:stroke color="#000000" dashstyle="dashDot"/>
                    <v:imagedata o:title=""/>
                    <o:lock v:ext="edit" aspectratio="f"/>
                  </v:shape>
                  <v:shape id="Quad Arrow 310" o:spid="_x0000_s2084" o:spt="202" type="#_x0000_t202" style="position:absolute;left:9080;top:242115;height:380;width:783;" fillcolor="#FFFFFF" filled="t" stroked="f" coordsize="21600,21600">
                    <v:path/>
                    <v:fill type="gradient" on="t" color2="fill lighten(0)" focus="100%" focussize="0f,0f" focusposition="0f,0f" method="linear sigma"/>
                    <v:stroke on="f"/>
                    <v:imagedata o:title=""/>
                    <o:lock v:ext="edit" aspectratio="f"/>
                    <v:textbox>
                      <w:txbxContent>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xbxContent>
                    </v:textbox>
                  </v:shape>
                  <v:shape id="Quad Arrow 311" o:spid="_x0000_s2085" o:spt="202" type="#_x0000_t202" style="position:absolute;left:5535;top:245859;height:380;width:783;" fillcolor="#FFFFFF" filled="t" stroked="f" coordsize="21600,21600">
                    <v:path/>
                    <v:fill type="gradient" on="t" color2="fill lighten(0)" focus="100%" focussize="0f,0f" focusposition="0f,0f" method="linear sigma"/>
                    <v:stroke on="f"/>
                    <v:imagedata o:title=""/>
                    <o:lock v:ext="edit" aspectratio="f"/>
                    <v:textbo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1689</w:t>
                          </w:r>
                        </w:p>
                      </w:txbxContent>
                    </v:textbox>
                  </v:shape>
                  <v:shape id="自选图形 1064" o:spid="_x0000_s2086" o:spt="32" type="#_x0000_t32" style="position:absolute;left:11166;top:244118;height:1;width:360;" filled="f" stroked="t" coordsize="21600,21600">
                    <v:path arrowok="t"/>
                    <v:fill on="f" focussize="0,0"/>
                    <v:stroke color="#000000"/>
                    <v:imagedata o:title=""/>
                    <o:lock v:ext="edit" aspectratio="f"/>
                  </v:shape>
                  <v:shape id="自选图形 1065" o:spid="_x0000_s2087" o:spt="32" type="#_x0000_t32" style="position:absolute;left:11506;top:243453;flip:x y;height:670;width:7;" filled="f" stroked="t" coordsize="21600,21600">
                    <v:path arrowok="t"/>
                    <v:fill on="f" focussize="0,0"/>
                    <v:stroke color="#000000"/>
                    <v:imagedata o:title=""/>
                    <o:lock v:ext="edit" aspectratio="f"/>
                  </v:shape>
                  <v:shape id="自选图形 1066" o:spid="_x0000_s2088" o:spt="32" type="#_x0000_t32" style="position:absolute;left:10382;top:243465;flip:x;height:1;width:1134;" filled="f" stroked="t" coordsize="21600,21600">
                    <v:path arrowok="t"/>
                    <v:fill on="f" focussize="0,0"/>
                    <v:stroke color="#000000"/>
                    <v:imagedata o:title=""/>
                    <o:lock v:ext="edit" aspectratio="f"/>
                  </v:shape>
                  <v:shape id="自选图形 1067" o:spid="_x0000_s2089" o:spt="32" type="#_x0000_t32" style="position:absolute;left:10382;top:243476;flip:x;height:554;width:3;" filled="f" stroked="t" coordsize="21600,21600">
                    <v:path arrowok="t"/>
                    <v:fill on="f" focussize="0,0"/>
                    <v:stroke color="#000000" endarrow="block"/>
                    <v:imagedata o:title=""/>
                    <o:lock v:ext="edit" aspectratio="f"/>
                  </v:shape>
                  <v:shape id="文本框 1068" o:spid="_x0000_s2090" o:spt="202" type="#_x0000_t202" style="position:absolute;left:11205;top:241374;height:380;width:783;" filled="f" stroked="f" coordsize="21600,21600">
                    <v:path/>
                    <v:fill on="f" focussize="0,0"/>
                    <v:stroke on="f"/>
                    <v:imagedata o:title=""/>
                    <o:lock v:ext="edit" aspectratio="f"/>
                    <v:textbox>
                      <w:txbxContent>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309</w:t>
                          </w:r>
                        </w:p>
                      </w:txbxContent>
                    </v:textbox>
                  </v:shape>
                  <v:shape id="文本框 1069" o:spid="_x0000_s2091" o:spt="202" type="#_x0000_t202" style="position:absolute;left:11219;top:245393;height:380;width:910;" fillcolor="#FFFFFF" filled="t" stroked="f" coordsize="21600,21600">
                    <v:path/>
                    <v:fill type="gradient" on="t" color2="fill lighten(0)" focus="100%" focussize="0f,0f" focusposition="0f,0f" method="linear sigma"/>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1060.2</w:t>
                          </w:r>
                        </w:p>
                      </w:txbxContent>
                    </v:textbox>
                  </v:shape>
                  <v:shape id="自选图形 1070" o:spid="_x0000_s2092" o:spt="32" type="#_x0000_t32" style="position:absolute;left:7671;top:243105;height:1990;width:12;" filled="f" stroked="t" coordsize="21600,21600">
                    <v:path arrowok="t"/>
                    <v:fill on="f" focussize="0,0"/>
                    <v:stroke color="#000000" endarrow="block"/>
                    <v:imagedata o:title=""/>
                    <o:lock v:ext="edit" aspectratio="f"/>
                  </v:shape>
                  <v:shape id="文本框 1071" o:spid="_x0000_s2093" o:spt="202" type="#_x0000_t202" style="position:absolute;left:7464;top:245144;height:448;width:3669;" fillcolor="#FFFFFF" filled="t" stroked="t" coordsize="21600,21600">
                    <v:path/>
                    <v:fill type="gradient" on="t" color2="fill lighten(0)" focus="100%" focussize="0f,0f" focusposition="0f,0f" method="linear sigma"/>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在线清洗水（-117.8）</w:t>
                          </w:r>
                        </w:p>
                      </w:txbxContent>
                    </v:textbox>
                  </v:shape>
                  <v:shape id="自选图形 1072" o:spid="_x0000_s2094" o:spt="32" type="#_x0000_t32" style="position:absolute;left:11156;top:245410;height:1;width:1035;" filled="f" stroked="t" coordsize="21600,21600">
                    <v:path arrowok="t"/>
                    <v:fill on="f" focussize="0,0"/>
                    <v:stroke color="#000000" endarrow="block"/>
                    <v:imagedata o:title=""/>
                    <o:lock v:ext="edit" aspectratio="f"/>
                  </v:shape>
                  <v:shape id="自选图形 1073" o:spid="_x0000_s2095" o:spt="32" type="#_x0000_t32" style="position:absolute;left:10108;top:243025;flip:x y;height:968;width:3;" filled="f" stroked="t" coordsize="21600,21600">
                    <v:path arrowok="t"/>
                    <v:fill on="f" focussize="0,0"/>
                    <v:stroke color="#000000" dashstyle="dashDot" endarrow="block"/>
                    <v:imagedata o:title=""/>
                    <o:lock v:ext="edit" aspectratio="f"/>
                  </v:shape>
                  <v:shape id="文本框 1074" o:spid="_x0000_s2096" o:spt="202" type="#_x0000_t202" style="position:absolute;left:10174;top:243039;height:380;width:541;" fillcolor="#FFFFFF" filled="t" stroked="f" coordsize="21600,21600">
                    <v:path/>
                    <v:fill type="gradient" on="t" color2="fill lighten(0)" focus="100%" focussize="0f,0f" focusposition="0f,0f" method="linear sigma"/>
                    <v:stroke on="f"/>
                    <v:imagedata o:title=""/>
                    <o:lock v:ext="edit" aspectratio="f"/>
                    <v:textbox>
                      <w:txbxContent>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38</w:t>
                          </w:r>
                        </w:p>
                      </w:txbxContent>
                    </v:textbox>
                  </v:shape>
                  <v:shape id="文本框 1075" o:spid="_x0000_s2097" o:spt="202" type="#_x0000_t202" style="position:absolute;left:7808;top:244537;height:380;width:1117;" fillcolor="#FFFFFF" filled="t" stroked="f" coordsize="21600,21600">
                    <v:path/>
                    <v:fill type="gradient" on="t" color2="fill lighten(0)" focus="100%" focussize="0f,0f" focusposition="0f,0f" method="linear sigma"/>
                    <v:stroke on="f"/>
                    <v:imagedata o:title=""/>
                    <o:lock v:ext="edit" aspectratio="f"/>
                    <v:textbox>
                      <w:txbxContent>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1178</w:t>
                          </w:r>
                        </w:p>
                      </w:txbxContent>
                    </v:textbox>
                  </v:shape>
                  <v:shape id="文本框 1076" o:spid="_x0000_s2098" o:spt="202" type="#_x0000_t202" style="position:absolute;left:11571;top:247562;height:380;width:521;" fillcolor="#FFFFFF" filled="t" stroked="f" coordsize="21600,21600">
                    <v:path/>
                    <v:fill type="gradient" on="t" color2="fill lighten(0)" focus="100%" focussize="0f,0f" focusposition="0f,0f" method="linear sigma"/>
                    <v:stroke on="f"/>
                    <v:imagedata o:title=""/>
                    <o:lock v:ext="edit" aspectratio="f"/>
                    <v:textbo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40</w:t>
                          </w:r>
                        </w:p>
                      </w:txbxContent>
                    </v:textbox>
                  </v:shape>
                  <v:group id="组合 1077" o:spid="_x0000_s2099" o:spt="203" style="position:absolute;left:6441;top:246988;height:1144;width:5728;" coordorigin="5257,144570" coordsize="5728,1144">
                    <o:lock v:ext="edit" aspectratio="f"/>
                    <v:shape id="Straight Connector 274" o:spid="_x0000_s2100" o:spt="32" type="#_x0000_t32" style="position:absolute;left:5257;top:145516;height:1;width:1035;" filled="f" stroked="t" coordsize="21600,21600">
                      <v:path arrowok="t"/>
                      <v:fill on="f" focussize="0,0"/>
                      <v:stroke color="#000000" endarrow="block"/>
                      <v:imagedata o:title=""/>
                      <o:lock v:ext="edit" aspectratio="f"/>
                    </v:shape>
                    <v:shape id="Quad Arrow 276" o:spid="_x0000_s2101" o:spt="202" type="#_x0000_t202" style="position:absolute;left:6290;top:145266;height:448;width:3669;" fillcolor="#FFFFFF" filled="t" stroked="t" coordsize="21600,21600">
                      <v:path/>
                      <v:fill type="gradient" on="t" color2="fill lighten(0)" focus="100%" focussize="0f,0f" focusposition="0f,0f" method="linear sigma"/>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冷却用水(-20.0)</w:t>
                            </w:r>
                          </w:p>
                        </w:txbxContent>
                      </v:textbox>
                    </v:shape>
                    <v:shape id="Straight Connector 298" o:spid="_x0000_s2102" o:spt="32" type="#_x0000_t32" style="position:absolute;left:10320;top:144570;flip:x y;height:801;width:6;" filled="f" stroked="t" coordsize="21600,21600">
                      <v:path arrowok="t"/>
                      <v:fill on="f" focussize="0,0"/>
                      <v:stroke color="#000000"/>
                      <v:imagedata o:title=""/>
                      <o:lock v:ext="edit" aspectratio="f"/>
                    </v:shape>
                    <v:shape id="Straight Connector 299" o:spid="_x0000_s2103" o:spt="32" type="#_x0000_t32" style="position:absolute;left:9183;top:144578;flip:x;height:1;width:1134;" filled="f" stroked="t" coordsize="21600,21600">
                      <v:path arrowok="t"/>
                      <v:fill on="f" focussize="0,0"/>
                      <v:stroke color="#000000"/>
                      <v:imagedata o:title=""/>
                      <o:lock v:ext="edit" aspectratio="f"/>
                    </v:shape>
                    <v:shape id="Straight Connector 300" o:spid="_x0000_s2104" o:spt="32" type="#_x0000_t32" style="position:absolute;left:9177;top:144586;height:684;width:1;" filled="f" stroked="t" coordsize="21600,21600">
                      <v:path arrowok="t"/>
                      <v:fill on="f" focussize="0,0"/>
                      <v:stroke color="#000000" endarrow="block"/>
                      <v:imagedata o:title=""/>
                      <o:lock v:ext="edit" aspectratio="f"/>
                    </v:shape>
                    <v:shape id="自选图形 1094" o:spid="_x0000_s2105" o:spt="32" type="#_x0000_t32" style="position:absolute;left:9951;top:145536;height:1;width:1035;" filled="f" stroked="t" coordsize="21600,21600">
                      <v:path arrowok="t"/>
                      <v:fill on="f" focussize="0,0"/>
                      <v:stroke color="#000000" endarrow="block"/>
                      <v:imagedata o:title=""/>
                      <o:lock v:ext="edit" aspectratio="f"/>
                    </v:shape>
                  </v:group>
                  <v:shape id="自选图形 1095" o:spid="_x0000_s2106" o:spt="32" type="#_x0000_t32" style="position:absolute;left:12185;top:250806;height:995;width:0;" filled="f" stroked="t" coordsize="21600,21600">
                    <v:path arrowok="t"/>
                    <v:fill on="f" focussize="0,0"/>
                    <v:stroke color="#000000" endarrow="block"/>
                    <v:imagedata o:title=""/>
                    <o:lock v:ext="edit" aspectratio="f"/>
                  </v:shape>
                  <v:shape id="自选图形 1096" o:spid="_x0000_s2107" o:spt="32" type="#_x0000_t32" style="position:absolute;left:9272;top:250086;flip:x;height:1137;width:3;" filled="f" stroked="t" coordsize="21600,21600">
                    <v:path arrowok="t"/>
                    <v:fill on="f" focussize="0,0"/>
                    <v:stroke color="#000000"/>
                    <v:imagedata o:title=""/>
                    <o:lock v:ext="edit" aspectratio="f"/>
                  </v:shape>
                  <v:shape id="自选图形 1097" o:spid="_x0000_s2108" o:spt="32" type="#_x0000_t32" style="position:absolute;left:8376;top:251228;flip:x;height:1;width:895;" filled="f" stroked="t" coordsize="21600,21600">
                    <v:path arrowok="t"/>
                    <v:fill on="f" focussize="0,0"/>
                    <v:stroke color="#000000" endarrow="block"/>
                    <v:imagedata o:title=""/>
                    <o:lock v:ext="edit" aspectratio="f"/>
                  </v:shape>
                  <v:shape id="自选图形 1098" o:spid="_x0000_s2109" o:spt="32" type="#_x0000_t32" style="position:absolute;left:8376;top:250108;flip:x;height:1;width:895;" filled="f" stroked="t" coordsize="21600,21600">
                    <v:path arrowok="t"/>
                    <v:fill on="f" focussize="0,0"/>
                    <v:stroke color="#000000" endarrow="block"/>
                    <v:imagedata o:title=""/>
                    <o:lock v:ext="edit" aspectratio="f"/>
                  </v:shape>
                  <v:shape id="文本框 1099" o:spid="_x0000_s2110" o:spt="202" type="#_x0000_t202" style="position:absolute;left:6413;top:250954;height:448;width:1993;" fillcolor="#FFFFFF" filled="t" stroked="t" coordsize="21600,21600">
                    <v:path/>
                    <v:fill type="gradient" on="t" color2="fill lighten(0)" focus="100%" focussize="0f,0f" focusposition="0f,0f" method="linear sigma"/>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其他用水（-20）</w:t>
                          </w:r>
                        </w:p>
                      </w:txbxContent>
                    </v:textbox>
                  </v:shape>
                  <v:shape id="文本框 1100" o:spid="_x0000_s2111" o:spt="202" type="#_x0000_t202" style="position:absolute;left:8467;top:250757;height:380;width:783;" fillcolor="#FFFFFF" filled="t" stroked="f" coordsize="21600,21600">
                    <v:path/>
                    <v:fill type="gradient" on="t" color2="fill lighten(0)" focus="100%" focussize="0f,0f" focusposition="0f,0f" method="linear sigma"/>
                    <v:stroke on="f"/>
                    <v:imagedata o:title=""/>
                    <o:lock v:ext="edit" aspectratio="f"/>
                    <v:textbox>
                      <w:txbxContent>
                        <w:p>
                          <w:pPr>
                            <w:rPr>
                              <w:rFonts w:hint="eastAsia" w:eastAsia="宋体"/>
                              <w:sz w:val="21"/>
                              <w:szCs w:val="21"/>
                              <w:lang w:val="en-US" w:eastAsia="zh-CN"/>
                            </w:rPr>
                          </w:pPr>
                          <w:r>
                            <w:rPr>
                              <w:rFonts w:hint="eastAsia"/>
                              <w:sz w:val="21"/>
                              <w:szCs w:val="21"/>
                              <w:lang w:val="en-US" w:eastAsia="zh-CN"/>
                            </w:rPr>
                            <w:t>20</w:t>
                          </w:r>
                        </w:p>
                      </w:txbxContent>
                    </v:textbox>
                  </v:shape>
                  <v:shape id="文本框 1101" o:spid="_x0000_s2112" o:spt="202" type="#_x0000_t202" style="position:absolute;left:8494;top:249595;height:380;width:783;" fillcolor="#FFFFFF" filled="t" stroked="f" coordsize="21600,21600">
                    <v:path/>
                    <v:fill type="gradient" on="t" color2="fill lighten(0)" focus="100%" focussize="0f,0f" focusposition="0f,0f" method="linear sigma"/>
                    <v:stroke on="f"/>
                    <v:imagedata o:title=""/>
                    <o:lock v:ext="edit" aspectratio="f"/>
                    <v:textbox>
                      <w:txbxContent>
                        <w:p>
                          <w:pPr>
                            <w:rPr>
                              <w:rFonts w:hint="eastAsia" w:eastAsia="宋体"/>
                              <w:sz w:val="21"/>
                              <w:szCs w:val="21"/>
                              <w:lang w:val="en-US" w:eastAsia="zh-CN"/>
                            </w:rPr>
                          </w:pPr>
                          <w:r>
                            <w:rPr>
                              <w:rFonts w:hint="eastAsia"/>
                              <w:sz w:val="21"/>
                              <w:szCs w:val="21"/>
                              <w:lang w:val="en-US" w:eastAsia="zh-CN"/>
                            </w:rPr>
                            <w:t>19.2</w:t>
                          </w:r>
                        </w:p>
                      </w:txbxContent>
                    </v:textbox>
                  </v:shape>
                  <v:shape id="文本框 1102" o:spid="_x0000_s2113" o:spt="202" type="#_x0000_t202" style="position:absolute;left:11079;top:251201;height:380;width:970;" fillcolor="#FFFFFF" filled="t" stroked="f" coordsize="21600,21600">
                    <v:path/>
                    <v:fill type="gradient" on="t" color2="fill lighten(0)" focus="100%" focussize="0f,0f" focusposition="0f,0f" method="linear sigma"/>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1444.2</w:t>
                          </w:r>
                        </w:p>
                      </w:txbxContent>
                    </v:textbox>
                  </v:shape>
                  <v:shape id="文本框 1103" o:spid="_x0000_s2114" o:spt="202" type="#_x0000_t202" style="position:absolute;left:11500;top:251813;height:504;width:1119;" fillcolor="#FFFFFF" filled="t" stroked="f" coordsize="21600,21600">
                    <v:path/>
                    <v:fill type="gradient" on="t" color2="fill lighten(0)" focus="100%" focussize="0f,0f" focusposition="0f,0f" method="linear sigma"/>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sz w:val="21"/>
                              <w:szCs w:val="21"/>
                              <w:lang w:val="en-US" w:eastAsia="zh-CN"/>
                            </w:rPr>
                          </w:pPr>
                          <w:r>
                            <w:rPr>
                              <w:rFonts w:hint="eastAsia"/>
                              <w:sz w:val="21"/>
                              <w:szCs w:val="21"/>
                              <w:lang w:val="en-US" w:eastAsia="zh-CN"/>
                            </w:rPr>
                            <w:t>九支渠</w:t>
                          </w:r>
                        </w:p>
                      </w:txbxContent>
                    </v:textbox>
                  </v:shape>
                  <v:shape id="自选图形 1104" o:spid="_x0000_s2115" o:spt="32" type="#_x0000_t32" style="position:absolute;left:8153;top:241807;height:1;width:3986;" filled="f" stroked="t" coordsize="21600,21600">
                    <v:path arrowok="t"/>
                    <v:fill on="f" focussize="0,0"/>
                    <v:stroke color="#000000" endarrow="block"/>
                    <v:imagedata o:title=""/>
                    <o:lock v:ext="edit" aspectratio="f"/>
                  </v:shape>
                </v:group>
              </w:pict>
            </w: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rPr>
                <w:rFonts w:hint="default" w:ascii="Times New Roman" w:hAnsi="Times New Roman" w:eastAsia="宋体" w:cs="Times New Roman"/>
                <w:color w:val="auto"/>
                <w:sz w:val="24"/>
                <w:szCs w:val="24"/>
                <w:highlight w:val="none"/>
              </w:rPr>
            </w:pPr>
          </w:p>
          <w:p>
            <w:pPr>
              <w:pStyle w:val="2"/>
              <w:ind w:left="0" w:leftChars="0" w:firstLine="0" w:firstLineChars="0"/>
              <w:rPr>
                <w:rFonts w:hint="default" w:ascii="Times New Roman" w:hAnsi="Times New Roman" w:eastAsia="宋体" w:cs="Times New Roman"/>
                <w:color w:val="auto"/>
                <w:sz w:val="24"/>
                <w:szCs w:val="24"/>
                <w:highlight w:val="none"/>
              </w:rPr>
            </w:pPr>
          </w:p>
          <w:p>
            <w:pPr>
              <w:spacing w:line="360" w:lineRule="auto"/>
              <w:jc w:val="center"/>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sz w:val="24"/>
                <w:szCs w:val="24"/>
              </w:rPr>
              <w:t>图</w:t>
            </w:r>
            <w:r>
              <w:rPr>
                <w:rFonts w:hint="default" w:ascii="Times New Roman" w:hAnsi="Times New Roman" w:eastAsia="宋体" w:cs="Times New Roman"/>
                <w:b/>
                <w:bCs w:val="0"/>
                <w:color w:val="auto"/>
                <w:sz w:val="24"/>
                <w:szCs w:val="24"/>
                <w:lang w:val="en-US" w:eastAsia="zh-CN"/>
              </w:rPr>
              <w:t>1</w:t>
            </w:r>
            <w:r>
              <w:rPr>
                <w:rFonts w:hint="default" w:ascii="Times New Roman" w:hAnsi="Times New Roman" w:eastAsia="宋体" w:cs="Times New Roman"/>
                <w:b/>
                <w:bCs w:val="0"/>
                <w:color w:val="auto"/>
                <w:sz w:val="24"/>
                <w:szCs w:val="24"/>
              </w:rPr>
              <w:t xml:space="preserve">  </w:t>
            </w:r>
            <w:r>
              <w:rPr>
                <w:rFonts w:hint="default" w:ascii="Times New Roman" w:hAnsi="Times New Roman" w:eastAsia="宋体" w:cs="Times New Roman"/>
                <w:b/>
                <w:bCs w:val="0"/>
                <w:color w:val="auto"/>
                <w:sz w:val="24"/>
                <w:szCs w:val="24"/>
                <w:lang w:eastAsia="zh-CN"/>
              </w:rPr>
              <w:t>现有</w:t>
            </w:r>
            <w:r>
              <w:rPr>
                <w:rFonts w:hint="default" w:ascii="Times New Roman" w:hAnsi="Times New Roman" w:eastAsia="宋体" w:cs="Times New Roman"/>
                <w:b/>
                <w:bCs w:val="0"/>
                <w:color w:val="auto"/>
                <w:sz w:val="24"/>
                <w:szCs w:val="24"/>
              </w:rPr>
              <w:t>项目水平衡图   单位m</w:t>
            </w:r>
            <w:r>
              <w:rPr>
                <w:rFonts w:hint="default" w:ascii="Times New Roman" w:hAnsi="Times New Roman" w:eastAsia="宋体" w:cs="Times New Roman"/>
                <w:b/>
                <w:bCs w:val="0"/>
                <w:color w:val="auto"/>
                <w:sz w:val="24"/>
                <w:szCs w:val="24"/>
                <w:vertAlign w:val="superscript"/>
              </w:rPr>
              <w:t>3</w:t>
            </w:r>
            <w:r>
              <w:rPr>
                <w:rFonts w:hint="default" w:ascii="Times New Roman" w:hAnsi="Times New Roman" w:eastAsia="宋体" w:cs="Times New Roman"/>
                <w:b/>
                <w:bCs w:val="0"/>
                <w:color w:val="auto"/>
                <w:sz w:val="24"/>
                <w:szCs w:val="24"/>
              </w:rPr>
              <w:t>/d</w:t>
            </w:r>
          </w:p>
          <w:p>
            <w:pPr>
              <w:pStyle w:val="128"/>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（10）供热、制冷</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供热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本项目用蒸汽由厂区内设置的2套蒸汽锅炉提供，通过管廊联通至工厂换热站和车间用汽点位置，换热站采用1000kW换热机组。</w:t>
            </w:r>
            <w:r>
              <w:rPr>
                <w:rFonts w:hint="default" w:ascii="Times New Roman" w:hAnsi="Times New Roman" w:eastAsia="宋体" w:cs="Times New Roman"/>
                <w:color w:val="auto"/>
                <w:sz w:val="24"/>
                <w:szCs w:val="24"/>
                <w:highlight w:val="none"/>
                <w:lang w:eastAsia="zh-CN"/>
              </w:rPr>
              <w:t>天然气由燃气公司专线接入</w:t>
            </w:r>
            <w:r>
              <w:rPr>
                <w:rFonts w:hint="default" w:ascii="Times New Roman" w:hAnsi="Times New Roman" w:eastAsia="宋体" w:cs="Times New Roman"/>
                <w:color w:val="auto"/>
                <w:sz w:val="24"/>
                <w:szCs w:val="24"/>
                <w:highlight w:val="none"/>
              </w:rPr>
              <w:t>。</w:t>
            </w:r>
          </w:p>
          <w:p>
            <w:pPr>
              <w:pStyle w:val="128"/>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制冷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本项目设有1个冷库，</w:t>
            </w:r>
            <w:r>
              <w:rPr>
                <w:rFonts w:hint="default" w:ascii="Times New Roman" w:hAnsi="Times New Roman" w:eastAsia="宋体" w:cs="Times New Roman"/>
                <w:color w:val="auto"/>
                <w:sz w:val="24"/>
                <w:highlight w:val="none"/>
              </w:rPr>
              <w:t>用于存放需低温储存的原材料。</w:t>
            </w:r>
          </w:p>
          <w:p>
            <w:pPr>
              <w:pStyle w:val="128"/>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（11）供电</w:t>
            </w:r>
          </w:p>
          <w:p>
            <w:pPr>
              <w:pStyle w:val="128"/>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项目用电由附近电网接入，</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设有</w:t>
            </w:r>
            <w:r>
              <w:rPr>
                <w:rFonts w:hint="default" w:ascii="Times New Roman" w:hAnsi="Times New Roman" w:eastAsia="宋体" w:cs="Times New Roman"/>
                <w:color w:val="auto"/>
                <w:sz w:val="24"/>
                <w:szCs w:val="24"/>
                <w:highlight w:val="none"/>
              </w:rPr>
              <w:t>3台2000kVA变压器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电量、电压可满足本项目用电需求。</w:t>
            </w:r>
          </w:p>
          <w:p>
            <w:pPr>
              <w:keepNext w:val="0"/>
              <w:keepLines w:val="0"/>
              <w:pageBreakBefore w:val="0"/>
              <w:kinsoku/>
              <w:wordWrap/>
              <w:overflowPunct/>
              <w:topLinePunct w:val="0"/>
              <w:autoSpaceDE/>
              <w:autoSpaceDN/>
              <w:bidi w:val="0"/>
              <w:adjustRightInd/>
              <w:snapToGrid/>
              <w:spacing w:line="360" w:lineRule="auto"/>
              <w:ind w:firstLine="474" w:firstLineChars="200"/>
              <w:contextualSpacing/>
              <w:jc w:val="left"/>
              <w:rPr>
                <w:b/>
                <w:bCs/>
                <w:spacing w:val="-2"/>
                <w:sz w:val="24"/>
                <w:szCs w:val="24"/>
              </w:rPr>
            </w:pPr>
            <w:r>
              <w:rPr>
                <w:b/>
                <w:bCs/>
                <w:spacing w:val="-2"/>
                <w:sz w:val="24"/>
                <w:szCs w:val="24"/>
              </w:rPr>
              <w:t>二、</w:t>
            </w:r>
            <w:r>
              <w:rPr>
                <w:rFonts w:hint="eastAsia"/>
                <w:b/>
                <w:bCs/>
                <w:spacing w:val="-2"/>
                <w:sz w:val="24"/>
                <w:szCs w:val="24"/>
              </w:rPr>
              <w:t>技改</w:t>
            </w:r>
            <w:r>
              <w:rPr>
                <w:b/>
                <w:bCs/>
                <w:spacing w:val="-2"/>
                <w:sz w:val="24"/>
                <w:szCs w:val="24"/>
              </w:rPr>
              <w:t>工程概况</w:t>
            </w:r>
          </w:p>
          <w:p>
            <w:pPr>
              <w:keepNext w:val="0"/>
              <w:keepLines w:val="0"/>
              <w:pageBreakBefore w:val="0"/>
              <w:kinsoku/>
              <w:wordWrap/>
              <w:overflowPunct/>
              <w:topLinePunct w:val="0"/>
              <w:autoSpaceDE/>
              <w:autoSpaceDN/>
              <w:bidi w:val="0"/>
              <w:adjustRightInd/>
              <w:snapToGrid/>
              <w:spacing w:line="360" w:lineRule="auto"/>
              <w:ind w:firstLine="482" w:firstLineChars="200"/>
              <w:rPr>
                <w:b/>
                <w:kern w:val="0"/>
                <w:sz w:val="24"/>
                <w:szCs w:val="24"/>
              </w:rPr>
            </w:pPr>
            <w:r>
              <w:rPr>
                <w:b/>
                <w:kern w:val="0"/>
                <w:sz w:val="24"/>
                <w:szCs w:val="24"/>
              </w:rPr>
              <w:t>1、项目基本情况</w:t>
            </w:r>
          </w:p>
          <w:p>
            <w:pPr>
              <w:keepNext w:val="0"/>
              <w:keepLines w:val="0"/>
              <w:pageBreakBefore w:val="0"/>
              <w:kinsoku/>
              <w:wordWrap/>
              <w:overflowPunct/>
              <w:topLinePunct w:val="0"/>
              <w:autoSpaceDE/>
              <w:autoSpaceDN/>
              <w:bidi w:val="0"/>
              <w:adjustRightInd/>
              <w:snapToGrid/>
              <w:spacing w:line="360" w:lineRule="auto"/>
              <w:ind w:firstLine="480" w:firstLineChars="200"/>
              <w:rPr>
                <w:kern w:val="0"/>
                <w:sz w:val="24"/>
                <w:szCs w:val="24"/>
              </w:rPr>
            </w:pPr>
            <w:r>
              <w:rPr>
                <w:kern w:val="0"/>
                <w:sz w:val="24"/>
                <w:szCs w:val="24"/>
              </w:rPr>
              <w:t>（1）项目名称：</w:t>
            </w:r>
            <w:r>
              <w:rPr>
                <w:rFonts w:hint="eastAsia"/>
                <w:sz w:val="24"/>
                <w:szCs w:val="24"/>
                <w:lang w:eastAsia="zh-CN"/>
              </w:rPr>
              <w:t>威县乐牛乳业有限公司厂区配套设施污水处理站提标改造项目</w:t>
            </w:r>
            <w:r>
              <w:rPr>
                <w:kern w:val="0"/>
                <w:sz w:val="24"/>
                <w:szCs w:val="24"/>
              </w:rPr>
              <w:t>；</w:t>
            </w:r>
          </w:p>
          <w:p>
            <w:pPr>
              <w:keepNext w:val="0"/>
              <w:keepLines w:val="0"/>
              <w:pageBreakBefore w:val="0"/>
              <w:kinsoku/>
              <w:wordWrap/>
              <w:overflowPunct/>
              <w:topLinePunct w:val="0"/>
              <w:autoSpaceDE/>
              <w:autoSpaceDN/>
              <w:bidi w:val="0"/>
              <w:adjustRightInd/>
              <w:snapToGrid/>
              <w:spacing w:line="360" w:lineRule="auto"/>
              <w:ind w:firstLine="480" w:firstLineChars="200"/>
              <w:rPr>
                <w:kern w:val="0"/>
                <w:sz w:val="24"/>
                <w:szCs w:val="24"/>
              </w:rPr>
            </w:pPr>
            <w:r>
              <w:rPr>
                <w:kern w:val="0"/>
                <w:sz w:val="24"/>
                <w:szCs w:val="24"/>
              </w:rPr>
              <w:t>（2）建设性质：</w:t>
            </w:r>
            <w:r>
              <w:rPr>
                <w:rFonts w:hint="eastAsia"/>
                <w:kern w:val="0"/>
                <w:sz w:val="24"/>
                <w:szCs w:val="24"/>
              </w:rPr>
              <w:t>技改</w:t>
            </w:r>
            <w:r>
              <w:rPr>
                <w:kern w:val="0"/>
                <w:sz w:val="24"/>
                <w:szCs w:val="24"/>
              </w:rPr>
              <w:t>；</w:t>
            </w:r>
          </w:p>
          <w:p>
            <w:pPr>
              <w:keepNext w:val="0"/>
              <w:keepLines w:val="0"/>
              <w:pageBreakBefore w:val="0"/>
              <w:kinsoku/>
              <w:wordWrap/>
              <w:overflowPunct/>
              <w:topLinePunct w:val="0"/>
              <w:autoSpaceDE/>
              <w:autoSpaceDN/>
              <w:bidi w:val="0"/>
              <w:adjustRightInd/>
              <w:snapToGrid/>
              <w:spacing w:line="360" w:lineRule="auto"/>
              <w:ind w:firstLine="480" w:firstLineChars="200"/>
              <w:rPr>
                <w:kern w:val="0"/>
                <w:sz w:val="24"/>
                <w:szCs w:val="24"/>
              </w:rPr>
            </w:pPr>
            <w:r>
              <w:rPr>
                <w:kern w:val="0"/>
                <w:sz w:val="24"/>
                <w:szCs w:val="24"/>
              </w:rPr>
              <w:t>（3）建设单位：</w:t>
            </w:r>
            <w:r>
              <w:rPr>
                <w:rFonts w:hint="eastAsia"/>
                <w:sz w:val="24"/>
                <w:szCs w:val="24"/>
                <w:lang w:eastAsia="zh-CN"/>
              </w:rPr>
              <w:t>威县乐牛乳业有限公司</w:t>
            </w:r>
            <w:r>
              <w:rPr>
                <w:kern w:val="0"/>
                <w:sz w:val="24"/>
                <w:szCs w:val="24"/>
              </w:rPr>
              <w:t>；</w:t>
            </w:r>
          </w:p>
          <w:p>
            <w:pPr>
              <w:keepNext w:val="0"/>
              <w:keepLines w:val="0"/>
              <w:pageBreakBefore w:val="0"/>
              <w:kinsoku/>
              <w:wordWrap/>
              <w:overflowPunct/>
              <w:topLinePunct w:val="0"/>
              <w:autoSpaceDE/>
              <w:autoSpaceDN/>
              <w:bidi w:val="0"/>
              <w:adjustRightInd/>
              <w:snapToGrid/>
              <w:spacing w:line="360" w:lineRule="auto"/>
              <w:ind w:firstLine="480" w:firstLineChars="200"/>
              <w:rPr>
                <w:kern w:val="0"/>
                <w:sz w:val="24"/>
                <w:szCs w:val="24"/>
              </w:rPr>
            </w:pPr>
            <w:r>
              <w:rPr>
                <w:kern w:val="0"/>
                <w:sz w:val="24"/>
                <w:szCs w:val="24"/>
              </w:rPr>
              <w:t>（4）项目投资：</w:t>
            </w:r>
            <w:r>
              <w:rPr>
                <w:rFonts w:hint="eastAsia"/>
                <w:kern w:val="0"/>
                <w:sz w:val="24"/>
                <w:szCs w:val="24"/>
              </w:rPr>
              <w:t>技改</w:t>
            </w:r>
            <w:r>
              <w:rPr>
                <w:kern w:val="0"/>
                <w:sz w:val="24"/>
                <w:szCs w:val="24"/>
              </w:rPr>
              <w:t>项目总投资</w:t>
            </w:r>
            <w:r>
              <w:rPr>
                <w:rFonts w:hint="eastAsia"/>
                <w:sz w:val="24"/>
                <w:szCs w:val="24"/>
                <w:lang w:val="en-US" w:eastAsia="zh-CN"/>
              </w:rPr>
              <w:t>50</w:t>
            </w:r>
            <w:r>
              <w:rPr>
                <w:kern w:val="0"/>
                <w:sz w:val="24"/>
                <w:szCs w:val="24"/>
              </w:rPr>
              <w:t>万元，其中环保投资为</w:t>
            </w:r>
            <w:r>
              <w:rPr>
                <w:rFonts w:hint="eastAsia"/>
                <w:kern w:val="0"/>
                <w:sz w:val="24"/>
                <w:szCs w:val="24"/>
                <w:lang w:val="en-US" w:eastAsia="zh-CN"/>
              </w:rPr>
              <w:t>5</w:t>
            </w:r>
            <w:r>
              <w:rPr>
                <w:rFonts w:hint="eastAsia"/>
                <w:sz w:val="24"/>
                <w:szCs w:val="24"/>
                <w:lang w:val="en-US" w:eastAsia="zh-CN"/>
              </w:rPr>
              <w:t>0</w:t>
            </w:r>
            <w:r>
              <w:rPr>
                <w:kern w:val="0"/>
                <w:sz w:val="24"/>
                <w:szCs w:val="24"/>
              </w:rPr>
              <w:t>万元，环保投资占总投资比例为100%。</w:t>
            </w:r>
          </w:p>
          <w:p>
            <w:pPr>
              <w:pStyle w:val="128"/>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yellow"/>
              </w:rPr>
            </w:pPr>
            <w:r>
              <w:rPr>
                <w:kern w:val="0"/>
                <w:sz w:val="24"/>
                <w:szCs w:val="24"/>
              </w:rPr>
              <w:t>（5）建设地点：</w:t>
            </w:r>
            <w:r>
              <w:rPr>
                <w:rFonts w:hint="default" w:ascii="Times New Roman" w:hAnsi="Times New Roman" w:eastAsia="宋体" w:cs="Times New Roman"/>
                <w:color w:val="auto"/>
                <w:sz w:val="24"/>
                <w:szCs w:val="24"/>
              </w:rPr>
              <w:t>项目位于</w:t>
            </w:r>
            <w:r>
              <w:rPr>
                <w:rFonts w:hint="default" w:ascii="Times New Roman" w:hAnsi="Times New Roman" w:eastAsia="宋体" w:cs="Times New Roman"/>
                <w:color w:val="auto"/>
                <w:sz w:val="24"/>
                <w:szCs w:val="24"/>
                <w:lang w:eastAsia="zh-CN"/>
              </w:rPr>
              <w:t>河北省邢台市威县乳业园区迎宾大道6号，威县乐牛乳业有限公司厂内</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highlight w:val="none"/>
              </w:rPr>
              <w:t>厂址中心坐标</w:t>
            </w:r>
            <w:r>
              <w:rPr>
                <w:rFonts w:hint="default" w:ascii="Times New Roman" w:hAnsi="Times New Roman" w:eastAsia="宋体" w:cs="Times New Roman"/>
                <w:color w:val="auto"/>
                <w:sz w:val="24"/>
                <w:szCs w:val="24"/>
              </w:rPr>
              <w:t>为北纬37°</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46.92</w:t>
            </w:r>
            <w:r>
              <w:rPr>
                <w:rFonts w:hint="default" w:ascii="Times New Roman" w:hAnsi="Times New Roman" w:eastAsia="宋体" w:cs="Times New Roman"/>
                <w:color w:val="auto"/>
                <w:sz w:val="24"/>
                <w:szCs w:val="24"/>
              </w:rPr>
              <w:t>″、东经11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59.03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技改</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szCs w:val="24"/>
                <w:highlight w:val="none"/>
              </w:rPr>
              <w:t>南侧为</w:t>
            </w:r>
            <w:r>
              <w:rPr>
                <w:rFonts w:hint="default" w:ascii="Times New Roman" w:hAnsi="Times New Roman" w:eastAsia="宋体" w:cs="Times New Roman"/>
                <w:color w:val="auto"/>
                <w:sz w:val="24"/>
                <w:szCs w:val="24"/>
                <w:highlight w:val="none"/>
                <w:lang w:eastAsia="zh-CN"/>
              </w:rPr>
              <w:t>企业车间、东侧为企业闲置空地，西侧、北侧均为空地</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highlight w:val="none"/>
                <w:lang w:eastAsia="zh-CN"/>
              </w:rPr>
              <w:t>项目所在地西南</w:t>
            </w:r>
            <w:r>
              <w:rPr>
                <w:rFonts w:hint="default" w:ascii="Times New Roman" w:hAnsi="Times New Roman" w:eastAsia="宋体" w:cs="Times New Roman"/>
                <w:bCs/>
                <w:color w:val="auto"/>
                <w:sz w:val="24"/>
                <w:highlight w:val="none"/>
                <w:lang w:val="en-US" w:eastAsia="zh-CN"/>
              </w:rPr>
              <w:t>1560m处为后南寺庄村，西南1470m处为中南寺庄村，西南1510m处为前南寺庄村，东南1700m处为关吴村，东南1990m处为国吴村，东1900m处为薛吴村，北710m处为前寺庄村，北780m处为西寺庄村，北1090m处为东寺庄村，北1250m处为北寺庄村。</w:t>
            </w:r>
            <w:r>
              <w:rPr>
                <w:rFonts w:hint="default" w:ascii="Times New Roman" w:hAnsi="Times New Roman" w:eastAsia="宋体" w:cs="Times New Roman"/>
                <w:color w:val="auto"/>
                <w:sz w:val="24"/>
                <w:szCs w:val="24"/>
              </w:rPr>
              <w:t>项目地理位置图以及周边关系图分别见附图1和附图2。</w:t>
            </w:r>
          </w:p>
          <w:p>
            <w:pPr>
              <w:pStyle w:val="11"/>
              <w:keepNext w:val="0"/>
              <w:keepLines w:val="0"/>
              <w:pageBreakBefore w:val="0"/>
              <w:kinsoku/>
              <w:wordWrap/>
              <w:overflowPunct/>
              <w:topLinePunct w:val="0"/>
              <w:autoSpaceDE/>
              <w:autoSpaceDN/>
              <w:bidi w:val="0"/>
              <w:adjustRightInd/>
              <w:snapToGrid/>
              <w:spacing w:line="360" w:lineRule="auto"/>
              <w:ind w:right="105" w:rightChars="50" w:firstLine="480"/>
              <w:contextualSpacing/>
              <w:rPr>
                <w:sz w:val="24"/>
                <w:szCs w:val="24"/>
              </w:rPr>
            </w:pPr>
            <w:r>
              <w:rPr>
                <w:sz w:val="24"/>
                <w:szCs w:val="24"/>
              </w:rPr>
              <w:t>（</w:t>
            </w:r>
            <w:r>
              <w:rPr>
                <w:rFonts w:hint="eastAsia"/>
                <w:sz w:val="24"/>
                <w:szCs w:val="24"/>
                <w:lang w:val="en-US" w:eastAsia="zh-CN"/>
              </w:rPr>
              <w:t>6</w:t>
            </w:r>
            <w:r>
              <w:rPr>
                <w:sz w:val="24"/>
                <w:szCs w:val="24"/>
              </w:rPr>
              <w:t>）劳动定员：</w:t>
            </w:r>
            <w:r>
              <w:rPr>
                <w:rFonts w:hint="eastAsia"/>
                <w:sz w:val="24"/>
                <w:szCs w:val="24"/>
              </w:rPr>
              <w:t>技改后</w:t>
            </w:r>
            <w:r>
              <w:rPr>
                <w:sz w:val="24"/>
                <w:szCs w:val="24"/>
              </w:rPr>
              <w:t>全厂劳动</w:t>
            </w:r>
            <w:r>
              <w:rPr>
                <w:rFonts w:hint="eastAsia"/>
                <w:sz w:val="24"/>
                <w:szCs w:val="24"/>
              </w:rPr>
              <w:t>人员</w:t>
            </w:r>
            <w:r>
              <w:rPr>
                <w:rFonts w:hint="eastAsia"/>
                <w:sz w:val="24"/>
                <w:szCs w:val="24"/>
                <w:lang w:eastAsia="zh-CN"/>
              </w:rPr>
              <w:t>不发生变化</w:t>
            </w:r>
            <w:r>
              <w:rPr>
                <w:sz w:val="24"/>
                <w:szCs w:val="24"/>
              </w:rPr>
              <w:t>，</w:t>
            </w:r>
            <w:r>
              <w:rPr>
                <w:bCs/>
                <w:color w:val="000000"/>
                <w:spacing w:val="-2"/>
                <w:sz w:val="24"/>
                <w:szCs w:val="24"/>
              </w:rPr>
              <w:t>实行</w:t>
            </w:r>
            <w:r>
              <w:rPr>
                <w:rFonts w:hint="eastAsia"/>
                <w:bCs/>
                <w:color w:val="000000"/>
                <w:spacing w:val="-2"/>
                <w:sz w:val="24"/>
                <w:szCs w:val="24"/>
              </w:rPr>
              <w:t>24小时</w:t>
            </w:r>
            <w:r>
              <w:rPr>
                <w:bCs/>
                <w:color w:val="000000"/>
                <w:spacing w:val="-2"/>
                <w:sz w:val="24"/>
                <w:szCs w:val="24"/>
              </w:rPr>
              <w:t>365天</w:t>
            </w:r>
            <w:r>
              <w:rPr>
                <w:rFonts w:hint="eastAsia"/>
                <w:bCs/>
                <w:color w:val="000000"/>
                <w:spacing w:val="-2"/>
                <w:sz w:val="24"/>
                <w:szCs w:val="24"/>
              </w:rPr>
              <w:t>连续</w:t>
            </w:r>
            <w:r>
              <w:rPr>
                <w:bCs/>
                <w:color w:val="000000"/>
                <w:spacing w:val="-2"/>
                <w:sz w:val="24"/>
                <w:szCs w:val="24"/>
              </w:rPr>
              <w:t>工作。</w:t>
            </w:r>
          </w:p>
          <w:p>
            <w:pPr>
              <w:keepNext w:val="0"/>
              <w:keepLines w:val="0"/>
              <w:pageBreakBefore w:val="0"/>
              <w:kinsoku/>
              <w:wordWrap/>
              <w:overflowPunct/>
              <w:topLinePunct w:val="0"/>
              <w:autoSpaceDE/>
              <w:autoSpaceDN/>
              <w:bidi w:val="0"/>
              <w:adjustRightInd/>
              <w:snapToGrid/>
              <w:spacing w:line="360" w:lineRule="auto"/>
              <w:ind w:firstLine="482" w:firstLineChars="200"/>
              <w:contextualSpacing/>
              <w:textAlignment w:val="baseline"/>
              <w:rPr>
                <w:b/>
                <w:kern w:val="0"/>
                <w:sz w:val="24"/>
                <w:szCs w:val="24"/>
              </w:rPr>
            </w:pPr>
            <w:r>
              <w:rPr>
                <w:b/>
                <w:kern w:val="0"/>
                <w:sz w:val="24"/>
                <w:szCs w:val="24"/>
              </w:rPr>
              <w:t>2、项目建设内容</w:t>
            </w:r>
          </w:p>
          <w:p>
            <w:pPr>
              <w:keepNext w:val="0"/>
              <w:keepLines w:val="0"/>
              <w:pageBreakBefore w:val="0"/>
              <w:kinsoku/>
              <w:wordWrap/>
              <w:overflowPunct/>
              <w:topLinePunct w:val="0"/>
              <w:autoSpaceDE/>
              <w:autoSpaceDN/>
              <w:bidi w:val="0"/>
              <w:adjustRightInd/>
              <w:snapToGrid/>
              <w:spacing w:line="360" w:lineRule="auto"/>
              <w:ind w:firstLine="480" w:firstLineChars="200"/>
              <w:contextualSpacing/>
              <w:rPr>
                <w:sz w:val="24"/>
                <w:szCs w:val="24"/>
              </w:rPr>
            </w:pPr>
            <w:r>
              <w:rPr>
                <w:rFonts w:hint="eastAsia"/>
                <w:sz w:val="24"/>
                <w:szCs w:val="24"/>
              </w:rPr>
              <w:t>本</w:t>
            </w:r>
            <w:r>
              <w:rPr>
                <w:sz w:val="24"/>
                <w:szCs w:val="24"/>
              </w:rPr>
              <w:t>技改项目</w:t>
            </w:r>
            <w:r>
              <w:rPr>
                <w:rFonts w:hint="eastAsia" w:ascii="Times New Roman" w:hAnsi="Times New Roman"/>
                <w:color w:val="auto"/>
                <w:sz w:val="24"/>
                <w:lang w:eastAsia="zh-CN"/>
              </w:rPr>
              <w:t>通过对厂区两套</w:t>
            </w:r>
            <w:r>
              <w:rPr>
                <w:rFonts w:hint="eastAsia" w:ascii="Times New Roman" w:hAnsi="Times New Roman"/>
                <w:color w:val="auto"/>
                <w:sz w:val="24"/>
                <w:lang w:val="en-US" w:eastAsia="zh-CN"/>
              </w:rPr>
              <w:t>1250m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/d处理规模的污水处理站采用加强硝化液回流降低总氮及增加除磷单元降低总磷的方式</w:t>
            </w:r>
            <w:r>
              <w:rPr>
                <w:rFonts w:hint="eastAsia" w:ascii="Times New Roman" w:hAnsi="Times New Roman"/>
                <w:color w:val="0000FF"/>
                <w:sz w:val="24"/>
                <w:lang w:val="en-US" w:eastAsia="zh-CN"/>
              </w:rPr>
              <w:t>，</w:t>
            </w:r>
            <w:r>
              <w:rPr>
                <w:rFonts w:hint="eastAsia" w:ascii="Times New Roman" w:hAnsi="Times New Roman"/>
                <w:color w:val="auto"/>
                <w:sz w:val="24"/>
                <w:lang w:val="en-US" w:eastAsia="zh-CN"/>
              </w:rPr>
              <w:t>对其进行提标改造</w:t>
            </w:r>
            <w:r>
              <w:rPr>
                <w:rFonts w:hint="eastAsia"/>
                <w:color w:val="auto"/>
                <w:sz w:val="24"/>
                <w:lang w:val="en-US" w:eastAsia="zh-CN"/>
              </w:rPr>
              <w:t>。</w:t>
            </w:r>
            <w:r>
              <w:rPr>
                <w:rFonts w:hint="eastAsia"/>
                <w:sz w:val="24"/>
                <w:szCs w:val="24"/>
                <w:lang w:eastAsia="zh-CN"/>
              </w:rPr>
              <w:t>其他内容不发生变化</w:t>
            </w:r>
            <w:r>
              <w:rPr>
                <w:rFonts w:hint="eastAsia"/>
                <w:sz w:val="24"/>
                <w:szCs w:val="24"/>
              </w:rPr>
              <w:t>，</w:t>
            </w:r>
            <w:r>
              <w:rPr>
                <w:rFonts w:hint="eastAsia"/>
                <w:sz w:val="24"/>
                <w:szCs w:val="24"/>
                <w:lang w:eastAsia="zh-CN"/>
              </w:rPr>
              <w:t>项目</w:t>
            </w:r>
            <w:r>
              <w:rPr>
                <w:rFonts w:hint="eastAsia"/>
                <w:sz w:val="24"/>
                <w:szCs w:val="24"/>
              </w:rPr>
              <w:t>不</w:t>
            </w:r>
            <w:r>
              <w:rPr>
                <w:sz w:val="24"/>
                <w:szCs w:val="24"/>
              </w:rPr>
              <w:t>新增占地，</w:t>
            </w:r>
            <w:r>
              <w:rPr>
                <w:rFonts w:hint="eastAsia"/>
                <w:sz w:val="24"/>
                <w:szCs w:val="24"/>
                <w:lang w:val="en-US" w:eastAsia="zh-CN"/>
              </w:rPr>
              <w:t>产品种类及产能均不发生变化</w:t>
            </w:r>
            <w:r>
              <w:rPr>
                <w:rFonts w:hint="eastAsia"/>
                <w:sz w:val="24"/>
                <w:szCs w:val="24"/>
              </w:rPr>
              <w:t>。</w:t>
            </w:r>
          </w:p>
          <w:p>
            <w:pPr>
              <w:keepNext w:val="0"/>
              <w:keepLines w:val="0"/>
              <w:pageBreakBefore w:val="0"/>
              <w:kinsoku/>
              <w:wordWrap/>
              <w:overflowPunct/>
              <w:topLinePunct w:val="0"/>
              <w:autoSpaceDE/>
              <w:autoSpaceDN/>
              <w:bidi w:val="0"/>
              <w:adjustRightInd/>
              <w:snapToGrid/>
              <w:spacing w:line="360" w:lineRule="auto"/>
              <w:ind w:firstLine="480" w:firstLineChars="200"/>
              <w:contextualSpacing/>
              <w:rPr>
                <w:rFonts w:hint="eastAsia" w:eastAsia="宋体"/>
                <w:sz w:val="24"/>
                <w:szCs w:val="24"/>
                <w:lang w:eastAsia="zh-CN"/>
              </w:rPr>
            </w:pPr>
            <w:r>
              <w:rPr>
                <w:rFonts w:hint="eastAsia"/>
                <w:sz w:val="24"/>
                <w:szCs w:val="24"/>
                <w:lang w:val="en-US" w:eastAsia="zh-CN"/>
              </w:rPr>
              <w:t>主要技改内容如下：</w:t>
            </w:r>
            <w:r>
              <w:rPr>
                <w:rFonts w:hint="eastAsia"/>
                <w:sz w:val="24"/>
                <w:szCs w:val="24"/>
                <w:lang w:val="en-US" w:eastAsia="zh-CN"/>
              </w:rPr>
              <w:fldChar w:fldCharType="begin"/>
            </w:r>
            <w:r>
              <w:rPr>
                <w:rFonts w:hint="eastAsia"/>
                <w:sz w:val="24"/>
                <w:szCs w:val="24"/>
                <w:lang w:val="en-US" w:eastAsia="zh-CN"/>
              </w:rPr>
              <w:instrText xml:space="preserve"> = 1 \* GB3 \* MERGEFORMAT </w:instrText>
            </w:r>
            <w:r>
              <w:rPr>
                <w:rFonts w:hint="eastAsia"/>
                <w:sz w:val="24"/>
                <w:szCs w:val="24"/>
                <w:lang w:val="en-US" w:eastAsia="zh-CN"/>
              </w:rPr>
              <w:fldChar w:fldCharType="separate"/>
            </w:r>
            <w:r>
              <w:rPr>
                <w:rFonts w:hint="eastAsia"/>
                <w:sz w:val="24"/>
                <w:szCs w:val="24"/>
              </w:rPr>
              <w:t>①</w:t>
            </w:r>
            <w:r>
              <w:rPr>
                <w:rFonts w:hint="eastAsia"/>
                <w:sz w:val="24"/>
                <w:szCs w:val="24"/>
                <w:lang w:val="en-US" w:eastAsia="zh-CN"/>
              </w:rPr>
              <w:fldChar w:fldCharType="end"/>
            </w:r>
            <w:r>
              <w:rPr>
                <w:rFonts w:hint="eastAsia"/>
                <w:sz w:val="24"/>
                <w:szCs w:val="24"/>
              </w:rPr>
              <w:t>调节池增设PH调节加药装置（酸和碱加药装置各1套）；调节池和水解酸化池内各设2套PH在线检测仪；调节池内增设两台潜水搅拌机，配合原曝气搅拌装置，使原水进行充分混合搅拌均匀，防止沉积；通过PH在线检测仪检测值控制酸碱加药泵的启停，加药期间潜水搅拌机和曝气装置同时开启；</w:t>
            </w:r>
            <w:r>
              <w:rPr>
                <w:rFonts w:hint="eastAsia"/>
                <w:sz w:val="24"/>
                <w:szCs w:val="24"/>
              </w:rPr>
              <w:fldChar w:fldCharType="begin"/>
            </w:r>
            <w:r>
              <w:rPr>
                <w:rFonts w:hint="eastAsia"/>
                <w:sz w:val="24"/>
                <w:szCs w:val="24"/>
              </w:rPr>
              <w:instrText xml:space="preserve"> = 2 \* GB3 \* MERGEFORMAT </w:instrText>
            </w:r>
            <w:r>
              <w:rPr>
                <w:rFonts w:hint="eastAsia"/>
                <w:sz w:val="24"/>
                <w:szCs w:val="24"/>
              </w:rPr>
              <w:fldChar w:fldCharType="separate"/>
            </w:r>
            <w:r>
              <w:rPr>
                <w:rFonts w:hint="eastAsia"/>
                <w:sz w:val="24"/>
                <w:szCs w:val="24"/>
              </w:rPr>
              <w:t>②</w:t>
            </w:r>
            <w:r>
              <w:rPr>
                <w:rFonts w:hint="eastAsia"/>
                <w:sz w:val="24"/>
                <w:szCs w:val="24"/>
              </w:rPr>
              <w:fldChar w:fldCharType="end"/>
            </w:r>
            <w:r>
              <w:rPr>
                <w:rFonts w:hint="eastAsia"/>
                <w:sz w:val="24"/>
                <w:szCs w:val="24"/>
              </w:rPr>
              <w:t>好氧池增设2台在线DO检测溶氧仪，与风机变频联动控制；</w:t>
            </w:r>
            <w:r>
              <w:rPr>
                <w:rFonts w:hint="eastAsia"/>
                <w:sz w:val="24"/>
                <w:szCs w:val="24"/>
              </w:rPr>
              <w:fldChar w:fldCharType="begin"/>
            </w:r>
            <w:r>
              <w:rPr>
                <w:rFonts w:hint="eastAsia"/>
                <w:sz w:val="24"/>
                <w:szCs w:val="24"/>
              </w:rPr>
              <w:instrText xml:space="preserve"> = 3 \* GB3 \* MERGEFORMAT </w:instrText>
            </w:r>
            <w:r>
              <w:rPr>
                <w:rFonts w:hint="eastAsia"/>
                <w:sz w:val="24"/>
                <w:szCs w:val="24"/>
              </w:rPr>
              <w:fldChar w:fldCharType="separate"/>
            </w:r>
            <w:r>
              <w:rPr>
                <w:rFonts w:hint="eastAsia"/>
                <w:sz w:val="24"/>
                <w:szCs w:val="24"/>
              </w:rPr>
              <w:t>③</w:t>
            </w:r>
            <w:r>
              <w:rPr>
                <w:rFonts w:hint="eastAsia"/>
                <w:sz w:val="24"/>
                <w:szCs w:val="24"/>
              </w:rPr>
              <w:fldChar w:fldCharType="end"/>
            </w:r>
            <w:r>
              <w:rPr>
                <w:rFonts w:hint="eastAsia"/>
                <w:sz w:val="24"/>
                <w:szCs w:val="24"/>
              </w:rPr>
              <w:t>增设好氧池硝化液回流泵，更有效的起到脱氮功能；</w:t>
            </w:r>
            <w:r>
              <w:rPr>
                <w:rFonts w:hint="eastAsia"/>
                <w:sz w:val="24"/>
                <w:szCs w:val="24"/>
              </w:rPr>
              <w:fldChar w:fldCharType="begin"/>
            </w:r>
            <w:r>
              <w:rPr>
                <w:rFonts w:hint="eastAsia"/>
                <w:sz w:val="24"/>
                <w:szCs w:val="24"/>
              </w:rPr>
              <w:instrText xml:space="preserve"> = 4 \* GB3 \* MERGEFORMAT </w:instrText>
            </w:r>
            <w:r>
              <w:rPr>
                <w:rFonts w:hint="eastAsia"/>
                <w:sz w:val="24"/>
                <w:szCs w:val="24"/>
              </w:rPr>
              <w:fldChar w:fldCharType="separate"/>
            </w:r>
            <w:r>
              <w:rPr>
                <w:rFonts w:hint="eastAsia"/>
                <w:sz w:val="24"/>
                <w:szCs w:val="24"/>
              </w:rPr>
              <w:t>④</w:t>
            </w:r>
            <w:r>
              <w:rPr>
                <w:rFonts w:hint="eastAsia"/>
                <w:sz w:val="24"/>
                <w:szCs w:val="24"/>
              </w:rPr>
              <w:fldChar w:fldCharType="end"/>
            </w:r>
            <w:r>
              <w:rPr>
                <w:rFonts w:hint="eastAsia"/>
                <w:sz w:val="24"/>
                <w:szCs w:val="24"/>
              </w:rPr>
              <w:t>原污水处理系统末端增设一套除磷气浮装置，配套增设提升泵、除磷加药装置、PAM-加药装置、粉末C加药装置</w:t>
            </w:r>
            <w:r>
              <w:rPr>
                <w:rFonts w:hint="eastAsia"/>
                <w:sz w:val="24"/>
                <w:szCs w:val="24"/>
                <w:lang w:eastAsia="zh-CN"/>
              </w:rPr>
              <w:t>。</w:t>
            </w:r>
          </w:p>
          <w:p>
            <w:pPr>
              <w:spacing w:line="360" w:lineRule="auto"/>
              <w:ind w:firstLine="482" w:firstLineChars="200"/>
              <w:contextualSpacing/>
              <w:textAlignment w:val="baseline"/>
              <w:rPr>
                <w:b/>
                <w:kern w:val="0"/>
                <w:sz w:val="24"/>
                <w:szCs w:val="24"/>
              </w:rPr>
            </w:pPr>
            <w:r>
              <w:rPr>
                <w:b/>
                <w:kern w:val="0"/>
                <w:sz w:val="24"/>
                <w:szCs w:val="24"/>
              </w:rPr>
              <w:t>3、主要生产设备</w:t>
            </w:r>
          </w:p>
          <w:p>
            <w:pPr>
              <w:spacing w:line="360" w:lineRule="auto"/>
              <w:ind w:firstLine="472" w:firstLineChars="200"/>
              <w:contextualSpacing/>
              <w:jc w:val="left"/>
              <w:rPr>
                <w:bCs/>
                <w:spacing w:val="-2"/>
                <w:sz w:val="24"/>
                <w:szCs w:val="24"/>
              </w:rPr>
            </w:pPr>
            <w:r>
              <w:rPr>
                <w:rFonts w:hint="eastAsia"/>
                <w:bCs/>
                <w:spacing w:val="-2"/>
                <w:sz w:val="24"/>
                <w:szCs w:val="24"/>
              </w:rPr>
              <w:t>技改</w:t>
            </w:r>
            <w:r>
              <w:rPr>
                <w:bCs/>
                <w:spacing w:val="-2"/>
                <w:sz w:val="24"/>
                <w:szCs w:val="24"/>
              </w:rPr>
              <w:t>项目主要设备见表7。</w:t>
            </w:r>
          </w:p>
          <w:p>
            <w:pPr>
              <w:pStyle w:val="88"/>
              <w:contextualSpacing/>
              <w:rPr>
                <w:sz w:val="24"/>
                <w:szCs w:val="24"/>
              </w:rPr>
            </w:pPr>
            <w:r>
              <w:rPr>
                <w:sz w:val="24"/>
                <w:szCs w:val="24"/>
              </w:rPr>
              <w:t xml:space="preserve">表7   </w:t>
            </w:r>
            <w:r>
              <w:rPr>
                <w:rFonts w:hint="eastAsia"/>
                <w:sz w:val="24"/>
                <w:szCs w:val="24"/>
              </w:rPr>
              <w:t>技改</w:t>
            </w:r>
            <w:r>
              <w:rPr>
                <w:sz w:val="24"/>
                <w:szCs w:val="24"/>
              </w:rPr>
              <w:t>项目主要设备</w:t>
            </w:r>
            <w:r>
              <w:rPr>
                <w:rFonts w:hint="eastAsia"/>
                <w:sz w:val="24"/>
                <w:szCs w:val="24"/>
              </w:rPr>
              <w:t>一览表</w:t>
            </w:r>
          </w:p>
          <w:tbl>
            <w:tblPr>
              <w:tblStyle w:val="47"/>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2226"/>
              <w:gridCol w:w="3415"/>
              <w:gridCol w:w="671"/>
              <w:gridCol w:w="662"/>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27" w:type="dxa"/>
                  <w:shd w:val="clear" w:color="auto" w:fill="auto"/>
                  <w:noWrap w:val="0"/>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序号</w:t>
                  </w:r>
                </w:p>
              </w:tc>
              <w:tc>
                <w:tcPr>
                  <w:tcW w:w="2226" w:type="dxa"/>
                  <w:shd w:val="clear" w:color="auto" w:fill="auto"/>
                  <w:noWrap w:val="0"/>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货物名称</w:t>
                  </w:r>
                </w:p>
              </w:tc>
              <w:tc>
                <w:tcPr>
                  <w:tcW w:w="3415" w:type="dxa"/>
                  <w:shd w:val="clear" w:color="auto" w:fill="auto"/>
                  <w:noWrap w:val="0"/>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主要规格</w:t>
                  </w:r>
                </w:p>
              </w:tc>
              <w:tc>
                <w:tcPr>
                  <w:tcW w:w="671" w:type="dxa"/>
                  <w:shd w:val="clear" w:color="auto" w:fill="auto"/>
                  <w:noWrap w:val="0"/>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单位</w:t>
                  </w:r>
                </w:p>
              </w:tc>
              <w:tc>
                <w:tcPr>
                  <w:tcW w:w="662" w:type="dxa"/>
                  <w:shd w:val="clear" w:color="auto" w:fill="auto"/>
                  <w:noWrap w:val="0"/>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数量</w:t>
                  </w:r>
                </w:p>
              </w:tc>
              <w:tc>
                <w:tcPr>
                  <w:tcW w:w="1158" w:type="dxa"/>
                  <w:shd w:val="clear" w:color="auto" w:fill="auto"/>
                  <w:noWrap w:val="0"/>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调节池潜水搅拌器</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φ400mm，N=4kw，防护等级IP68，SS316材质</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池深8m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硝化液回流泵</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150WQ150-10-7.5，Q=150m³/h,H=10m,N=7.5kw</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1158"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调节池在线PH检测仪</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测量范围：0～14，4～20mA信号输出，信号线长度10m/电源24V/带温度补偿</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水解酸化池在线PH检测仪</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测量范围：0～14，4～20mA信号输出，信号线长度10m/电源24V/带温度补偿</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好氧池DO溶氧仪</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0.01mg/L,0-20ppm</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清水池提升泵</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150WQ100-10-5.5，Q=85m³/h,H=10m,N=5.5kw</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清水池液位计</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超声波，0-8m，4～20mA信号输出</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除磷气浮池电磁流量计</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DN150，电源：220v，一体式，4-20mA信号，四氟内衬，316L电极</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9</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除磷气浮池</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Q=90m³/h</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restart"/>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含</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设备主体</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11500×3000×2800mm</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碳钢防腐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刮渣机</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P=0.75kw</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溶气罐</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φ800mm</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溶气水泵</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Q=40m³/h,H=38m,N=7.5kw</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空压机</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P=3kw</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搅拌机</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P=1.5kw，SS304</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集气罩</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配套底座、释放器、管阀件等</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FeCL3除磷加药装置</w:t>
                  </w:r>
                </w:p>
              </w:tc>
              <w:tc>
                <w:tcPr>
                  <w:tcW w:w="3415" w:type="dxa"/>
                  <w:shd w:val="clear" w:color="auto" w:fill="auto"/>
                  <w:noWrap w:val="0"/>
                  <w:vAlign w:val="center"/>
                </w:tcPr>
                <w:p>
                  <w:pPr>
                    <w:jc w:val="center"/>
                    <w:rPr>
                      <w:rFonts w:hint="default" w:ascii="Times New Roman" w:hAnsi="Times New Roman" w:cs="Times New Roman"/>
                      <w:color w:val="000000"/>
                      <w:szCs w:val="21"/>
                    </w:rPr>
                  </w:pP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restart"/>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含</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储药箱</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V=10m³，PE材质</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液位计</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超声波</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FeCL3加药计量泵</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Q=400L/h，H=5bar，P=0.37kw</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1158"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本体管阀件</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配套，UPVC</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11</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PAM-全自动加药装置</w:t>
                  </w:r>
                </w:p>
              </w:tc>
              <w:tc>
                <w:tcPr>
                  <w:tcW w:w="3415" w:type="dxa"/>
                  <w:shd w:val="clear" w:color="auto" w:fill="auto"/>
                  <w:noWrap w:val="0"/>
                  <w:vAlign w:val="center"/>
                </w:tcPr>
                <w:p>
                  <w:pPr>
                    <w:jc w:val="center"/>
                    <w:rPr>
                      <w:rFonts w:hint="default" w:ascii="Times New Roman" w:hAnsi="Times New Roman" w:cs="Times New Roman"/>
                      <w:color w:val="000000"/>
                      <w:szCs w:val="21"/>
                    </w:rPr>
                  </w:pP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restart"/>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含</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设备主箱体</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V=3m³，SS304</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干粉料斗</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配套，SS304，含料斗、螺旋输送器、电加热、振动器、料位计等</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搅拌机</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P=0.75kw，SS304</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液位计</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磁翻板，L1000mm</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PAM-加药计量泵</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Q=400L/h，H=5bar，P=0.37kw</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1158"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本体管阀件及操作平台</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配套，UPVC</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12</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酸加药装置</w:t>
                  </w:r>
                </w:p>
              </w:tc>
              <w:tc>
                <w:tcPr>
                  <w:tcW w:w="3415" w:type="dxa"/>
                  <w:shd w:val="clear" w:color="auto" w:fill="auto"/>
                  <w:noWrap w:val="0"/>
                  <w:vAlign w:val="center"/>
                </w:tcPr>
                <w:p>
                  <w:pPr>
                    <w:jc w:val="center"/>
                    <w:rPr>
                      <w:rFonts w:hint="default" w:ascii="Times New Roman" w:hAnsi="Times New Roman" w:cs="Times New Roman"/>
                      <w:color w:val="000000"/>
                      <w:szCs w:val="21"/>
                    </w:rPr>
                  </w:pP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restart"/>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含</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酸加药箱</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立式，V=2m³，PE</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加药泵</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磁力泵，Q=1m³/h，H=11m，P=0.37kw</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液位计</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磁翻板，L1500mm，PVC</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本体管阀件</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配套，PVC</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设备底座、加药平台</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配套，碳钢防腐</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13</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粉末C加药装置</w:t>
                  </w:r>
                </w:p>
              </w:tc>
              <w:tc>
                <w:tcPr>
                  <w:tcW w:w="3415" w:type="dxa"/>
                  <w:shd w:val="clear" w:color="auto" w:fill="auto"/>
                  <w:noWrap w:val="0"/>
                  <w:vAlign w:val="center"/>
                </w:tcPr>
                <w:p>
                  <w:pPr>
                    <w:jc w:val="center"/>
                    <w:rPr>
                      <w:rFonts w:hint="default" w:ascii="Times New Roman" w:hAnsi="Times New Roman" w:cs="Times New Roman"/>
                      <w:color w:val="000000"/>
                      <w:szCs w:val="21"/>
                    </w:rPr>
                  </w:pP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restart"/>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含</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加药箱</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立式，V=2m³，PE</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搅拌机</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P=1.5kw，SS304</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加药泵</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Q=400L/h，H=5bar，P=0.37kw</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1158"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液位计</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磁翻板，L1500mm，PVC</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本体管阀件</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配套，PVC</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设备底座、加药平台</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配套，碳钢防腐</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14</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NaOH加药装置</w:t>
                  </w:r>
                </w:p>
              </w:tc>
              <w:tc>
                <w:tcPr>
                  <w:tcW w:w="3415" w:type="dxa"/>
                  <w:shd w:val="clear" w:color="auto" w:fill="auto"/>
                  <w:noWrap w:val="0"/>
                  <w:vAlign w:val="center"/>
                </w:tcPr>
                <w:p>
                  <w:pPr>
                    <w:jc w:val="center"/>
                    <w:rPr>
                      <w:rFonts w:hint="default" w:ascii="Times New Roman" w:hAnsi="Times New Roman" w:cs="Times New Roman"/>
                      <w:color w:val="000000"/>
                      <w:szCs w:val="21"/>
                    </w:rPr>
                  </w:pP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restart"/>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含</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加药箱</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立式，V=2m³，SS304</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搅拌机</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P=1.5kw，SS304</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加药泵</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磁力泵，Q=1m³/h，H=11m，P=0.37kw</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液位计</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磁翻板，L1500mm，SS304</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台</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本体管阀件</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配套，SS304</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color w:val="000000"/>
                      <w:szCs w:val="21"/>
                    </w:rPr>
                  </w:pP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设备底座、加药平台</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配套，碳钢防腐</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15</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一期系统管阀件</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配套，满足工程需要</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16</w:t>
                  </w:r>
                </w:p>
              </w:tc>
              <w:tc>
                <w:tcPr>
                  <w:tcW w:w="2226"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一期电线电缆线管桥架等</w:t>
                  </w:r>
                </w:p>
              </w:tc>
              <w:tc>
                <w:tcPr>
                  <w:tcW w:w="3415"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配套，满足工程需要</w:t>
                  </w:r>
                </w:p>
              </w:tc>
              <w:tc>
                <w:tcPr>
                  <w:tcW w:w="671"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套</w:t>
                  </w:r>
                </w:p>
              </w:tc>
              <w:tc>
                <w:tcPr>
                  <w:tcW w:w="662" w:type="dxa"/>
                  <w:shd w:val="clear" w:color="auto" w:fill="auto"/>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58" w:type="dxa"/>
                  <w:shd w:val="clear" w:color="auto" w:fill="auto"/>
                  <w:noWrap w:val="0"/>
                  <w:vAlign w:val="center"/>
                </w:tcPr>
                <w:p>
                  <w:pPr>
                    <w:jc w:val="center"/>
                    <w:rPr>
                      <w:rFonts w:hint="default"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17</w:t>
                  </w:r>
                </w:p>
              </w:tc>
              <w:tc>
                <w:tcPr>
                  <w:tcW w:w="2226"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控制系统</w:t>
                  </w:r>
                </w:p>
              </w:tc>
              <w:tc>
                <w:tcPr>
                  <w:tcW w:w="3415" w:type="dxa"/>
                  <w:shd w:val="clear" w:color="auto" w:fill="auto"/>
                  <w:noWrap w:val="0"/>
                  <w:vAlign w:val="center"/>
                </w:tcPr>
                <w:p>
                  <w:pPr>
                    <w:jc w:val="center"/>
                    <w:rPr>
                      <w:rFonts w:hint="default" w:ascii="Times New Roman" w:hAnsi="Times New Roman" w:cs="Times New Roman"/>
                      <w:szCs w:val="21"/>
                    </w:rPr>
                  </w:pPr>
                </w:p>
              </w:tc>
              <w:tc>
                <w:tcPr>
                  <w:tcW w:w="671"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套</w:t>
                  </w:r>
                </w:p>
              </w:tc>
              <w:tc>
                <w:tcPr>
                  <w:tcW w:w="662"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158"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已含二期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restart"/>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含</w:t>
                  </w:r>
                </w:p>
              </w:tc>
              <w:tc>
                <w:tcPr>
                  <w:tcW w:w="2226"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动力柜</w:t>
                  </w:r>
                </w:p>
              </w:tc>
              <w:tc>
                <w:tcPr>
                  <w:tcW w:w="3415"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施耐德元器件</w:t>
                  </w:r>
                </w:p>
              </w:tc>
              <w:tc>
                <w:tcPr>
                  <w:tcW w:w="671"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台</w:t>
                  </w:r>
                </w:p>
              </w:tc>
              <w:tc>
                <w:tcPr>
                  <w:tcW w:w="662"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1158" w:type="dxa"/>
                  <w:shd w:val="clear" w:color="auto" w:fill="auto"/>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szCs w:val="21"/>
                    </w:rPr>
                  </w:pPr>
                </w:p>
              </w:tc>
              <w:tc>
                <w:tcPr>
                  <w:tcW w:w="2226"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PLC柜</w:t>
                  </w:r>
                </w:p>
              </w:tc>
              <w:tc>
                <w:tcPr>
                  <w:tcW w:w="3415"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西门子</w:t>
                  </w:r>
                </w:p>
              </w:tc>
              <w:tc>
                <w:tcPr>
                  <w:tcW w:w="671"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台</w:t>
                  </w:r>
                </w:p>
              </w:tc>
              <w:tc>
                <w:tcPr>
                  <w:tcW w:w="662"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158" w:type="dxa"/>
                  <w:shd w:val="clear" w:color="auto" w:fill="auto"/>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szCs w:val="21"/>
                    </w:rPr>
                  </w:pPr>
                </w:p>
              </w:tc>
              <w:tc>
                <w:tcPr>
                  <w:tcW w:w="2226"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PAM-加药柜</w:t>
                  </w:r>
                </w:p>
              </w:tc>
              <w:tc>
                <w:tcPr>
                  <w:tcW w:w="3415"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配套</w:t>
                  </w:r>
                </w:p>
              </w:tc>
              <w:tc>
                <w:tcPr>
                  <w:tcW w:w="671"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台</w:t>
                  </w:r>
                </w:p>
              </w:tc>
              <w:tc>
                <w:tcPr>
                  <w:tcW w:w="662"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158" w:type="dxa"/>
                  <w:shd w:val="clear" w:color="auto" w:fill="auto"/>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szCs w:val="21"/>
                    </w:rPr>
                  </w:pPr>
                </w:p>
              </w:tc>
              <w:tc>
                <w:tcPr>
                  <w:tcW w:w="2226"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现场箱</w:t>
                  </w:r>
                </w:p>
              </w:tc>
              <w:tc>
                <w:tcPr>
                  <w:tcW w:w="3415"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户外不锈钢</w:t>
                  </w:r>
                </w:p>
              </w:tc>
              <w:tc>
                <w:tcPr>
                  <w:tcW w:w="671"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批</w:t>
                  </w:r>
                </w:p>
              </w:tc>
              <w:tc>
                <w:tcPr>
                  <w:tcW w:w="662"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158" w:type="dxa"/>
                  <w:shd w:val="clear" w:color="auto" w:fill="auto"/>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szCs w:val="21"/>
                    </w:rPr>
                  </w:pPr>
                </w:p>
              </w:tc>
              <w:tc>
                <w:tcPr>
                  <w:tcW w:w="2226"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工控机</w:t>
                  </w:r>
                </w:p>
              </w:tc>
              <w:tc>
                <w:tcPr>
                  <w:tcW w:w="3415"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DELL</w:t>
                  </w:r>
                </w:p>
              </w:tc>
              <w:tc>
                <w:tcPr>
                  <w:tcW w:w="671"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台</w:t>
                  </w:r>
                </w:p>
              </w:tc>
              <w:tc>
                <w:tcPr>
                  <w:tcW w:w="662"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158" w:type="dxa"/>
                  <w:shd w:val="clear" w:color="auto" w:fill="auto"/>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szCs w:val="21"/>
                    </w:rPr>
                  </w:pPr>
                </w:p>
              </w:tc>
              <w:tc>
                <w:tcPr>
                  <w:tcW w:w="2226"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操作台</w:t>
                  </w:r>
                </w:p>
              </w:tc>
              <w:tc>
                <w:tcPr>
                  <w:tcW w:w="3415"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3联操作台</w:t>
                  </w:r>
                </w:p>
              </w:tc>
              <w:tc>
                <w:tcPr>
                  <w:tcW w:w="671"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台</w:t>
                  </w:r>
                </w:p>
              </w:tc>
              <w:tc>
                <w:tcPr>
                  <w:tcW w:w="662"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158" w:type="dxa"/>
                  <w:shd w:val="clear" w:color="auto" w:fill="auto"/>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szCs w:val="21"/>
                    </w:rPr>
                  </w:pPr>
                </w:p>
              </w:tc>
              <w:tc>
                <w:tcPr>
                  <w:tcW w:w="2226"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UPS</w:t>
                  </w:r>
                </w:p>
              </w:tc>
              <w:tc>
                <w:tcPr>
                  <w:tcW w:w="3415"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山特</w:t>
                  </w:r>
                </w:p>
              </w:tc>
              <w:tc>
                <w:tcPr>
                  <w:tcW w:w="671"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台</w:t>
                  </w:r>
                </w:p>
              </w:tc>
              <w:tc>
                <w:tcPr>
                  <w:tcW w:w="662"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158" w:type="dxa"/>
                  <w:shd w:val="clear" w:color="auto" w:fill="auto"/>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szCs w:val="21"/>
                    </w:rPr>
                  </w:pPr>
                </w:p>
              </w:tc>
              <w:tc>
                <w:tcPr>
                  <w:tcW w:w="2226"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打印机</w:t>
                  </w:r>
                </w:p>
              </w:tc>
              <w:tc>
                <w:tcPr>
                  <w:tcW w:w="3415"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A4，惠普</w:t>
                  </w:r>
                </w:p>
              </w:tc>
              <w:tc>
                <w:tcPr>
                  <w:tcW w:w="671"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台</w:t>
                  </w:r>
                </w:p>
              </w:tc>
              <w:tc>
                <w:tcPr>
                  <w:tcW w:w="662"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158" w:type="dxa"/>
                  <w:shd w:val="clear" w:color="auto" w:fill="auto"/>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7" w:type="dxa"/>
                  <w:vMerge w:val="continue"/>
                  <w:shd w:val="clear" w:color="auto" w:fill="auto"/>
                  <w:noWrap w:val="0"/>
                  <w:vAlign w:val="center"/>
                </w:tcPr>
                <w:p>
                  <w:pPr>
                    <w:jc w:val="center"/>
                    <w:rPr>
                      <w:rFonts w:hint="default" w:ascii="Times New Roman" w:hAnsi="Times New Roman" w:cs="Times New Roman"/>
                      <w:szCs w:val="21"/>
                    </w:rPr>
                  </w:pPr>
                </w:p>
              </w:tc>
              <w:tc>
                <w:tcPr>
                  <w:tcW w:w="2226"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编程</w:t>
                  </w:r>
                </w:p>
              </w:tc>
              <w:tc>
                <w:tcPr>
                  <w:tcW w:w="3415" w:type="dxa"/>
                  <w:shd w:val="clear" w:color="auto" w:fill="auto"/>
                  <w:noWrap w:val="0"/>
                  <w:vAlign w:val="center"/>
                </w:tcPr>
                <w:p>
                  <w:pPr>
                    <w:jc w:val="center"/>
                    <w:rPr>
                      <w:rFonts w:hint="default" w:ascii="Times New Roman" w:hAnsi="Times New Roman" w:cs="Times New Roman"/>
                      <w:szCs w:val="21"/>
                    </w:rPr>
                  </w:pPr>
                </w:p>
              </w:tc>
              <w:tc>
                <w:tcPr>
                  <w:tcW w:w="671"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套</w:t>
                  </w:r>
                </w:p>
              </w:tc>
              <w:tc>
                <w:tcPr>
                  <w:tcW w:w="662" w:type="dxa"/>
                  <w:shd w:val="clear" w:color="auto" w:fill="auto"/>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1158" w:type="dxa"/>
                  <w:shd w:val="clear" w:color="auto" w:fill="auto"/>
                  <w:noWrap w:val="0"/>
                  <w:vAlign w:val="center"/>
                </w:tcPr>
                <w:p>
                  <w:pPr>
                    <w:jc w:val="center"/>
                    <w:rPr>
                      <w:rFonts w:hint="default" w:ascii="Times New Roman" w:hAnsi="Times New Roman" w:cs="Times New Roman"/>
                      <w:szCs w:val="21"/>
                    </w:rPr>
                  </w:pPr>
                </w:p>
              </w:tc>
            </w:tr>
          </w:tbl>
          <w:p>
            <w:pPr>
              <w:spacing w:line="360" w:lineRule="auto"/>
              <w:ind w:firstLine="482" w:firstLineChars="200"/>
              <w:contextualSpacing/>
              <w:jc w:val="left"/>
              <w:rPr>
                <w:b/>
                <w:sz w:val="24"/>
                <w:szCs w:val="24"/>
              </w:rPr>
            </w:pPr>
            <w:r>
              <w:rPr>
                <w:rFonts w:hint="eastAsia"/>
                <w:b/>
                <w:sz w:val="24"/>
                <w:szCs w:val="24"/>
              </w:rPr>
              <w:t>4、设计进出</w:t>
            </w:r>
            <w:r>
              <w:rPr>
                <w:b/>
                <w:sz w:val="24"/>
                <w:szCs w:val="24"/>
              </w:rPr>
              <w:t>水</w:t>
            </w:r>
            <w:r>
              <w:rPr>
                <w:rFonts w:hint="eastAsia"/>
                <w:b/>
                <w:sz w:val="24"/>
                <w:szCs w:val="24"/>
              </w:rPr>
              <w:t>水质</w:t>
            </w:r>
          </w:p>
          <w:p>
            <w:pPr>
              <w:spacing w:line="360" w:lineRule="auto"/>
              <w:ind w:firstLine="480" w:firstLineChars="200"/>
              <w:contextualSpacing/>
              <w:rPr>
                <w:b/>
                <w:sz w:val="24"/>
                <w:szCs w:val="24"/>
                <w:highlight w:val="yellow"/>
              </w:rPr>
            </w:pPr>
            <w:r>
              <w:rPr>
                <w:rFonts w:hint="eastAsia"/>
                <w:sz w:val="24"/>
                <w:szCs w:val="24"/>
              </w:rPr>
              <w:t>本技改</w:t>
            </w:r>
            <w:r>
              <w:rPr>
                <w:sz w:val="24"/>
                <w:szCs w:val="24"/>
              </w:rPr>
              <w:t>项目建设完成后，</w:t>
            </w:r>
            <w:r>
              <w:rPr>
                <w:rFonts w:hint="eastAsia"/>
                <w:sz w:val="24"/>
                <w:szCs w:val="24"/>
              </w:rPr>
              <w:t>出水</w:t>
            </w:r>
            <w:r>
              <w:rPr>
                <w:sz w:val="24"/>
                <w:szCs w:val="24"/>
              </w:rPr>
              <w:t>水质指标满足</w:t>
            </w:r>
            <w:r>
              <w:rPr>
                <w:rFonts w:hint="default"/>
                <w:sz w:val="24"/>
                <w:szCs w:val="24"/>
              </w:rPr>
              <w:t>《黑龙港及运东流域水污染物排放标准》（DB13/2792-2018）表1中</w:t>
            </w:r>
            <w:r>
              <w:rPr>
                <w:rFonts w:hint="default"/>
                <w:sz w:val="24"/>
                <w:szCs w:val="24"/>
                <w:lang w:eastAsia="zh-CN"/>
              </w:rPr>
              <w:t>重点</w:t>
            </w:r>
            <w:r>
              <w:rPr>
                <w:rFonts w:hint="default"/>
                <w:sz w:val="24"/>
                <w:szCs w:val="24"/>
              </w:rPr>
              <w:t>排放限值</w:t>
            </w:r>
            <w:r>
              <w:rPr>
                <w:sz w:val="24"/>
                <w:szCs w:val="24"/>
              </w:rPr>
              <w:t>，</w:t>
            </w:r>
            <w:r>
              <w:rPr>
                <w:rFonts w:hint="eastAsia"/>
                <w:sz w:val="24"/>
                <w:szCs w:val="24"/>
              </w:rPr>
              <w:t>同时满足</w:t>
            </w:r>
            <w:r>
              <w:rPr>
                <w:sz w:val="24"/>
                <w:szCs w:val="24"/>
              </w:rPr>
              <w:t>《</w:t>
            </w:r>
            <w:r>
              <w:rPr>
                <w:rFonts w:hint="eastAsia"/>
                <w:sz w:val="24"/>
                <w:szCs w:val="24"/>
              </w:rPr>
              <w:t>地表水环境</w:t>
            </w:r>
            <w:r>
              <w:rPr>
                <w:sz w:val="24"/>
                <w:szCs w:val="24"/>
              </w:rPr>
              <w:t>质量标准》</w:t>
            </w:r>
            <w:r>
              <w:rPr>
                <w:rFonts w:hint="eastAsia"/>
                <w:sz w:val="24"/>
                <w:szCs w:val="24"/>
              </w:rPr>
              <w:t>（GB</w:t>
            </w:r>
            <w:r>
              <w:rPr>
                <w:sz w:val="24"/>
                <w:szCs w:val="24"/>
              </w:rPr>
              <w:t>3838-2002</w:t>
            </w:r>
            <w:r>
              <w:rPr>
                <w:rFonts w:hint="eastAsia"/>
                <w:sz w:val="24"/>
                <w:szCs w:val="24"/>
              </w:rPr>
              <w:t>）表1中Ⅳ类标准(除</w:t>
            </w:r>
            <w:r>
              <w:rPr>
                <w:sz w:val="24"/>
                <w:szCs w:val="24"/>
              </w:rPr>
              <w:t>总氮外</w:t>
            </w:r>
            <w:r>
              <w:rPr>
                <w:rFonts w:hint="eastAsia"/>
                <w:sz w:val="24"/>
                <w:szCs w:val="24"/>
              </w:rPr>
              <w:t>)。本</w:t>
            </w:r>
            <w:r>
              <w:rPr>
                <w:sz w:val="24"/>
                <w:szCs w:val="24"/>
              </w:rPr>
              <w:t>技改项目</w:t>
            </w:r>
            <w:r>
              <w:rPr>
                <w:rFonts w:hint="eastAsia"/>
                <w:sz w:val="24"/>
                <w:szCs w:val="24"/>
              </w:rPr>
              <w:t>进出水水质见</w:t>
            </w:r>
            <w:r>
              <w:rPr>
                <w:sz w:val="24"/>
                <w:szCs w:val="24"/>
              </w:rPr>
              <w:t>下表</w:t>
            </w:r>
            <w:r>
              <w:rPr>
                <w:rFonts w:hint="eastAsia"/>
                <w:sz w:val="24"/>
                <w:szCs w:val="24"/>
              </w:rPr>
              <w:t>。</w:t>
            </w:r>
          </w:p>
          <w:p>
            <w:pPr>
              <w:spacing w:line="360" w:lineRule="auto"/>
              <w:ind w:firstLine="482" w:firstLineChars="200"/>
              <w:contextualSpacing/>
              <w:jc w:val="center"/>
              <w:rPr>
                <w:b/>
                <w:sz w:val="24"/>
                <w:szCs w:val="24"/>
              </w:rPr>
            </w:pPr>
            <w:r>
              <w:rPr>
                <w:rFonts w:hint="eastAsia"/>
                <w:b/>
                <w:sz w:val="24"/>
                <w:szCs w:val="24"/>
              </w:rPr>
              <w:t>表</w:t>
            </w:r>
            <w:r>
              <w:rPr>
                <w:b/>
                <w:sz w:val="24"/>
                <w:szCs w:val="24"/>
              </w:rPr>
              <w:t>8</w:t>
            </w:r>
            <w:r>
              <w:rPr>
                <w:rFonts w:hint="eastAsia"/>
                <w:b/>
                <w:sz w:val="24"/>
                <w:szCs w:val="24"/>
              </w:rPr>
              <w:t xml:space="preserve">  本</w:t>
            </w:r>
            <w:r>
              <w:rPr>
                <w:b/>
                <w:sz w:val="24"/>
                <w:szCs w:val="24"/>
              </w:rPr>
              <w:t>技改项目</w:t>
            </w:r>
            <w:r>
              <w:rPr>
                <w:rFonts w:hint="eastAsia"/>
                <w:b/>
                <w:sz w:val="24"/>
                <w:szCs w:val="24"/>
              </w:rPr>
              <w:t>进水水质一览表  单位</w:t>
            </w:r>
            <w:r>
              <w:rPr>
                <w:b/>
                <w:sz w:val="24"/>
                <w:szCs w:val="24"/>
              </w:rPr>
              <w:t>：</w:t>
            </w:r>
            <w:r>
              <w:rPr>
                <w:rFonts w:hint="eastAsia"/>
                <w:b/>
                <w:sz w:val="24"/>
                <w:szCs w:val="24"/>
              </w:rPr>
              <w:t>mg/L</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096"/>
              <w:gridCol w:w="1052"/>
              <w:gridCol w:w="868"/>
              <w:gridCol w:w="821"/>
              <w:gridCol w:w="1096"/>
              <w:gridCol w:w="999"/>
              <w:gridCol w:w="1113"/>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进水水质</w:t>
                  </w:r>
                </w:p>
              </w:tc>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CODcr</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BOD</w:t>
                  </w:r>
                  <w:r>
                    <w:rPr>
                      <w:rFonts w:hint="default" w:ascii="Times New Roman" w:hAnsi="Times New Roman" w:cs="Times New Roman"/>
                      <w:sz w:val="21"/>
                      <w:szCs w:val="21"/>
                      <w:vertAlign w:val="subscript"/>
                      <w:lang w:val="zh-CN"/>
                    </w:rPr>
                    <w:t>5</w:t>
                  </w: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SS</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TN</w:t>
                  </w:r>
                </w:p>
              </w:tc>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NH</w:t>
                  </w:r>
                  <w:r>
                    <w:rPr>
                      <w:rFonts w:hint="default" w:ascii="Times New Roman" w:hAnsi="Times New Roman" w:cs="Times New Roman"/>
                      <w:sz w:val="21"/>
                      <w:szCs w:val="21"/>
                      <w:vertAlign w:val="subscript"/>
                      <w:lang w:val="zh-CN"/>
                    </w:rPr>
                    <w:t>3</w:t>
                  </w:r>
                  <w:r>
                    <w:rPr>
                      <w:rFonts w:hint="default" w:ascii="Times New Roman" w:hAnsi="Times New Roman" w:cs="Times New Roman"/>
                      <w:sz w:val="21"/>
                      <w:szCs w:val="21"/>
                      <w:lang w:val="zh-CN"/>
                    </w:rPr>
                    <w:t>-N</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TP</w:t>
                  </w:r>
                </w:p>
              </w:tc>
              <w:tc>
                <w:tcPr>
                  <w:tcW w:w="6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动物油脂</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p>
              </w:tc>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1500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800</w:t>
                  </w: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300</w:t>
                  </w: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50</w:t>
                  </w:r>
                </w:p>
              </w:tc>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40</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20</w:t>
                  </w:r>
                </w:p>
              </w:tc>
              <w:tc>
                <w:tcPr>
                  <w:tcW w:w="6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300</w:t>
                  </w: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出水水质</w:t>
                  </w:r>
                </w:p>
              </w:tc>
              <w:tc>
                <w:tcPr>
                  <w:tcW w:w="1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≤30</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≤6</w:t>
                  </w:r>
                </w:p>
              </w:tc>
              <w:tc>
                <w:tcPr>
                  <w:tcW w:w="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p>
              </w:tc>
              <w:tc>
                <w:tcPr>
                  <w:tcW w:w="4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≤15</w:t>
                  </w:r>
                </w:p>
              </w:tc>
              <w:tc>
                <w:tcPr>
                  <w:tcW w:w="6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≤1.5</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≤0.3</w:t>
                  </w:r>
                </w:p>
              </w:tc>
              <w:tc>
                <w:tcPr>
                  <w:tcW w:w="6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p>
              </w:tc>
              <w:tc>
                <w:tcPr>
                  <w:tcW w:w="5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6-9</w:t>
                  </w:r>
                </w:p>
              </w:tc>
            </w:tr>
          </w:tbl>
          <w:p>
            <w:pPr>
              <w:spacing w:line="360" w:lineRule="auto"/>
              <w:ind w:firstLine="482" w:firstLineChars="200"/>
              <w:contextualSpacing/>
              <w:jc w:val="center"/>
              <w:rPr>
                <w:b/>
                <w:sz w:val="24"/>
                <w:szCs w:val="24"/>
              </w:rPr>
            </w:pPr>
            <w:r>
              <w:rPr>
                <w:rFonts w:hint="eastAsia"/>
                <w:b/>
                <w:sz w:val="24"/>
                <w:szCs w:val="24"/>
              </w:rPr>
              <w:t>表9  项目出水</w:t>
            </w:r>
            <w:r>
              <w:rPr>
                <w:b/>
                <w:sz w:val="24"/>
                <w:szCs w:val="24"/>
              </w:rPr>
              <w:t>水质</w:t>
            </w:r>
            <w:r>
              <w:rPr>
                <w:rFonts w:hint="eastAsia"/>
                <w:b/>
                <w:sz w:val="24"/>
                <w:szCs w:val="24"/>
              </w:rPr>
              <w:t>指标</w:t>
            </w:r>
            <w:r>
              <w:rPr>
                <w:b/>
                <w:sz w:val="24"/>
                <w:szCs w:val="24"/>
              </w:rPr>
              <w:t>对照一览表</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3976"/>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污染物名称</w:t>
                  </w:r>
                </w:p>
              </w:tc>
              <w:tc>
                <w:tcPr>
                  <w:tcW w:w="2256"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（DB13/2792-2018）表1重点控制区排放限值</w:t>
                  </w:r>
                </w:p>
              </w:tc>
              <w:tc>
                <w:tcPr>
                  <w:tcW w:w="1684"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（GB3838-2002）表1中Ⅳ类标准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59"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pH</w:t>
                  </w:r>
                </w:p>
              </w:tc>
              <w:tc>
                <w:tcPr>
                  <w:tcW w:w="2256"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6~9</w:t>
                  </w:r>
                </w:p>
              </w:tc>
              <w:tc>
                <w:tcPr>
                  <w:tcW w:w="1684"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COD</w:t>
                  </w:r>
                </w:p>
              </w:tc>
              <w:tc>
                <w:tcPr>
                  <w:tcW w:w="2256"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40</w:t>
                  </w:r>
                </w:p>
              </w:tc>
              <w:tc>
                <w:tcPr>
                  <w:tcW w:w="1684"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BOD</w:t>
                  </w:r>
                  <w:r>
                    <w:rPr>
                      <w:rFonts w:hint="eastAsia" w:ascii="Times New Roman" w:hAnsi="Times New Roman" w:eastAsia="宋体" w:cs="Times New Roman"/>
                      <w:szCs w:val="22"/>
                      <w:vertAlign w:val="subscript"/>
                      <w:lang w:val="zh-CN"/>
                    </w:rPr>
                    <w:t>5</w:t>
                  </w:r>
                </w:p>
              </w:tc>
              <w:tc>
                <w:tcPr>
                  <w:tcW w:w="2256"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10</w:t>
                  </w:r>
                </w:p>
              </w:tc>
              <w:tc>
                <w:tcPr>
                  <w:tcW w:w="1684"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059"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SS</w:t>
                  </w:r>
                </w:p>
              </w:tc>
              <w:tc>
                <w:tcPr>
                  <w:tcW w:w="2256"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w:t>
                  </w:r>
                </w:p>
              </w:tc>
              <w:tc>
                <w:tcPr>
                  <w:tcW w:w="1684"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NH</w:t>
                  </w:r>
                  <w:r>
                    <w:rPr>
                      <w:rFonts w:hint="eastAsia" w:ascii="Times New Roman" w:hAnsi="Times New Roman" w:eastAsia="宋体" w:cs="Times New Roman"/>
                      <w:szCs w:val="22"/>
                      <w:vertAlign w:val="subscript"/>
                      <w:lang w:val="zh-CN"/>
                    </w:rPr>
                    <w:t>3</w:t>
                  </w:r>
                  <w:r>
                    <w:rPr>
                      <w:rFonts w:hint="eastAsia" w:ascii="Times New Roman" w:hAnsi="Times New Roman" w:eastAsia="宋体" w:cs="Times New Roman"/>
                      <w:szCs w:val="22"/>
                      <w:lang w:val="zh-CN"/>
                    </w:rPr>
                    <w:t>-N</w:t>
                  </w:r>
                </w:p>
              </w:tc>
              <w:tc>
                <w:tcPr>
                  <w:tcW w:w="2256"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2.0(3.5)</w:t>
                  </w:r>
                </w:p>
              </w:tc>
              <w:tc>
                <w:tcPr>
                  <w:tcW w:w="1684"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TN</w:t>
                  </w:r>
                </w:p>
              </w:tc>
              <w:tc>
                <w:tcPr>
                  <w:tcW w:w="2256"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15</w:t>
                  </w:r>
                </w:p>
              </w:tc>
              <w:tc>
                <w:tcPr>
                  <w:tcW w:w="1684"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TP</w:t>
                  </w:r>
                </w:p>
              </w:tc>
              <w:tc>
                <w:tcPr>
                  <w:tcW w:w="2256"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0.4</w:t>
                  </w:r>
                </w:p>
              </w:tc>
              <w:tc>
                <w:tcPr>
                  <w:tcW w:w="1684" w:type="pct"/>
                  <w:vAlign w:val="center"/>
                </w:tcPr>
                <w:p>
                  <w:pPr>
                    <w:widowControl w:val="0"/>
                    <w:snapToGrid w:val="0"/>
                    <w:spacing w:line="360" w:lineRule="auto"/>
                    <w:jc w:val="center"/>
                    <w:rPr>
                      <w:rFonts w:hint="eastAsia" w:ascii="Times New Roman" w:hAnsi="Times New Roman" w:eastAsia="宋体" w:cs="Times New Roman"/>
                      <w:szCs w:val="22"/>
                      <w:lang w:val="zh-CN"/>
                    </w:rPr>
                  </w:pPr>
                  <w:r>
                    <w:rPr>
                      <w:rFonts w:hint="eastAsia" w:ascii="Times New Roman" w:hAnsi="Times New Roman" w:eastAsia="宋体" w:cs="Times New Roman"/>
                      <w:szCs w:val="22"/>
                      <w:lang w:val="zh-CN"/>
                    </w:rPr>
                    <w:t>0.3</w:t>
                  </w:r>
                </w:p>
              </w:tc>
            </w:tr>
          </w:tbl>
          <w:p>
            <w:pPr>
              <w:spacing w:line="360" w:lineRule="auto"/>
              <w:ind w:firstLine="482" w:firstLineChars="200"/>
              <w:contextualSpacing/>
              <w:jc w:val="left"/>
              <w:rPr>
                <w:b/>
                <w:sz w:val="24"/>
                <w:szCs w:val="24"/>
              </w:rPr>
            </w:pPr>
            <w:r>
              <w:rPr>
                <w:b/>
                <w:sz w:val="24"/>
                <w:szCs w:val="24"/>
              </w:rPr>
              <w:t>4、主要原辅材料消耗</w:t>
            </w:r>
          </w:p>
          <w:p>
            <w:pPr>
              <w:pStyle w:val="95"/>
              <w:rPr>
                <w:sz w:val="24"/>
                <w:szCs w:val="24"/>
              </w:rPr>
            </w:pPr>
            <w:r>
              <w:rPr>
                <w:sz w:val="24"/>
                <w:szCs w:val="24"/>
              </w:rPr>
              <w:t>本</w:t>
            </w:r>
            <w:r>
              <w:rPr>
                <w:rFonts w:hint="eastAsia"/>
                <w:sz w:val="24"/>
                <w:szCs w:val="24"/>
              </w:rPr>
              <w:t>技改</w:t>
            </w:r>
            <w:r>
              <w:rPr>
                <w:sz w:val="24"/>
                <w:szCs w:val="24"/>
              </w:rPr>
              <w:t>项目原辅材料使用情况见表10。</w:t>
            </w:r>
          </w:p>
          <w:p>
            <w:pPr>
              <w:pStyle w:val="88"/>
              <w:rPr>
                <w:snapToGrid w:val="0"/>
                <w:sz w:val="24"/>
                <w:szCs w:val="24"/>
              </w:rPr>
            </w:pPr>
            <w:r>
              <w:rPr>
                <w:snapToGrid w:val="0"/>
                <w:sz w:val="24"/>
                <w:szCs w:val="24"/>
              </w:rPr>
              <w:t xml:space="preserve">表10 </w:t>
            </w:r>
            <w:r>
              <w:rPr>
                <w:rFonts w:hint="eastAsia"/>
                <w:snapToGrid w:val="0"/>
                <w:sz w:val="24"/>
                <w:szCs w:val="24"/>
              </w:rPr>
              <w:t>本</w:t>
            </w:r>
            <w:r>
              <w:rPr>
                <w:snapToGrid w:val="0"/>
                <w:sz w:val="24"/>
                <w:szCs w:val="24"/>
              </w:rPr>
              <w:t>技改</w:t>
            </w:r>
            <w:r>
              <w:rPr>
                <w:rFonts w:hint="eastAsia"/>
                <w:snapToGrid w:val="0"/>
                <w:sz w:val="24"/>
                <w:szCs w:val="24"/>
              </w:rPr>
              <w:t>项目</w:t>
            </w:r>
            <w:r>
              <w:rPr>
                <w:snapToGrid w:val="0"/>
                <w:sz w:val="24"/>
                <w:szCs w:val="24"/>
              </w:rPr>
              <w:t>原辅材料使用情况一览表</w:t>
            </w:r>
          </w:p>
          <w:tbl>
            <w:tblPr>
              <w:tblStyle w:val="316"/>
              <w:tblW w:w="88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23"/>
              <w:gridCol w:w="2236"/>
              <w:gridCol w:w="1609"/>
              <w:gridCol w:w="2844"/>
              <w:gridCol w:w="12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3" w:type="dxa"/>
                  <w:vAlign w:val="center"/>
                </w:tcPr>
                <w:p>
                  <w:pPr>
                    <w:pStyle w:val="93"/>
                    <w:rPr>
                      <w:sz w:val="21"/>
                      <w:szCs w:val="21"/>
                    </w:rPr>
                  </w:pPr>
                  <w:r>
                    <w:rPr>
                      <w:sz w:val="21"/>
                      <w:szCs w:val="21"/>
                    </w:rPr>
                    <w:t>序号</w:t>
                  </w:r>
                </w:p>
              </w:tc>
              <w:tc>
                <w:tcPr>
                  <w:tcW w:w="2236" w:type="dxa"/>
                  <w:vAlign w:val="center"/>
                </w:tcPr>
                <w:p>
                  <w:pPr>
                    <w:pStyle w:val="93"/>
                    <w:rPr>
                      <w:sz w:val="21"/>
                      <w:szCs w:val="21"/>
                    </w:rPr>
                  </w:pPr>
                  <w:r>
                    <w:rPr>
                      <w:sz w:val="21"/>
                      <w:szCs w:val="21"/>
                    </w:rPr>
                    <w:t>名称</w:t>
                  </w:r>
                </w:p>
              </w:tc>
              <w:tc>
                <w:tcPr>
                  <w:tcW w:w="1609" w:type="dxa"/>
                  <w:vAlign w:val="center"/>
                </w:tcPr>
                <w:p>
                  <w:pPr>
                    <w:pStyle w:val="93"/>
                    <w:rPr>
                      <w:sz w:val="21"/>
                      <w:szCs w:val="21"/>
                    </w:rPr>
                  </w:pPr>
                  <w:r>
                    <w:rPr>
                      <w:sz w:val="21"/>
                      <w:szCs w:val="21"/>
                    </w:rPr>
                    <w:t>年耗量（t/a）</w:t>
                  </w:r>
                </w:p>
              </w:tc>
              <w:tc>
                <w:tcPr>
                  <w:tcW w:w="2844" w:type="dxa"/>
                  <w:vAlign w:val="center"/>
                </w:tcPr>
                <w:p>
                  <w:pPr>
                    <w:pStyle w:val="93"/>
                    <w:rPr>
                      <w:sz w:val="21"/>
                      <w:szCs w:val="21"/>
                    </w:rPr>
                  </w:pPr>
                  <w:r>
                    <w:rPr>
                      <w:sz w:val="21"/>
                      <w:szCs w:val="21"/>
                    </w:rPr>
                    <w:t>用途</w:t>
                  </w:r>
                </w:p>
              </w:tc>
              <w:tc>
                <w:tcPr>
                  <w:tcW w:w="1292" w:type="dxa"/>
                  <w:vAlign w:val="center"/>
                </w:tcPr>
                <w:p>
                  <w:pPr>
                    <w:pStyle w:val="93"/>
                    <w:rPr>
                      <w:sz w:val="21"/>
                      <w:szCs w:val="21"/>
                    </w:rPr>
                  </w:pPr>
                  <w:r>
                    <w:rPr>
                      <w:rFonts w:hint="eastAsia"/>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3" w:type="dxa"/>
                  <w:vAlign w:val="center"/>
                </w:tcPr>
                <w:p>
                  <w:pPr>
                    <w:pStyle w:val="93"/>
                    <w:rPr>
                      <w:sz w:val="21"/>
                      <w:szCs w:val="21"/>
                    </w:rPr>
                  </w:pPr>
                  <w:r>
                    <w:rPr>
                      <w:sz w:val="21"/>
                      <w:szCs w:val="21"/>
                    </w:rPr>
                    <w:t>1</w:t>
                  </w:r>
                </w:p>
              </w:tc>
              <w:tc>
                <w:tcPr>
                  <w:tcW w:w="2236" w:type="dxa"/>
                  <w:vAlign w:val="center"/>
                </w:tcPr>
                <w:p>
                  <w:pPr>
                    <w:pStyle w:val="93"/>
                    <w:rPr>
                      <w:sz w:val="21"/>
                      <w:szCs w:val="21"/>
                    </w:rPr>
                  </w:pPr>
                  <w:r>
                    <w:rPr>
                      <w:rFonts w:hint="eastAsia"/>
                      <w:sz w:val="21"/>
                      <w:szCs w:val="21"/>
                    </w:rPr>
                    <w:t>20</w:t>
                  </w:r>
                  <w:r>
                    <w:rPr>
                      <w:sz w:val="21"/>
                      <w:szCs w:val="21"/>
                    </w:rPr>
                    <w:t>%</w:t>
                  </w:r>
                  <w:r>
                    <w:rPr>
                      <w:rFonts w:hint="eastAsia"/>
                      <w:sz w:val="21"/>
                      <w:szCs w:val="21"/>
                    </w:rPr>
                    <w:t>乙酸钠</w:t>
                  </w:r>
                </w:p>
              </w:tc>
              <w:tc>
                <w:tcPr>
                  <w:tcW w:w="1609" w:type="dxa"/>
                  <w:vAlign w:val="center"/>
                </w:tcPr>
                <w:p>
                  <w:pPr>
                    <w:pStyle w:val="93"/>
                    <w:rPr>
                      <w:sz w:val="21"/>
                      <w:szCs w:val="21"/>
                    </w:rPr>
                  </w:pPr>
                  <w:r>
                    <w:rPr>
                      <w:rFonts w:hint="eastAsia"/>
                      <w:sz w:val="21"/>
                      <w:szCs w:val="21"/>
                    </w:rPr>
                    <w:t>16097</w:t>
                  </w:r>
                </w:p>
              </w:tc>
              <w:tc>
                <w:tcPr>
                  <w:tcW w:w="2844" w:type="dxa"/>
                  <w:vAlign w:val="center"/>
                </w:tcPr>
                <w:p>
                  <w:pPr>
                    <w:pStyle w:val="93"/>
                    <w:rPr>
                      <w:sz w:val="21"/>
                      <w:szCs w:val="21"/>
                    </w:rPr>
                  </w:pPr>
                  <w:r>
                    <w:rPr>
                      <w:rFonts w:hint="eastAsia"/>
                      <w:sz w:val="21"/>
                      <w:szCs w:val="21"/>
                    </w:rPr>
                    <w:t>除氮</w:t>
                  </w:r>
                </w:p>
              </w:tc>
              <w:tc>
                <w:tcPr>
                  <w:tcW w:w="1292" w:type="dxa"/>
                  <w:vAlign w:val="center"/>
                </w:tcPr>
                <w:p>
                  <w:pPr>
                    <w:pStyle w:val="93"/>
                    <w:rPr>
                      <w:sz w:val="21"/>
                      <w:szCs w:val="21"/>
                    </w:rPr>
                  </w:pPr>
                  <w:r>
                    <w:rPr>
                      <w:rFonts w:hint="eastAsia"/>
                      <w:sz w:val="21"/>
                      <w:szCs w:val="21"/>
                    </w:rPr>
                    <w:t>新增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3" w:type="dxa"/>
                  <w:vAlign w:val="center"/>
                </w:tcPr>
                <w:p>
                  <w:pPr>
                    <w:pStyle w:val="93"/>
                    <w:rPr>
                      <w:sz w:val="21"/>
                      <w:szCs w:val="21"/>
                    </w:rPr>
                  </w:pPr>
                  <w:r>
                    <w:rPr>
                      <w:rFonts w:hint="eastAsia"/>
                      <w:sz w:val="21"/>
                      <w:szCs w:val="21"/>
                    </w:rPr>
                    <w:t>2</w:t>
                  </w:r>
                </w:p>
              </w:tc>
              <w:tc>
                <w:tcPr>
                  <w:tcW w:w="2236" w:type="dxa"/>
                  <w:vAlign w:val="center"/>
                </w:tcPr>
                <w:p>
                  <w:pPr>
                    <w:pStyle w:val="93"/>
                    <w:rPr>
                      <w:sz w:val="21"/>
                      <w:szCs w:val="21"/>
                    </w:rPr>
                  </w:pPr>
                  <w:r>
                    <w:rPr>
                      <w:rFonts w:hint="eastAsia"/>
                      <w:sz w:val="21"/>
                      <w:szCs w:val="21"/>
                    </w:rPr>
                    <w:t>液氧</w:t>
                  </w:r>
                </w:p>
              </w:tc>
              <w:tc>
                <w:tcPr>
                  <w:tcW w:w="1609" w:type="dxa"/>
                  <w:vAlign w:val="center"/>
                </w:tcPr>
                <w:p>
                  <w:pPr>
                    <w:pStyle w:val="93"/>
                    <w:rPr>
                      <w:sz w:val="21"/>
                      <w:szCs w:val="21"/>
                    </w:rPr>
                  </w:pPr>
                  <w:r>
                    <w:rPr>
                      <w:rFonts w:hint="eastAsia"/>
                      <w:sz w:val="21"/>
                      <w:szCs w:val="21"/>
                    </w:rPr>
                    <w:t>1825</w:t>
                  </w:r>
                </w:p>
              </w:tc>
              <w:tc>
                <w:tcPr>
                  <w:tcW w:w="2844" w:type="dxa"/>
                  <w:vAlign w:val="center"/>
                </w:tcPr>
                <w:p>
                  <w:pPr>
                    <w:pStyle w:val="93"/>
                    <w:rPr>
                      <w:sz w:val="21"/>
                      <w:szCs w:val="21"/>
                    </w:rPr>
                  </w:pPr>
                  <w:r>
                    <w:rPr>
                      <w:rFonts w:hint="eastAsia"/>
                      <w:sz w:val="21"/>
                      <w:szCs w:val="21"/>
                    </w:rPr>
                    <w:t>去除污水中难降解COD及色度</w:t>
                  </w:r>
                </w:p>
              </w:tc>
              <w:tc>
                <w:tcPr>
                  <w:tcW w:w="1292" w:type="dxa"/>
                  <w:vAlign w:val="center"/>
                </w:tcPr>
                <w:p>
                  <w:pPr>
                    <w:pStyle w:val="93"/>
                    <w:rPr>
                      <w:sz w:val="21"/>
                      <w:szCs w:val="21"/>
                    </w:rPr>
                  </w:pPr>
                  <w:r>
                    <w:rPr>
                      <w:rFonts w:hint="eastAsia"/>
                      <w:sz w:val="21"/>
                      <w:szCs w:val="21"/>
                    </w:rPr>
                    <w:t>新增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3" w:type="dxa"/>
                  <w:vAlign w:val="center"/>
                </w:tcPr>
                <w:p>
                  <w:pPr>
                    <w:pStyle w:val="93"/>
                    <w:rPr>
                      <w:sz w:val="21"/>
                      <w:szCs w:val="21"/>
                    </w:rPr>
                  </w:pPr>
                  <w:r>
                    <w:rPr>
                      <w:rFonts w:hint="eastAsia"/>
                      <w:sz w:val="21"/>
                      <w:szCs w:val="21"/>
                    </w:rPr>
                    <w:t>3</w:t>
                  </w:r>
                </w:p>
              </w:tc>
              <w:tc>
                <w:tcPr>
                  <w:tcW w:w="2236" w:type="dxa"/>
                  <w:vAlign w:val="center"/>
                </w:tcPr>
                <w:p>
                  <w:pPr>
                    <w:pStyle w:val="93"/>
                    <w:rPr>
                      <w:sz w:val="21"/>
                      <w:szCs w:val="21"/>
                    </w:rPr>
                  </w:pPr>
                  <w:r>
                    <w:rPr>
                      <w:sz w:val="21"/>
                      <w:szCs w:val="21"/>
                    </w:rPr>
                    <w:t>聚丙烯酰胺</w:t>
                  </w:r>
                  <w:r>
                    <w:rPr>
                      <w:rFonts w:hint="eastAsia"/>
                      <w:sz w:val="21"/>
                      <w:szCs w:val="21"/>
                    </w:rPr>
                    <w:t>（PAM）</w:t>
                  </w:r>
                </w:p>
              </w:tc>
              <w:tc>
                <w:tcPr>
                  <w:tcW w:w="1609" w:type="dxa"/>
                  <w:vAlign w:val="center"/>
                </w:tcPr>
                <w:p>
                  <w:pPr>
                    <w:pStyle w:val="93"/>
                    <w:rPr>
                      <w:sz w:val="21"/>
                      <w:szCs w:val="21"/>
                    </w:rPr>
                  </w:pPr>
                  <w:r>
                    <w:rPr>
                      <w:rFonts w:hint="eastAsia"/>
                      <w:sz w:val="21"/>
                      <w:szCs w:val="21"/>
                    </w:rPr>
                    <w:t>30</w:t>
                  </w:r>
                </w:p>
              </w:tc>
              <w:tc>
                <w:tcPr>
                  <w:tcW w:w="2844" w:type="dxa"/>
                  <w:vAlign w:val="center"/>
                </w:tcPr>
                <w:p>
                  <w:pPr>
                    <w:pStyle w:val="93"/>
                    <w:rPr>
                      <w:sz w:val="21"/>
                      <w:szCs w:val="21"/>
                    </w:rPr>
                  </w:pPr>
                  <w:r>
                    <w:rPr>
                      <w:rFonts w:hint="eastAsia"/>
                      <w:sz w:val="21"/>
                      <w:szCs w:val="21"/>
                    </w:rPr>
                    <w:t>污泥</w:t>
                  </w:r>
                  <w:r>
                    <w:rPr>
                      <w:sz w:val="21"/>
                      <w:szCs w:val="21"/>
                    </w:rPr>
                    <w:t>脱水用药</w:t>
                  </w:r>
                </w:p>
              </w:tc>
              <w:tc>
                <w:tcPr>
                  <w:tcW w:w="1292" w:type="dxa"/>
                  <w:vAlign w:val="center"/>
                </w:tcPr>
                <w:p>
                  <w:pPr>
                    <w:pStyle w:val="93"/>
                    <w:rPr>
                      <w:sz w:val="21"/>
                      <w:szCs w:val="21"/>
                    </w:rPr>
                  </w:pPr>
                  <w:r>
                    <w:rPr>
                      <w:rFonts w:hint="eastAsia"/>
                      <w:sz w:val="21"/>
                      <w:szCs w:val="21"/>
                    </w:rPr>
                    <w:t>新增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3" w:type="dxa"/>
                  <w:vAlign w:val="center"/>
                </w:tcPr>
                <w:p>
                  <w:pPr>
                    <w:pStyle w:val="93"/>
                    <w:rPr>
                      <w:sz w:val="21"/>
                      <w:szCs w:val="21"/>
                    </w:rPr>
                  </w:pPr>
                  <w:r>
                    <w:rPr>
                      <w:rFonts w:hint="eastAsia"/>
                      <w:sz w:val="21"/>
                      <w:szCs w:val="21"/>
                    </w:rPr>
                    <w:t>4</w:t>
                  </w:r>
                </w:p>
              </w:tc>
              <w:tc>
                <w:tcPr>
                  <w:tcW w:w="2236" w:type="dxa"/>
                  <w:vAlign w:val="center"/>
                </w:tcPr>
                <w:p>
                  <w:pPr>
                    <w:pStyle w:val="93"/>
                    <w:rPr>
                      <w:sz w:val="21"/>
                      <w:szCs w:val="21"/>
                    </w:rPr>
                  </w:pPr>
                  <w:r>
                    <w:rPr>
                      <w:rFonts w:hint="eastAsia"/>
                      <w:sz w:val="21"/>
                      <w:szCs w:val="21"/>
                    </w:rPr>
                    <w:t>聚合氯化铝（PA</w:t>
                  </w:r>
                  <w:r>
                    <w:rPr>
                      <w:sz w:val="21"/>
                      <w:szCs w:val="21"/>
                    </w:rPr>
                    <w:t>C</w:t>
                  </w:r>
                  <w:r>
                    <w:rPr>
                      <w:rFonts w:hint="eastAsia"/>
                      <w:sz w:val="21"/>
                      <w:szCs w:val="21"/>
                    </w:rPr>
                    <w:t>）</w:t>
                  </w:r>
                </w:p>
              </w:tc>
              <w:tc>
                <w:tcPr>
                  <w:tcW w:w="1609" w:type="dxa"/>
                  <w:vAlign w:val="center"/>
                </w:tcPr>
                <w:p>
                  <w:pPr>
                    <w:pStyle w:val="93"/>
                    <w:rPr>
                      <w:sz w:val="21"/>
                      <w:szCs w:val="21"/>
                    </w:rPr>
                  </w:pPr>
                  <w:r>
                    <w:rPr>
                      <w:rFonts w:hint="eastAsia"/>
                      <w:sz w:val="21"/>
                      <w:szCs w:val="21"/>
                    </w:rPr>
                    <w:t>730</w:t>
                  </w:r>
                </w:p>
              </w:tc>
              <w:tc>
                <w:tcPr>
                  <w:tcW w:w="2844" w:type="dxa"/>
                  <w:vAlign w:val="center"/>
                </w:tcPr>
                <w:p>
                  <w:pPr>
                    <w:pStyle w:val="93"/>
                    <w:rPr>
                      <w:sz w:val="21"/>
                      <w:szCs w:val="21"/>
                    </w:rPr>
                  </w:pPr>
                  <w:r>
                    <w:rPr>
                      <w:rFonts w:hint="eastAsia"/>
                      <w:sz w:val="21"/>
                      <w:szCs w:val="21"/>
                    </w:rPr>
                    <w:t>化学</w:t>
                  </w:r>
                  <w:r>
                    <w:rPr>
                      <w:sz w:val="21"/>
                      <w:szCs w:val="21"/>
                    </w:rPr>
                    <w:t>除磷药剂</w:t>
                  </w:r>
                </w:p>
              </w:tc>
              <w:tc>
                <w:tcPr>
                  <w:tcW w:w="1292" w:type="dxa"/>
                  <w:vAlign w:val="center"/>
                </w:tcPr>
                <w:p>
                  <w:pPr>
                    <w:pStyle w:val="93"/>
                    <w:rPr>
                      <w:sz w:val="21"/>
                      <w:szCs w:val="21"/>
                    </w:rPr>
                  </w:pPr>
                  <w:r>
                    <w:rPr>
                      <w:rFonts w:hint="eastAsia"/>
                      <w:sz w:val="21"/>
                      <w:szCs w:val="21"/>
                    </w:rPr>
                    <w:t>新增532.9t/a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3" w:type="dxa"/>
                  <w:vAlign w:val="center"/>
                </w:tcPr>
                <w:p>
                  <w:pPr>
                    <w:pStyle w:val="93"/>
                    <w:rPr>
                      <w:sz w:val="21"/>
                      <w:szCs w:val="21"/>
                    </w:rPr>
                  </w:pPr>
                  <w:r>
                    <w:rPr>
                      <w:rFonts w:hint="eastAsia"/>
                      <w:sz w:val="21"/>
                      <w:szCs w:val="21"/>
                    </w:rPr>
                    <w:t>5</w:t>
                  </w:r>
                </w:p>
              </w:tc>
              <w:tc>
                <w:tcPr>
                  <w:tcW w:w="2236" w:type="dxa"/>
                  <w:vAlign w:val="center"/>
                </w:tcPr>
                <w:p>
                  <w:pPr>
                    <w:pStyle w:val="93"/>
                    <w:rPr>
                      <w:b/>
                      <w:color w:val="FF0000"/>
                      <w:sz w:val="21"/>
                      <w:szCs w:val="21"/>
                    </w:rPr>
                  </w:pPr>
                  <w:r>
                    <w:rPr>
                      <w:rFonts w:hint="eastAsia"/>
                      <w:sz w:val="21"/>
                      <w:szCs w:val="21"/>
                    </w:rPr>
                    <w:t>次氯酸钠</w:t>
                  </w:r>
                </w:p>
              </w:tc>
              <w:tc>
                <w:tcPr>
                  <w:tcW w:w="1609" w:type="dxa"/>
                  <w:vAlign w:val="center"/>
                </w:tcPr>
                <w:p>
                  <w:pPr>
                    <w:pStyle w:val="93"/>
                    <w:rPr>
                      <w:sz w:val="21"/>
                      <w:szCs w:val="21"/>
                    </w:rPr>
                  </w:pPr>
                  <w:r>
                    <w:rPr>
                      <w:rFonts w:hint="eastAsia"/>
                      <w:sz w:val="21"/>
                      <w:szCs w:val="21"/>
                    </w:rPr>
                    <w:t>219</w:t>
                  </w:r>
                </w:p>
              </w:tc>
              <w:tc>
                <w:tcPr>
                  <w:tcW w:w="2844" w:type="dxa"/>
                  <w:vAlign w:val="center"/>
                </w:tcPr>
                <w:p>
                  <w:pPr>
                    <w:pStyle w:val="93"/>
                    <w:rPr>
                      <w:sz w:val="21"/>
                      <w:szCs w:val="21"/>
                    </w:rPr>
                  </w:pPr>
                  <w:r>
                    <w:rPr>
                      <w:rFonts w:hint="eastAsia"/>
                      <w:sz w:val="21"/>
                      <w:szCs w:val="21"/>
                    </w:rPr>
                    <w:t>消毒</w:t>
                  </w:r>
                </w:p>
              </w:tc>
              <w:tc>
                <w:tcPr>
                  <w:tcW w:w="1292" w:type="dxa"/>
                  <w:vAlign w:val="center"/>
                </w:tcPr>
                <w:p>
                  <w:pPr>
                    <w:pStyle w:val="93"/>
                    <w:rPr>
                      <w:sz w:val="21"/>
                      <w:szCs w:val="21"/>
                    </w:rPr>
                  </w:pPr>
                  <w:r>
                    <w:rPr>
                      <w:rFonts w:hint="eastAsia"/>
                      <w:sz w:val="21"/>
                      <w:szCs w:val="21"/>
                    </w:rPr>
                    <w:t>新增3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3" w:type="dxa"/>
                  <w:vAlign w:val="center"/>
                </w:tcPr>
                <w:p>
                  <w:pPr>
                    <w:pStyle w:val="93"/>
                    <w:rPr>
                      <w:sz w:val="21"/>
                      <w:szCs w:val="21"/>
                    </w:rPr>
                  </w:pPr>
                  <w:r>
                    <w:rPr>
                      <w:rFonts w:hint="eastAsia"/>
                      <w:sz w:val="21"/>
                      <w:szCs w:val="21"/>
                    </w:rPr>
                    <w:t>6</w:t>
                  </w:r>
                </w:p>
              </w:tc>
              <w:tc>
                <w:tcPr>
                  <w:tcW w:w="2236" w:type="dxa"/>
                  <w:vAlign w:val="center"/>
                </w:tcPr>
                <w:p>
                  <w:pPr>
                    <w:pStyle w:val="93"/>
                    <w:rPr>
                      <w:sz w:val="21"/>
                      <w:szCs w:val="21"/>
                    </w:rPr>
                  </w:pPr>
                  <w:r>
                    <w:rPr>
                      <w:rFonts w:hint="eastAsia"/>
                      <w:sz w:val="21"/>
                      <w:szCs w:val="21"/>
                    </w:rPr>
                    <w:t>生石灰</w:t>
                  </w:r>
                </w:p>
              </w:tc>
              <w:tc>
                <w:tcPr>
                  <w:tcW w:w="1609" w:type="dxa"/>
                  <w:vAlign w:val="center"/>
                </w:tcPr>
                <w:p>
                  <w:pPr>
                    <w:pStyle w:val="93"/>
                    <w:rPr>
                      <w:sz w:val="21"/>
                      <w:szCs w:val="21"/>
                    </w:rPr>
                  </w:pPr>
                  <w:r>
                    <w:rPr>
                      <w:sz w:val="21"/>
                      <w:szCs w:val="21"/>
                    </w:rPr>
                    <w:t>1069.27</w:t>
                  </w:r>
                </w:p>
              </w:tc>
              <w:tc>
                <w:tcPr>
                  <w:tcW w:w="2844" w:type="dxa"/>
                  <w:vAlign w:val="center"/>
                </w:tcPr>
                <w:p>
                  <w:pPr>
                    <w:pStyle w:val="93"/>
                    <w:rPr>
                      <w:sz w:val="21"/>
                      <w:szCs w:val="21"/>
                    </w:rPr>
                  </w:pPr>
                  <w:r>
                    <w:rPr>
                      <w:rFonts w:hint="eastAsia"/>
                      <w:sz w:val="21"/>
                      <w:szCs w:val="21"/>
                    </w:rPr>
                    <w:t>降低</w:t>
                  </w:r>
                  <w:r>
                    <w:rPr>
                      <w:sz w:val="21"/>
                      <w:szCs w:val="21"/>
                    </w:rPr>
                    <w:t>污泥含水量</w:t>
                  </w:r>
                </w:p>
              </w:tc>
              <w:tc>
                <w:tcPr>
                  <w:tcW w:w="1292" w:type="dxa"/>
                  <w:vAlign w:val="center"/>
                </w:tcPr>
                <w:p>
                  <w:pPr>
                    <w:pStyle w:val="93"/>
                    <w:rPr>
                      <w:sz w:val="21"/>
                      <w:szCs w:val="21"/>
                    </w:rPr>
                  </w:pPr>
                  <w:r>
                    <w:rPr>
                      <w:rFonts w:hint="eastAsia"/>
                      <w:sz w:val="21"/>
                      <w:szCs w:val="21"/>
                    </w:rPr>
                    <w:t>不变</w:t>
                  </w:r>
                </w:p>
              </w:tc>
            </w:tr>
          </w:tbl>
          <w:p>
            <w:pPr>
              <w:spacing w:line="360" w:lineRule="auto"/>
              <w:ind w:firstLine="474" w:firstLineChars="200"/>
              <w:contextualSpacing/>
              <w:jc w:val="left"/>
              <w:rPr>
                <w:b/>
                <w:bCs/>
                <w:spacing w:val="-2"/>
                <w:sz w:val="24"/>
                <w:szCs w:val="24"/>
              </w:rPr>
            </w:pPr>
            <w:r>
              <w:rPr>
                <w:b/>
                <w:bCs/>
                <w:spacing w:val="-2"/>
                <w:sz w:val="24"/>
                <w:szCs w:val="24"/>
              </w:rPr>
              <w:t>5</w:t>
            </w:r>
            <w:r>
              <w:rPr>
                <w:rFonts w:hint="eastAsia"/>
                <w:b/>
                <w:bCs/>
                <w:spacing w:val="-2"/>
                <w:sz w:val="24"/>
                <w:szCs w:val="24"/>
              </w:rPr>
              <w:t>、</w:t>
            </w:r>
            <w:r>
              <w:rPr>
                <w:b/>
                <w:bCs/>
                <w:spacing w:val="-2"/>
                <w:sz w:val="24"/>
                <w:szCs w:val="24"/>
              </w:rPr>
              <w:t>公用工程</w:t>
            </w:r>
          </w:p>
          <w:p>
            <w:pPr>
              <w:spacing w:line="360" w:lineRule="auto"/>
              <w:ind w:firstLine="472" w:firstLineChars="200"/>
              <w:contextualSpacing/>
              <w:jc w:val="left"/>
              <w:rPr>
                <w:bCs/>
                <w:spacing w:val="-2"/>
                <w:sz w:val="24"/>
                <w:szCs w:val="24"/>
              </w:rPr>
            </w:pPr>
            <w:r>
              <w:rPr>
                <w:bCs/>
                <w:spacing w:val="-2"/>
                <w:sz w:val="24"/>
                <w:szCs w:val="24"/>
              </w:rPr>
              <w:t>（1）给排水</w:t>
            </w:r>
          </w:p>
          <w:p>
            <w:pPr>
              <w:pStyle w:val="95"/>
              <w:ind w:firstLine="720" w:firstLineChars="300"/>
              <w:rPr>
                <w:sz w:val="24"/>
                <w:szCs w:val="24"/>
              </w:rPr>
            </w:pPr>
            <w:r>
              <w:rPr>
                <w:rFonts w:hint="eastAsia"/>
                <w:sz w:val="24"/>
                <w:szCs w:val="24"/>
                <w:lang w:eastAsia="zh-CN"/>
              </w:rPr>
              <w:t>技改项目不新增用水，只涉及排放标准变化，因此水量不发生变化</w:t>
            </w:r>
            <w:r>
              <w:rPr>
                <w:sz w:val="24"/>
                <w:szCs w:val="24"/>
              </w:rPr>
              <w:t>。</w:t>
            </w:r>
          </w:p>
          <w:p>
            <w:pPr>
              <w:spacing w:line="360" w:lineRule="auto"/>
              <w:ind w:firstLine="472" w:firstLineChars="200"/>
              <w:contextualSpacing/>
              <w:jc w:val="left"/>
              <w:rPr>
                <w:bCs/>
                <w:spacing w:val="-2"/>
                <w:sz w:val="24"/>
                <w:szCs w:val="24"/>
              </w:rPr>
            </w:pPr>
            <w:r>
              <w:rPr>
                <w:rFonts w:hint="eastAsia"/>
                <w:bCs/>
                <w:spacing w:val="-2"/>
                <w:sz w:val="24"/>
                <w:szCs w:val="24"/>
              </w:rPr>
              <w:t>（2）供电</w:t>
            </w:r>
          </w:p>
          <w:p>
            <w:pPr>
              <w:spacing w:line="360" w:lineRule="auto"/>
              <w:ind w:firstLine="708" w:firstLineChars="300"/>
              <w:contextualSpacing/>
              <w:rPr>
                <w:sz w:val="24"/>
                <w:szCs w:val="24"/>
              </w:rPr>
            </w:pPr>
            <w:r>
              <w:rPr>
                <w:rFonts w:hint="eastAsia"/>
                <w:bCs/>
                <w:spacing w:val="-2"/>
                <w:sz w:val="24"/>
                <w:szCs w:val="24"/>
                <w:lang w:eastAsia="zh-CN"/>
              </w:rPr>
              <w:t>技改项目用电依托现有工程</w:t>
            </w:r>
            <w:r>
              <w:rPr>
                <w:kern w:val="0"/>
                <w:sz w:val="24"/>
                <w:szCs w:val="24"/>
              </w:rPr>
              <w:t>。</w:t>
            </w:r>
          </w:p>
          <w:p>
            <w:pPr>
              <w:spacing w:line="360" w:lineRule="auto"/>
              <w:ind w:firstLine="472" w:firstLineChars="200"/>
              <w:contextualSpacing/>
              <w:jc w:val="left"/>
              <w:rPr>
                <w:bCs/>
                <w:spacing w:val="-2"/>
                <w:sz w:val="24"/>
                <w:szCs w:val="24"/>
              </w:rPr>
            </w:pPr>
            <w:r>
              <w:rPr>
                <w:bCs/>
                <w:spacing w:val="-2"/>
                <w:sz w:val="24"/>
                <w:szCs w:val="24"/>
              </w:rPr>
              <w:t>（3）供热</w:t>
            </w:r>
          </w:p>
          <w:p>
            <w:pPr>
              <w:spacing w:line="360" w:lineRule="auto"/>
              <w:ind w:firstLine="480" w:firstLineChars="200"/>
              <w:contextualSpacing/>
              <w:jc w:val="left"/>
              <w:rPr>
                <w:sz w:val="24"/>
                <w:szCs w:val="24"/>
              </w:rPr>
            </w:pPr>
            <w:r>
              <w:rPr>
                <w:rFonts w:hint="eastAsia"/>
                <w:sz w:val="24"/>
                <w:szCs w:val="24"/>
              </w:rPr>
              <w:t>生产</w:t>
            </w:r>
            <w:r>
              <w:rPr>
                <w:sz w:val="24"/>
                <w:szCs w:val="24"/>
              </w:rPr>
              <w:t>无需热源，采用中水热源泵站进行供热，为电加热</w:t>
            </w:r>
            <w:r>
              <w:rPr>
                <w:rFonts w:hint="eastAsia"/>
                <w:sz w:val="24"/>
                <w:szCs w:val="24"/>
              </w:rPr>
              <w:t>。</w:t>
            </w:r>
          </w:p>
          <w:p>
            <w:pPr>
              <w:spacing w:line="360" w:lineRule="auto"/>
              <w:ind w:firstLine="474" w:firstLineChars="200"/>
              <w:contextualSpacing/>
              <w:jc w:val="left"/>
              <w:rPr>
                <w:b/>
                <w:bCs/>
                <w:spacing w:val="-2"/>
                <w:sz w:val="24"/>
                <w:szCs w:val="24"/>
              </w:rPr>
            </w:pPr>
            <w:r>
              <w:rPr>
                <w:b/>
                <w:bCs/>
                <w:spacing w:val="-2"/>
                <w:sz w:val="24"/>
                <w:szCs w:val="24"/>
              </w:rPr>
              <w:t>6、</w:t>
            </w:r>
            <w:r>
              <w:rPr>
                <w:rFonts w:hint="eastAsia"/>
                <w:b/>
                <w:bCs/>
                <w:spacing w:val="-2"/>
                <w:sz w:val="24"/>
                <w:szCs w:val="24"/>
              </w:rPr>
              <w:t>政策、</w:t>
            </w:r>
            <w:r>
              <w:rPr>
                <w:b/>
                <w:bCs/>
                <w:spacing w:val="-2"/>
                <w:sz w:val="24"/>
                <w:szCs w:val="24"/>
              </w:rPr>
              <w:t>规划符合性分析</w:t>
            </w:r>
          </w:p>
          <w:p>
            <w:pPr>
              <w:spacing w:line="360" w:lineRule="auto"/>
              <w:ind w:firstLine="474" w:firstLineChars="200"/>
              <w:contextualSpacing/>
              <w:jc w:val="left"/>
              <w:rPr>
                <w:b/>
                <w:bCs/>
                <w:spacing w:val="-2"/>
                <w:sz w:val="24"/>
                <w:szCs w:val="24"/>
              </w:rPr>
            </w:pPr>
            <w:r>
              <w:rPr>
                <w:rFonts w:hint="eastAsia"/>
                <w:b/>
                <w:bCs/>
                <w:spacing w:val="-2"/>
                <w:sz w:val="24"/>
                <w:szCs w:val="24"/>
              </w:rPr>
              <w:t>（1）产业</w:t>
            </w:r>
            <w:r>
              <w:rPr>
                <w:b/>
                <w:bCs/>
                <w:spacing w:val="-2"/>
                <w:sz w:val="24"/>
                <w:szCs w:val="24"/>
              </w:rPr>
              <w:t>政策符合性分析</w:t>
            </w:r>
          </w:p>
          <w:p>
            <w:pPr>
              <w:spacing w:line="360" w:lineRule="auto"/>
              <w:ind w:firstLine="472" w:firstLineChars="200"/>
              <w:contextualSpacing/>
              <w:rPr>
                <w:bCs/>
                <w:spacing w:val="-2"/>
                <w:sz w:val="24"/>
                <w:szCs w:val="24"/>
              </w:rPr>
            </w:pPr>
            <w:r>
              <w:rPr>
                <w:rFonts w:hint="eastAsia"/>
                <w:bCs/>
                <w:spacing w:val="-2"/>
                <w:sz w:val="24"/>
                <w:szCs w:val="24"/>
              </w:rPr>
              <w:t>对照</w:t>
            </w:r>
            <w:r>
              <w:rPr>
                <w:bCs/>
                <w:spacing w:val="-2"/>
                <w:sz w:val="24"/>
                <w:szCs w:val="24"/>
              </w:rPr>
              <w:t>《产业结构调整指导目录（2019年本）》，本项目属于第一类鼓励类中的（</w:t>
            </w:r>
            <w:r>
              <w:rPr>
                <w:rFonts w:hint="eastAsia"/>
                <w:bCs/>
                <w:spacing w:val="-2"/>
                <w:sz w:val="24"/>
                <w:szCs w:val="24"/>
              </w:rPr>
              <w:t>四十三</w:t>
            </w:r>
            <w:r>
              <w:rPr>
                <w:bCs/>
                <w:spacing w:val="-2"/>
                <w:sz w:val="24"/>
                <w:szCs w:val="24"/>
              </w:rPr>
              <w:t>）环境保护与资源节约综合利用中的15.</w:t>
            </w:r>
            <w:r>
              <w:rPr>
                <w:rFonts w:hint="eastAsia"/>
                <w:bCs/>
                <w:spacing w:val="-2"/>
                <w:sz w:val="24"/>
                <w:szCs w:val="24"/>
              </w:rPr>
              <w:t>、“</w:t>
            </w:r>
            <w:r>
              <w:rPr>
                <w:bCs/>
                <w:spacing w:val="-2"/>
                <w:sz w:val="24"/>
                <w:szCs w:val="24"/>
              </w:rPr>
              <w:t>三废</w:t>
            </w:r>
            <w:r>
              <w:rPr>
                <w:rFonts w:hint="eastAsia"/>
                <w:bCs/>
                <w:spacing w:val="-2"/>
                <w:sz w:val="24"/>
                <w:szCs w:val="24"/>
              </w:rPr>
              <w:t>”</w:t>
            </w:r>
            <w:r>
              <w:rPr>
                <w:bCs/>
                <w:spacing w:val="-2"/>
                <w:sz w:val="24"/>
                <w:szCs w:val="24"/>
              </w:rPr>
              <w:t>综合利用</w:t>
            </w:r>
            <w:r>
              <w:rPr>
                <w:rFonts w:hint="eastAsia"/>
                <w:bCs/>
                <w:spacing w:val="-2"/>
                <w:sz w:val="24"/>
                <w:szCs w:val="24"/>
              </w:rPr>
              <w:t>与</w:t>
            </w:r>
            <w:r>
              <w:rPr>
                <w:bCs/>
                <w:spacing w:val="-2"/>
                <w:sz w:val="24"/>
                <w:szCs w:val="24"/>
              </w:rPr>
              <w:t>治理技术</w:t>
            </w:r>
            <w:r>
              <w:rPr>
                <w:rFonts w:hint="eastAsia"/>
                <w:bCs/>
                <w:spacing w:val="-2"/>
                <w:sz w:val="24"/>
                <w:szCs w:val="24"/>
              </w:rPr>
              <w:t>、</w:t>
            </w:r>
            <w:r>
              <w:rPr>
                <w:bCs/>
                <w:spacing w:val="-2"/>
                <w:sz w:val="24"/>
                <w:szCs w:val="24"/>
              </w:rPr>
              <w:t>装备和</w:t>
            </w:r>
            <w:r>
              <w:rPr>
                <w:rFonts w:hint="eastAsia"/>
                <w:bCs/>
                <w:spacing w:val="-2"/>
                <w:sz w:val="24"/>
                <w:szCs w:val="24"/>
              </w:rPr>
              <w:t>工程，</w:t>
            </w:r>
            <w:r>
              <w:rPr>
                <w:bCs/>
                <w:spacing w:val="-2"/>
                <w:sz w:val="24"/>
                <w:szCs w:val="24"/>
              </w:rPr>
              <w:t>符合国家产业政策。且</w:t>
            </w:r>
            <w:r>
              <w:rPr>
                <w:rFonts w:hint="eastAsia"/>
                <w:bCs/>
                <w:spacing w:val="-2"/>
                <w:sz w:val="24"/>
                <w:szCs w:val="24"/>
              </w:rPr>
              <w:t>本项目</w:t>
            </w:r>
            <w:r>
              <w:rPr>
                <w:bCs/>
                <w:spacing w:val="-2"/>
                <w:sz w:val="24"/>
                <w:szCs w:val="24"/>
              </w:rPr>
              <w:t>不属于《</w:t>
            </w:r>
            <w:r>
              <w:rPr>
                <w:rFonts w:hint="eastAsia"/>
                <w:bCs/>
                <w:spacing w:val="-2"/>
                <w:sz w:val="24"/>
                <w:szCs w:val="24"/>
              </w:rPr>
              <w:t>河北省</w:t>
            </w:r>
            <w:r>
              <w:rPr>
                <w:bCs/>
                <w:spacing w:val="-2"/>
                <w:sz w:val="24"/>
                <w:szCs w:val="24"/>
              </w:rPr>
              <w:t>新增</w:t>
            </w:r>
            <w:r>
              <w:rPr>
                <w:rFonts w:hint="eastAsia"/>
                <w:bCs/>
                <w:spacing w:val="-2"/>
                <w:sz w:val="24"/>
                <w:szCs w:val="24"/>
              </w:rPr>
              <w:t>限制</w:t>
            </w:r>
            <w:r>
              <w:rPr>
                <w:bCs/>
                <w:spacing w:val="-2"/>
                <w:sz w:val="24"/>
                <w:szCs w:val="24"/>
              </w:rPr>
              <w:t>和淘汰类产业目录（</w:t>
            </w:r>
            <w:r>
              <w:rPr>
                <w:rFonts w:hint="eastAsia"/>
                <w:bCs/>
                <w:spacing w:val="-2"/>
                <w:sz w:val="24"/>
                <w:szCs w:val="24"/>
              </w:rPr>
              <w:t>2015年</w:t>
            </w:r>
            <w:r>
              <w:rPr>
                <w:bCs/>
                <w:spacing w:val="-2"/>
                <w:sz w:val="24"/>
                <w:szCs w:val="24"/>
              </w:rPr>
              <w:t>版）》</w:t>
            </w:r>
            <w:r>
              <w:rPr>
                <w:rFonts w:hint="eastAsia"/>
                <w:bCs/>
                <w:spacing w:val="-2"/>
                <w:sz w:val="24"/>
                <w:szCs w:val="24"/>
              </w:rPr>
              <w:t>（河北省</w:t>
            </w:r>
            <w:r>
              <w:rPr>
                <w:bCs/>
                <w:spacing w:val="-2"/>
                <w:sz w:val="24"/>
                <w:szCs w:val="24"/>
              </w:rPr>
              <w:t>人民政府文件冀政</w:t>
            </w:r>
            <w:r>
              <w:rPr>
                <w:rFonts w:hint="eastAsia"/>
                <w:bCs/>
                <w:spacing w:val="-2"/>
                <w:sz w:val="24"/>
                <w:szCs w:val="24"/>
              </w:rPr>
              <w:t>[201</w:t>
            </w:r>
            <w:r>
              <w:rPr>
                <w:bCs/>
                <w:spacing w:val="-2"/>
                <w:sz w:val="24"/>
                <w:szCs w:val="24"/>
              </w:rPr>
              <w:t>5]7</w:t>
            </w:r>
            <w:r>
              <w:rPr>
                <w:rFonts w:hint="eastAsia"/>
                <w:bCs/>
                <w:spacing w:val="-2"/>
                <w:sz w:val="24"/>
                <w:szCs w:val="24"/>
              </w:rPr>
              <w:t>号文）中</w:t>
            </w:r>
            <w:r>
              <w:rPr>
                <w:bCs/>
                <w:spacing w:val="-2"/>
                <w:sz w:val="24"/>
                <w:szCs w:val="24"/>
              </w:rPr>
              <w:t>限制和淘汰类项目。</w:t>
            </w:r>
            <w:r>
              <w:rPr>
                <w:rFonts w:hint="eastAsia"/>
                <w:bCs/>
                <w:spacing w:val="-2"/>
                <w:sz w:val="24"/>
                <w:szCs w:val="24"/>
              </w:rPr>
              <w:t>因此</w:t>
            </w:r>
            <w:r>
              <w:rPr>
                <w:bCs/>
                <w:spacing w:val="-2"/>
                <w:sz w:val="24"/>
                <w:szCs w:val="24"/>
              </w:rPr>
              <w:t>，项目建设符合国家及地方产业政策</w:t>
            </w:r>
            <w:r>
              <w:rPr>
                <w:rFonts w:hint="eastAsia"/>
                <w:bCs/>
                <w:spacing w:val="-2"/>
                <w:sz w:val="24"/>
                <w:szCs w:val="24"/>
              </w:rPr>
              <w:t>要求</w:t>
            </w:r>
            <w:r>
              <w:rPr>
                <w:bCs/>
                <w:spacing w:val="-2"/>
                <w:sz w:val="24"/>
                <w:szCs w:val="24"/>
              </w:rPr>
              <w:t>。</w:t>
            </w:r>
          </w:p>
          <w:p>
            <w:pPr>
              <w:spacing w:line="360" w:lineRule="auto"/>
              <w:ind w:firstLine="474" w:firstLineChars="200"/>
              <w:contextualSpacing/>
              <w:rPr>
                <w:b/>
                <w:bCs/>
                <w:spacing w:val="-2"/>
                <w:sz w:val="24"/>
                <w:szCs w:val="24"/>
              </w:rPr>
            </w:pPr>
            <w:r>
              <w:rPr>
                <w:rFonts w:hint="eastAsia"/>
                <w:b/>
                <w:bCs/>
                <w:spacing w:val="-2"/>
                <w:sz w:val="24"/>
                <w:szCs w:val="24"/>
              </w:rPr>
              <w:t>（2）环境</w:t>
            </w:r>
            <w:r>
              <w:rPr>
                <w:b/>
                <w:bCs/>
                <w:spacing w:val="-2"/>
                <w:sz w:val="24"/>
                <w:szCs w:val="24"/>
              </w:rPr>
              <w:t>管理政策符合性分析</w:t>
            </w:r>
          </w:p>
          <w:p>
            <w:pPr>
              <w:spacing w:line="360" w:lineRule="auto"/>
              <w:ind w:firstLine="472" w:firstLineChars="200"/>
              <w:contextualSpacing/>
              <w:rPr>
                <w:bCs/>
                <w:spacing w:val="-2"/>
                <w:sz w:val="24"/>
                <w:szCs w:val="24"/>
              </w:rPr>
            </w:pPr>
            <w:r>
              <w:rPr>
                <w:rFonts w:hint="eastAsia"/>
                <w:bCs/>
                <w:spacing w:val="-2"/>
                <w:sz w:val="24"/>
                <w:szCs w:val="24"/>
              </w:rPr>
              <w:t>对照</w:t>
            </w:r>
            <w:r>
              <w:rPr>
                <w:bCs/>
                <w:spacing w:val="-2"/>
                <w:sz w:val="24"/>
                <w:szCs w:val="24"/>
              </w:rPr>
              <w:t>《</w:t>
            </w:r>
            <w:r>
              <w:rPr>
                <w:rFonts w:hint="eastAsia"/>
                <w:bCs/>
                <w:spacing w:val="-2"/>
                <w:sz w:val="24"/>
                <w:szCs w:val="24"/>
              </w:rPr>
              <w:t>国务院</w:t>
            </w:r>
            <w:r>
              <w:rPr>
                <w:bCs/>
                <w:spacing w:val="-2"/>
                <w:sz w:val="24"/>
                <w:szCs w:val="24"/>
              </w:rPr>
              <w:t>关于</w:t>
            </w:r>
            <w:r>
              <w:rPr>
                <w:rFonts w:hint="eastAsia"/>
                <w:bCs/>
                <w:spacing w:val="-2"/>
                <w:sz w:val="24"/>
                <w:szCs w:val="24"/>
              </w:rPr>
              <w:t>印发</w:t>
            </w:r>
            <w:r>
              <w:rPr>
                <w:bCs/>
                <w:spacing w:val="-2"/>
                <w:sz w:val="24"/>
                <w:szCs w:val="24"/>
              </w:rPr>
              <w:t>水污染防治行动计划的通知》</w:t>
            </w:r>
            <w:r>
              <w:rPr>
                <w:rFonts w:hint="eastAsia"/>
                <w:bCs/>
                <w:spacing w:val="-2"/>
                <w:sz w:val="24"/>
                <w:szCs w:val="24"/>
              </w:rPr>
              <w:t>、</w:t>
            </w:r>
            <w:r>
              <w:rPr>
                <w:bCs/>
                <w:spacing w:val="-2"/>
                <w:sz w:val="24"/>
                <w:szCs w:val="24"/>
              </w:rPr>
              <w:t>《</w:t>
            </w:r>
            <w:r>
              <w:rPr>
                <w:rFonts w:hint="eastAsia"/>
                <w:bCs/>
                <w:spacing w:val="-2"/>
                <w:sz w:val="24"/>
                <w:szCs w:val="24"/>
              </w:rPr>
              <w:t>河北省</w:t>
            </w:r>
            <w:r>
              <w:rPr>
                <w:bCs/>
                <w:spacing w:val="-2"/>
                <w:sz w:val="24"/>
                <w:szCs w:val="24"/>
              </w:rPr>
              <w:t>水污染防治工作方案》</w:t>
            </w:r>
            <w:r>
              <w:rPr>
                <w:rFonts w:hint="eastAsia"/>
                <w:bCs/>
                <w:spacing w:val="-2"/>
                <w:sz w:val="24"/>
                <w:szCs w:val="24"/>
              </w:rPr>
              <w:t>、</w:t>
            </w:r>
            <w:r>
              <w:rPr>
                <w:bCs/>
                <w:spacing w:val="-2"/>
                <w:sz w:val="24"/>
                <w:szCs w:val="24"/>
              </w:rPr>
              <w:t>《</w:t>
            </w:r>
            <w:r>
              <w:rPr>
                <w:rFonts w:hint="eastAsia"/>
                <w:bCs/>
                <w:spacing w:val="-2"/>
                <w:sz w:val="24"/>
                <w:szCs w:val="24"/>
              </w:rPr>
              <w:t>邢台市</w:t>
            </w:r>
            <w:r>
              <w:rPr>
                <w:bCs/>
                <w:spacing w:val="-2"/>
                <w:sz w:val="24"/>
                <w:szCs w:val="24"/>
              </w:rPr>
              <w:t>2020</w:t>
            </w:r>
            <w:r>
              <w:rPr>
                <w:rFonts w:hint="eastAsia"/>
                <w:bCs/>
                <w:spacing w:val="-2"/>
                <w:sz w:val="24"/>
                <w:szCs w:val="24"/>
              </w:rPr>
              <w:t>年度</w:t>
            </w:r>
            <w:r>
              <w:rPr>
                <w:bCs/>
                <w:spacing w:val="-2"/>
                <w:sz w:val="24"/>
                <w:szCs w:val="24"/>
              </w:rPr>
              <w:t>水污染防治工作实施方案》</w:t>
            </w:r>
            <w:r>
              <w:rPr>
                <w:rFonts w:hint="eastAsia"/>
                <w:bCs/>
                <w:spacing w:val="-2"/>
                <w:sz w:val="24"/>
                <w:szCs w:val="24"/>
              </w:rPr>
              <w:t>，</w:t>
            </w:r>
            <w:r>
              <w:rPr>
                <w:bCs/>
                <w:spacing w:val="-2"/>
                <w:sz w:val="24"/>
                <w:szCs w:val="24"/>
              </w:rPr>
              <w:t>本项目满足相关管理政策的要求。</w:t>
            </w:r>
          </w:p>
          <w:p>
            <w:pPr>
              <w:pStyle w:val="88"/>
              <w:rPr>
                <w:sz w:val="24"/>
                <w:szCs w:val="24"/>
              </w:rPr>
            </w:pPr>
            <w:r>
              <w:rPr>
                <w:sz w:val="24"/>
                <w:szCs w:val="24"/>
              </w:rPr>
              <w:t xml:space="preserve">表11 </w:t>
            </w:r>
            <w:r>
              <w:rPr>
                <w:rFonts w:hint="eastAsia"/>
                <w:sz w:val="24"/>
                <w:szCs w:val="24"/>
              </w:rPr>
              <w:t>水污染</w:t>
            </w:r>
            <w:r>
              <w:rPr>
                <w:sz w:val="24"/>
                <w:szCs w:val="24"/>
              </w:rPr>
              <w:t>防治相关文件符合性分析结果</w:t>
            </w:r>
          </w:p>
          <w:tbl>
            <w:tblPr>
              <w:tblStyle w:val="47"/>
              <w:tblW w:w="880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3304"/>
              <w:gridCol w:w="3642"/>
              <w:gridCol w:w="7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146" w:type="dxa"/>
                  <w:shd w:val="clear" w:color="auto" w:fill="auto"/>
                  <w:vAlign w:val="center"/>
                </w:tcPr>
                <w:p>
                  <w:pPr>
                    <w:jc w:val="center"/>
                    <w:rPr>
                      <w:color w:val="auto"/>
                      <w:sz w:val="21"/>
                      <w:szCs w:val="21"/>
                    </w:rPr>
                  </w:pPr>
                  <w:r>
                    <w:rPr>
                      <w:rFonts w:hint="eastAsia"/>
                      <w:color w:val="auto"/>
                      <w:sz w:val="21"/>
                      <w:szCs w:val="21"/>
                    </w:rPr>
                    <w:t>相关</w:t>
                  </w:r>
                  <w:r>
                    <w:rPr>
                      <w:color w:val="auto"/>
                      <w:sz w:val="21"/>
                      <w:szCs w:val="21"/>
                    </w:rPr>
                    <w:t>文件</w:t>
                  </w:r>
                </w:p>
              </w:tc>
              <w:tc>
                <w:tcPr>
                  <w:tcW w:w="3304" w:type="dxa"/>
                  <w:shd w:val="clear" w:color="auto" w:fill="auto"/>
                  <w:vAlign w:val="center"/>
                </w:tcPr>
                <w:p>
                  <w:pPr>
                    <w:jc w:val="center"/>
                    <w:rPr>
                      <w:color w:val="auto"/>
                      <w:sz w:val="21"/>
                      <w:szCs w:val="21"/>
                    </w:rPr>
                  </w:pPr>
                  <w:r>
                    <w:rPr>
                      <w:rFonts w:hint="eastAsia"/>
                      <w:color w:val="auto"/>
                      <w:sz w:val="21"/>
                      <w:szCs w:val="21"/>
                    </w:rPr>
                    <w:t>相关</w:t>
                  </w:r>
                  <w:r>
                    <w:rPr>
                      <w:color w:val="auto"/>
                      <w:sz w:val="21"/>
                      <w:szCs w:val="21"/>
                    </w:rPr>
                    <w:t>内容</w:t>
                  </w:r>
                </w:p>
              </w:tc>
              <w:tc>
                <w:tcPr>
                  <w:tcW w:w="3642" w:type="dxa"/>
                  <w:shd w:val="clear" w:color="auto" w:fill="auto"/>
                  <w:vAlign w:val="center"/>
                </w:tcPr>
                <w:p>
                  <w:pPr>
                    <w:jc w:val="center"/>
                    <w:rPr>
                      <w:color w:val="auto"/>
                      <w:sz w:val="21"/>
                      <w:szCs w:val="21"/>
                    </w:rPr>
                  </w:pPr>
                  <w:r>
                    <w:rPr>
                      <w:rFonts w:hint="eastAsia"/>
                      <w:color w:val="auto"/>
                      <w:sz w:val="21"/>
                      <w:szCs w:val="21"/>
                    </w:rPr>
                    <w:t>本项目</w:t>
                  </w:r>
                  <w:r>
                    <w:rPr>
                      <w:color w:val="auto"/>
                      <w:sz w:val="21"/>
                      <w:szCs w:val="21"/>
                    </w:rPr>
                    <w:t>情况</w:t>
                  </w:r>
                </w:p>
              </w:tc>
              <w:tc>
                <w:tcPr>
                  <w:tcW w:w="709" w:type="dxa"/>
                  <w:shd w:val="clear" w:color="auto" w:fill="auto"/>
                  <w:vAlign w:val="center"/>
                </w:tcPr>
                <w:p>
                  <w:pPr>
                    <w:jc w:val="center"/>
                    <w:rPr>
                      <w:color w:val="auto"/>
                      <w:sz w:val="21"/>
                      <w:szCs w:val="21"/>
                    </w:rPr>
                  </w:pPr>
                  <w:r>
                    <w:rPr>
                      <w:rFonts w:hint="eastAsia"/>
                      <w:color w:val="auto"/>
                      <w:sz w:val="21"/>
                      <w:szCs w:val="21"/>
                    </w:rPr>
                    <w:t>是否符合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6" w:type="dxa"/>
                  <w:vMerge w:val="restart"/>
                  <w:shd w:val="clear" w:color="auto" w:fill="auto"/>
                  <w:vAlign w:val="center"/>
                </w:tcPr>
                <w:p>
                  <w:pPr>
                    <w:jc w:val="center"/>
                    <w:rPr>
                      <w:color w:val="auto"/>
                      <w:sz w:val="21"/>
                      <w:szCs w:val="21"/>
                    </w:rPr>
                  </w:pPr>
                  <w:r>
                    <w:rPr>
                      <w:rFonts w:hint="eastAsia"/>
                      <w:color w:val="auto"/>
                      <w:sz w:val="21"/>
                      <w:szCs w:val="21"/>
                    </w:rPr>
                    <w:t>水污染</w:t>
                  </w:r>
                  <w:r>
                    <w:rPr>
                      <w:color w:val="auto"/>
                      <w:sz w:val="21"/>
                      <w:szCs w:val="21"/>
                    </w:rPr>
                    <w:t>防治行动计划（</w:t>
                  </w:r>
                  <w:r>
                    <w:rPr>
                      <w:rFonts w:hint="eastAsia"/>
                      <w:color w:val="auto"/>
                      <w:sz w:val="21"/>
                      <w:szCs w:val="21"/>
                    </w:rPr>
                    <w:t>水</w:t>
                  </w:r>
                  <w:r>
                    <w:rPr>
                      <w:color w:val="auto"/>
                      <w:sz w:val="21"/>
                      <w:szCs w:val="21"/>
                    </w:rPr>
                    <w:t>十条）</w:t>
                  </w:r>
                </w:p>
              </w:tc>
              <w:tc>
                <w:tcPr>
                  <w:tcW w:w="3304" w:type="dxa"/>
                  <w:shd w:val="clear" w:color="auto" w:fill="auto"/>
                  <w:vAlign w:val="center"/>
                </w:tcPr>
                <w:p>
                  <w:pPr>
                    <w:jc w:val="center"/>
                    <w:rPr>
                      <w:color w:val="auto"/>
                      <w:sz w:val="21"/>
                      <w:szCs w:val="21"/>
                    </w:rPr>
                  </w:pPr>
                  <w:r>
                    <w:rPr>
                      <w:rFonts w:hint="eastAsia"/>
                      <w:color w:val="auto"/>
                      <w:sz w:val="21"/>
                      <w:szCs w:val="21"/>
                    </w:rPr>
                    <w:t>抓好</w:t>
                  </w:r>
                  <w:r>
                    <w:rPr>
                      <w:color w:val="auto"/>
                      <w:sz w:val="21"/>
                      <w:szCs w:val="21"/>
                    </w:rPr>
                    <w:t>工业节水。制定国家鼓励和淘汰的用水技术</w:t>
                  </w:r>
                  <w:r>
                    <w:rPr>
                      <w:rFonts w:hint="eastAsia"/>
                      <w:color w:val="auto"/>
                      <w:sz w:val="21"/>
                      <w:szCs w:val="21"/>
                    </w:rPr>
                    <w:t>、</w:t>
                  </w:r>
                  <w:r>
                    <w:rPr>
                      <w:color w:val="auto"/>
                      <w:sz w:val="21"/>
                      <w:szCs w:val="21"/>
                    </w:rPr>
                    <w:t>工艺、产品和设备目录，完善高耗水</w:t>
                  </w:r>
                  <w:r>
                    <w:rPr>
                      <w:rFonts w:hint="eastAsia"/>
                      <w:color w:val="auto"/>
                      <w:sz w:val="21"/>
                      <w:szCs w:val="21"/>
                    </w:rPr>
                    <w:t>行业</w:t>
                  </w:r>
                  <w:r>
                    <w:rPr>
                      <w:color w:val="auto"/>
                      <w:sz w:val="21"/>
                      <w:szCs w:val="21"/>
                    </w:rPr>
                    <w:t>取用水定额标准</w:t>
                  </w:r>
                </w:p>
              </w:tc>
              <w:tc>
                <w:tcPr>
                  <w:tcW w:w="3642" w:type="dxa"/>
                  <w:shd w:val="clear" w:color="auto" w:fill="auto"/>
                  <w:vAlign w:val="center"/>
                </w:tcPr>
                <w:p>
                  <w:pPr>
                    <w:jc w:val="center"/>
                    <w:rPr>
                      <w:color w:val="auto"/>
                      <w:sz w:val="21"/>
                      <w:szCs w:val="21"/>
                    </w:rPr>
                  </w:pPr>
                  <w:r>
                    <w:rPr>
                      <w:rFonts w:hint="eastAsia"/>
                      <w:color w:val="auto"/>
                      <w:sz w:val="21"/>
                      <w:szCs w:val="21"/>
                    </w:rPr>
                    <w:t>项目</w:t>
                  </w:r>
                  <w:r>
                    <w:rPr>
                      <w:color w:val="auto"/>
                      <w:sz w:val="21"/>
                      <w:szCs w:val="21"/>
                    </w:rPr>
                    <w:t>为污水治理工程，</w:t>
                  </w:r>
                  <w:r>
                    <w:rPr>
                      <w:rFonts w:hint="eastAsia"/>
                      <w:color w:val="auto"/>
                      <w:sz w:val="21"/>
                      <w:szCs w:val="21"/>
                    </w:rPr>
                    <w:t>出水</w:t>
                  </w:r>
                  <w:r>
                    <w:rPr>
                      <w:rFonts w:hint="eastAsia"/>
                      <w:bCs/>
                      <w:snapToGrid w:val="0"/>
                      <w:color w:val="auto"/>
                      <w:sz w:val="21"/>
                      <w:szCs w:val="21"/>
                    </w:rPr>
                    <w:t>部分</w:t>
                  </w:r>
                  <w:r>
                    <w:rPr>
                      <w:bCs/>
                      <w:snapToGrid w:val="0"/>
                      <w:color w:val="auto"/>
                      <w:sz w:val="21"/>
                      <w:szCs w:val="21"/>
                    </w:rPr>
                    <w:t>用于</w:t>
                  </w:r>
                  <w:r>
                    <w:rPr>
                      <w:rFonts w:hint="eastAsia"/>
                      <w:color w:val="auto"/>
                      <w:sz w:val="21"/>
                      <w:szCs w:val="21"/>
                    </w:rPr>
                    <w:t>旭阳工业园区、建投邢台热电有限责任公司、国泰电厂等工矿企业作为</w:t>
                  </w:r>
                  <w:r>
                    <w:rPr>
                      <w:color w:val="auto"/>
                      <w:sz w:val="21"/>
                      <w:szCs w:val="21"/>
                    </w:rPr>
                    <w:t>工业补水</w:t>
                  </w:r>
                  <w:r>
                    <w:rPr>
                      <w:rFonts w:hint="eastAsia"/>
                      <w:color w:val="auto"/>
                      <w:sz w:val="21"/>
                      <w:szCs w:val="21"/>
                    </w:rPr>
                    <w:t>及园林绿化用水外</w:t>
                  </w:r>
                  <w:r>
                    <w:rPr>
                      <w:bCs/>
                      <w:snapToGrid w:val="0"/>
                      <w:color w:val="auto"/>
                      <w:sz w:val="21"/>
                      <w:szCs w:val="21"/>
                    </w:rPr>
                    <w:t>，</w:t>
                  </w:r>
                  <w:r>
                    <w:rPr>
                      <w:rFonts w:hint="eastAsia"/>
                      <w:bCs/>
                      <w:snapToGrid w:val="0"/>
                      <w:color w:val="auto"/>
                      <w:sz w:val="21"/>
                      <w:szCs w:val="21"/>
                    </w:rPr>
                    <w:t>剩余</w:t>
                  </w:r>
                  <w:r>
                    <w:rPr>
                      <w:bCs/>
                      <w:snapToGrid w:val="0"/>
                      <w:color w:val="auto"/>
                      <w:sz w:val="21"/>
                      <w:szCs w:val="21"/>
                    </w:rPr>
                    <w:t>部分</w:t>
                  </w:r>
                  <w:r>
                    <w:rPr>
                      <w:color w:val="auto"/>
                      <w:sz w:val="21"/>
                      <w:szCs w:val="21"/>
                    </w:rPr>
                    <w:t>排</w:t>
                  </w:r>
                  <w:r>
                    <w:rPr>
                      <w:rFonts w:hint="eastAsia"/>
                      <w:color w:val="auto"/>
                      <w:sz w:val="21"/>
                      <w:szCs w:val="21"/>
                    </w:rPr>
                    <w:t>至</w:t>
                  </w:r>
                  <w:r>
                    <w:rPr>
                      <w:color w:val="auto"/>
                      <w:sz w:val="21"/>
                      <w:szCs w:val="21"/>
                    </w:rPr>
                    <w:t>围寨河，</w:t>
                  </w:r>
                  <w:r>
                    <w:rPr>
                      <w:color w:val="auto"/>
                      <w:spacing w:val="-20"/>
                      <w:sz w:val="21"/>
                      <w:szCs w:val="21"/>
                    </w:rPr>
                    <w:t>最终经牛尾</w:t>
                  </w:r>
                  <w:r>
                    <w:rPr>
                      <w:rFonts w:hint="eastAsia"/>
                      <w:color w:val="auto"/>
                      <w:spacing w:val="-20"/>
                      <w:sz w:val="21"/>
                      <w:szCs w:val="21"/>
                    </w:rPr>
                    <w:t>河</w:t>
                  </w:r>
                  <w:r>
                    <w:rPr>
                      <w:color w:val="auto"/>
                      <w:spacing w:val="-20"/>
                      <w:sz w:val="21"/>
                      <w:szCs w:val="21"/>
                    </w:rPr>
                    <w:t>汇入滏阳河</w:t>
                  </w:r>
                  <w:r>
                    <w:rPr>
                      <w:rFonts w:hint="eastAsia"/>
                      <w:color w:val="auto"/>
                      <w:spacing w:val="-20"/>
                      <w:sz w:val="21"/>
                      <w:szCs w:val="21"/>
                    </w:rPr>
                    <w:t>。</w:t>
                  </w:r>
                </w:p>
              </w:tc>
              <w:tc>
                <w:tcPr>
                  <w:tcW w:w="709" w:type="dxa"/>
                  <w:shd w:val="clear" w:color="auto" w:fill="auto"/>
                  <w:vAlign w:val="center"/>
                </w:tcPr>
                <w:p>
                  <w:pPr>
                    <w:jc w:val="center"/>
                    <w:rPr>
                      <w:color w:val="auto"/>
                      <w:sz w:val="21"/>
                      <w:szCs w:val="21"/>
                    </w:rPr>
                  </w:pPr>
                  <w:r>
                    <w:rPr>
                      <w:rFonts w:hint="eastAsia"/>
                      <w:color w:val="auto"/>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7" w:hRule="atLeast"/>
              </w:trPr>
              <w:tc>
                <w:tcPr>
                  <w:tcW w:w="1146" w:type="dxa"/>
                  <w:vMerge w:val="continue"/>
                  <w:shd w:val="clear" w:color="auto" w:fill="auto"/>
                  <w:vAlign w:val="center"/>
                </w:tcPr>
                <w:p>
                  <w:pPr>
                    <w:jc w:val="center"/>
                    <w:rPr>
                      <w:color w:val="auto"/>
                      <w:sz w:val="21"/>
                      <w:szCs w:val="21"/>
                    </w:rPr>
                  </w:pPr>
                </w:p>
              </w:tc>
              <w:tc>
                <w:tcPr>
                  <w:tcW w:w="3304" w:type="dxa"/>
                  <w:shd w:val="clear" w:color="auto" w:fill="auto"/>
                  <w:vAlign w:val="center"/>
                </w:tcPr>
                <w:p>
                  <w:pPr>
                    <w:jc w:val="center"/>
                    <w:rPr>
                      <w:color w:val="auto"/>
                      <w:sz w:val="21"/>
                      <w:szCs w:val="21"/>
                    </w:rPr>
                  </w:pPr>
                  <w:r>
                    <w:rPr>
                      <w:rFonts w:hint="eastAsia"/>
                      <w:color w:val="auto"/>
                      <w:sz w:val="21"/>
                      <w:szCs w:val="21"/>
                    </w:rPr>
                    <w:t>集中</w:t>
                  </w:r>
                  <w:r>
                    <w:rPr>
                      <w:color w:val="auto"/>
                      <w:sz w:val="21"/>
                      <w:szCs w:val="21"/>
                    </w:rPr>
                    <w:t>治理工业集聚区水污染：新建、升级工业聚集区应同步规划、建设污水、垃圾集中处理等污染治理设施，推进污泥处理处置。污水</w:t>
                  </w:r>
                  <w:r>
                    <w:rPr>
                      <w:rFonts w:hint="eastAsia"/>
                      <w:color w:val="auto"/>
                      <w:sz w:val="21"/>
                      <w:szCs w:val="21"/>
                    </w:rPr>
                    <w:t>处理设施</w:t>
                  </w:r>
                  <w:r>
                    <w:rPr>
                      <w:color w:val="auto"/>
                      <w:sz w:val="21"/>
                      <w:szCs w:val="21"/>
                    </w:rPr>
                    <w:t>产生的污泥应进行稳定化、无害化、资源化处理处置，禁</w:t>
                  </w:r>
                  <w:r>
                    <w:rPr>
                      <w:color w:val="auto"/>
                      <w:spacing w:val="-20"/>
                      <w:sz w:val="21"/>
                      <w:szCs w:val="21"/>
                    </w:rPr>
                    <w:t>止处理处置不达标的污泥进入耕地</w:t>
                  </w:r>
                </w:p>
              </w:tc>
              <w:tc>
                <w:tcPr>
                  <w:tcW w:w="3642" w:type="dxa"/>
                  <w:shd w:val="clear" w:color="auto" w:fill="auto"/>
                  <w:vAlign w:val="center"/>
                </w:tcPr>
                <w:p>
                  <w:pPr>
                    <w:jc w:val="left"/>
                    <w:rPr>
                      <w:color w:val="auto"/>
                      <w:sz w:val="21"/>
                      <w:szCs w:val="21"/>
                    </w:rPr>
                  </w:pPr>
                  <w:r>
                    <w:rPr>
                      <w:rFonts w:hint="eastAsia"/>
                      <w:color w:val="auto"/>
                      <w:sz w:val="21"/>
                      <w:szCs w:val="21"/>
                    </w:rPr>
                    <w:t>本项目</w:t>
                  </w:r>
                  <w:r>
                    <w:rPr>
                      <w:color w:val="auto"/>
                      <w:sz w:val="21"/>
                      <w:szCs w:val="21"/>
                    </w:rPr>
                    <w:t>为</w:t>
                  </w:r>
                  <w:r>
                    <w:rPr>
                      <w:rFonts w:hint="eastAsia"/>
                      <w:color w:val="auto"/>
                      <w:sz w:val="21"/>
                      <w:szCs w:val="21"/>
                    </w:rPr>
                    <w:t>邢台市</w:t>
                  </w:r>
                  <w:r>
                    <w:rPr>
                      <w:color w:val="auto"/>
                      <w:sz w:val="21"/>
                      <w:szCs w:val="21"/>
                    </w:rPr>
                    <w:t>区配套建设的污水处理工程，</w:t>
                  </w:r>
                  <w:r>
                    <w:rPr>
                      <w:rFonts w:hint="eastAsia"/>
                      <w:color w:val="auto"/>
                      <w:sz w:val="21"/>
                      <w:szCs w:val="21"/>
                    </w:rPr>
                    <w:t>主</w:t>
                  </w:r>
                  <w:r>
                    <w:rPr>
                      <w:color w:val="auto"/>
                      <w:sz w:val="21"/>
                      <w:szCs w:val="21"/>
                    </w:rPr>
                    <w:t>要治理</w:t>
                  </w:r>
                  <w:r>
                    <w:rPr>
                      <w:rFonts w:hint="eastAsia"/>
                      <w:color w:val="auto"/>
                      <w:sz w:val="21"/>
                      <w:szCs w:val="21"/>
                    </w:rPr>
                    <w:t>滨江路以东、襄都路以西、邢州大道以南、建设大街以北区域的生活污水；</w:t>
                  </w:r>
                  <w:r>
                    <w:rPr>
                      <w:color w:val="auto"/>
                      <w:sz w:val="21"/>
                      <w:szCs w:val="21"/>
                    </w:rPr>
                    <w:t>污水处理厂产生的污泥经浓缩</w:t>
                  </w:r>
                  <w:r>
                    <w:rPr>
                      <w:rFonts w:hint="eastAsia"/>
                      <w:color w:val="auto"/>
                      <w:sz w:val="21"/>
                      <w:szCs w:val="21"/>
                    </w:rPr>
                    <w:t>+压滤</w:t>
                  </w:r>
                  <w:r>
                    <w:rPr>
                      <w:color w:val="auto"/>
                      <w:sz w:val="21"/>
                      <w:szCs w:val="21"/>
                    </w:rPr>
                    <w:t>脱水</w:t>
                  </w:r>
                  <w:r>
                    <w:rPr>
                      <w:rFonts w:hint="eastAsia"/>
                      <w:color w:val="auto"/>
                      <w:sz w:val="21"/>
                      <w:szCs w:val="21"/>
                    </w:rPr>
                    <w:t>运至</w:t>
                  </w:r>
                  <w:r>
                    <w:rPr>
                      <w:color w:val="auto"/>
                      <w:sz w:val="21"/>
                      <w:szCs w:val="21"/>
                    </w:rPr>
                    <w:t>邢台建</w:t>
                  </w:r>
                  <w:r>
                    <w:rPr>
                      <w:rFonts w:hint="eastAsia"/>
                      <w:color w:val="auto"/>
                      <w:sz w:val="21"/>
                      <w:szCs w:val="21"/>
                    </w:rPr>
                    <w:t>德</w:t>
                  </w:r>
                  <w:r>
                    <w:rPr>
                      <w:color w:val="auto"/>
                      <w:sz w:val="21"/>
                      <w:szCs w:val="21"/>
                    </w:rPr>
                    <w:t>水泥</w:t>
                  </w:r>
                  <w:r>
                    <w:rPr>
                      <w:rFonts w:hint="eastAsia"/>
                      <w:color w:val="auto"/>
                      <w:sz w:val="21"/>
                      <w:szCs w:val="21"/>
                    </w:rPr>
                    <w:t>有限公司</w:t>
                  </w:r>
                  <w:r>
                    <w:rPr>
                      <w:color w:val="auto"/>
                      <w:sz w:val="21"/>
                      <w:szCs w:val="21"/>
                    </w:rPr>
                    <w:t>进行协同处置</w:t>
                  </w:r>
                </w:p>
              </w:tc>
              <w:tc>
                <w:tcPr>
                  <w:tcW w:w="709" w:type="dxa"/>
                  <w:shd w:val="clear" w:color="auto" w:fill="auto"/>
                  <w:vAlign w:val="center"/>
                </w:tcPr>
                <w:p>
                  <w:pPr>
                    <w:jc w:val="center"/>
                    <w:rPr>
                      <w:color w:val="auto"/>
                      <w:sz w:val="21"/>
                      <w:szCs w:val="21"/>
                    </w:rPr>
                  </w:pPr>
                  <w:r>
                    <w:rPr>
                      <w:rFonts w:hint="eastAsia"/>
                      <w:color w:val="auto"/>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6" w:type="dxa"/>
                  <w:vMerge w:val="continue"/>
                  <w:shd w:val="clear" w:color="auto" w:fill="auto"/>
                  <w:vAlign w:val="center"/>
                </w:tcPr>
                <w:p>
                  <w:pPr>
                    <w:jc w:val="center"/>
                    <w:rPr>
                      <w:color w:val="auto"/>
                      <w:sz w:val="21"/>
                      <w:szCs w:val="21"/>
                    </w:rPr>
                  </w:pPr>
                </w:p>
              </w:tc>
              <w:tc>
                <w:tcPr>
                  <w:tcW w:w="3304" w:type="dxa"/>
                  <w:shd w:val="clear" w:color="auto" w:fill="auto"/>
                  <w:vAlign w:val="center"/>
                </w:tcPr>
                <w:p>
                  <w:pPr>
                    <w:jc w:val="center"/>
                    <w:rPr>
                      <w:color w:val="auto"/>
                      <w:sz w:val="21"/>
                      <w:szCs w:val="21"/>
                    </w:rPr>
                  </w:pPr>
                  <w:r>
                    <w:rPr>
                      <w:rFonts w:hint="eastAsia"/>
                      <w:color w:val="auto"/>
                      <w:sz w:val="21"/>
                      <w:szCs w:val="21"/>
                    </w:rPr>
                    <w:t>防治地下水</w:t>
                  </w:r>
                  <w:r>
                    <w:rPr>
                      <w:color w:val="auto"/>
                      <w:sz w:val="21"/>
                      <w:szCs w:val="21"/>
                    </w:rPr>
                    <w:t>污染</w:t>
                  </w:r>
                  <w:r>
                    <w:rPr>
                      <w:rFonts w:hint="eastAsia"/>
                      <w:color w:val="auto"/>
                      <w:sz w:val="21"/>
                      <w:szCs w:val="21"/>
                    </w:rPr>
                    <w:t>。</w:t>
                  </w:r>
                  <w:r>
                    <w:rPr>
                      <w:color w:val="auto"/>
                      <w:sz w:val="21"/>
                      <w:szCs w:val="21"/>
                    </w:rPr>
                    <w:t>定期调查评估集中式地下水饮用水源补给区等区域环境现状。</w:t>
                  </w:r>
                </w:p>
              </w:tc>
              <w:tc>
                <w:tcPr>
                  <w:tcW w:w="3642" w:type="dxa"/>
                  <w:shd w:val="clear" w:color="auto" w:fill="auto"/>
                  <w:vAlign w:val="center"/>
                </w:tcPr>
                <w:p>
                  <w:pPr>
                    <w:jc w:val="center"/>
                    <w:rPr>
                      <w:color w:val="auto"/>
                      <w:sz w:val="21"/>
                      <w:szCs w:val="21"/>
                    </w:rPr>
                  </w:pPr>
                  <w:r>
                    <w:rPr>
                      <w:rFonts w:hint="eastAsia"/>
                      <w:color w:val="auto"/>
                      <w:sz w:val="21"/>
                      <w:szCs w:val="21"/>
                    </w:rPr>
                    <w:t>项目</w:t>
                  </w:r>
                  <w:r>
                    <w:rPr>
                      <w:color w:val="auto"/>
                      <w:sz w:val="21"/>
                      <w:szCs w:val="21"/>
                    </w:rPr>
                    <w:t>针对厂区重点防渗区、一般防渗区进行分区防渗</w:t>
                  </w:r>
                  <w:r>
                    <w:rPr>
                      <w:rFonts w:hint="eastAsia"/>
                      <w:color w:val="auto"/>
                      <w:sz w:val="21"/>
                      <w:szCs w:val="21"/>
                    </w:rPr>
                    <w:t>处理</w:t>
                  </w:r>
                  <w:r>
                    <w:rPr>
                      <w:color w:val="auto"/>
                      <w:sz w:val="21"/>
                      <w:szCs w:val="21"/>
                    </w:rPr>
                    <w:t>，防治污染物泄露污染地下水，并定期对区域地下水</w:t>
                  </w:r>
                  <w:r>
                    <w:rPr>
                      <w:rFonts w:hint="eastAsia"/>
                      <w:color w:val="auto"/>
                      <w:sz w:val="21"/>
                      <w:szCs w:val="21"/>
                    </w:rPr>
                    <w:t>进行</w:t>
                  </w:r>
                  <w:r>
                    <w:rPr>
                      <w:color w:val="auto"/>
                      <w:sz w:val="21"/>
                      <w:szCs w:val="21"/>
                    </w:rPr>
                    <w:t>监测。</w:t>
                  </w:r>
                </w:p>
              </w:tc>
              <w:tc>
                <w:tcPr>
                  <w:tcW w:w="709" w:type="dxa"/>
                  <w:shd w:val="clear" w:color="auto" w:fill="auto"/>
                  <w:vAlign w:val="center"/>
                </w:tcPr>
                <w:p>
                  <w:pPr>
                    <w:jc w:val="center"/>
                    <w:rPr>
                      <w:color w:val="auto"/>
                      <w:sz w:val="21"/>
                      <w:szCs w:val="21"/>
                    </w:rPr>
                  </w:pPr>
                  <w:r>
                    <w:rPr>
                      <w:rFonts w:hint="eastAsia"/>
                      <w:color w:val="auto"/>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6" w:type="dxa"/>
                  <w:vMerge w:val="restart"/>
                  <w:shd w:val="clear" w:color="auto" w:fill="auto"/>
                  <w:vAlign w:val="center"/>
                </w:tcPr>
                <w:p>
                  <w:pPr>
                    <w:jc w:val="center"/>
                    <w:rPr>
                      <w:color w:val="auto"/>
                      <w:sz w:val="21"/>
                      <w:szCs w:val="21"/>
                    </w:rPr>
                  </w:pPr>
                  <w:r>
                    <w:rPr>
                      <w:rFonts w:hint="eastAsia"/>
                      <w:color w:val="auto"/>
                      <w:sz w:val="21"/>
                      <w:szCs w:val="21"/>
                    </w:rPr>
                    <w:t>河北省</w:t>
                  </w:r>
                  <w:r>
                    <w:rPr>
                      <w:color w:val="auto"/>
                      <w:sz w:val="21"/>
                      <w:szCs w:val="21"/>
                    </w:rPr>
                    <w:t>水污染防治工作方案（</w:t>
                  </w:r>
                  <w:r>
                    <w:rPr>
                      <w:rFonts w:hint="eastAsia"/>
                      <w:color w:val="auto"/>
                      <w:sz w:val="21"/>
                      <w:szCs w:val="21"/>
                    </w:rPr>
                    <w:t>省</w:t>
                  </w:r>
                  <w:r>
                    <w:rPr>
                      <w:color w:val="auto"/>
                      <w:sz w:val="21"/>
                      <w:szCs w:val="21"/>
                    </w:rPr>
                    <w:t>水五十条）</w:t>
                  </w:r>
                </w:p>
              </w:tc>
              <w:tc>
                <w:tcPr>
                  <w:tcW w:w="3304" w:type="dxa"/>
                  <w:shd w:val="clear" w:color="auto" w:fill="auto"/>
                  <w:vAlign w:val="center"/>
                </w:tcPr>
                <w:p>
                  <w:pPr>
                    <w:jc w:val="center"/>
                    <w:rPr>
                      <w:color w:val="auto"/>
                      <w:sz w:val="21"/>
                      <w:szCs w:val="21"/>
                    </w:rPr>
                  </w:pPr>
                  <w:r>
                    <w:rPr>
                      <w:rFonts w:hint="eastAsia"/>
                      <w:color w:val="auto"/>
                      <w:sz w:val="21"/>
                      <w:szCs w:val="21"/>
                    </w:rPr>
                    <w:t>加快推进</w:t>
                  </w:r>
                  <w:r>
                    <w:rPr>
                      <w:color w:val="auto"/>
                      <w:sz w:val="21"/>
                      <w:szCs w:val="21"/>
                    </w:rPr>
                    <w:t>城镇污水处理设施建设与改造，提升污水处理能力。</w:t>
                  </w:r>
                  <w:r>
                    <w:rPr>
                      <w:rFonts w:hint="eastAsia"/>
                      <w:color w:val="auto"/>
                      <w:sz w:val="21"/>
                      <w:szCs w:val="21"/>
                    </w:rPr>
                    <w:t>新建</w:t>
                  </w:r>
                  <w:r>
                    <w:rPr>
                      <w:color w:val="auto"/>
                      <w:sz w:val="21"/>
                      <w:szCs w:val="21"/>
                    </w:rPr>
                    <w:t>城镇污水处理厂一律执行一级</w:t>
                  </w:r>
                  <w:r>
                    <w:rPr>
                      <w:rFonts w:hint="eastAsia"/>
                      <w:color w:val="auto"/>
                      <w:sz w:val="21"/>
                      <w:szCs w:val="21"/>
                    </w:rPr>
                    <w:t>A排放标准</w:t>
                  </w:r>
                  <w:r>
                    <w:rPr>
                      <w:color w:val="auto"/>
                      <w:sz w:val="21"/>
                      <w:szCs w:val="21"/>
                    </w:rPr>
                    <w:t>，</w:t>
                  </w:r>
                  <w:r>
                    <w:rPr>
                      <w:rFonts w:hint="eastAsia"/>
                      <w:color w:val="auto"/>
                      <w:sz w:val="21"/>
                      <w:szCs w:val="21"/>
                    </w:rPr>
                    <w:t>有</w:t>
                  </w:r>
                  <w:r>
                    <w:rPr>
                      <w:color w:val="auto"/>
                      <w:sz w:val="21"/>
                      <w:szCs w:val="21"/>
                    </w:rPr>
                    <w:t>流域特别</w:t>
                  </w:r>
                  <w:r>
                    <w:rPr>
                      <w:rFonts w:hint="eastAsia"/>
                      <w:color w:val="auto"/>
                      <w:sz w:val="21"/>
                      <w:szCs w:val="21"/>
                    </w:rPr>
                    <w:t>排放</w:t>
                  </w:r>
                  <w:r>
                    <w:rPr>
                      <w:color w:val="auto"/>
                      <w:sz w:val="21"/>
                      <w:szCs w:val="21"/>
                    </w:rPr>
                    <w:t>限值要求的地区，执行流域特别排放限值。</w:t>
                  </w:r>
                </w:p>
              </w:tc>
              <w:tc>
                <w:tcPr>
                  <w:tcW w:w="3642" w:type="dxa"/>
                  <w:shd w:val="clear" w:color="auto" w:fill="auto"/>
                  <w:vAlign w:val="center"/>
                </w:tcPr>
                <w:p>
                  <w:pPr>
                    <w:jc w:val="center"/>
                    <w:rPr>
                      <w:color w:val="auto"/>
                      <w:sz w:val="21"/>
                      <w:szCs w:val="21"/>
                    </w:rPr>
                  </w:pPr>
                  <w:r>
                    <w:rPr>
                      <w:rFonts w:hint="eastAsia"/>
                      <w:color w:val="auto"/>
                      <w:sz w:val="21"/>
                      <w:szCs w:val="21"/>
                    </w:rPr>
                    <w:t>本污水</w:t>
                  </w:r>
                  <w:r>
                    <w:rPr>
                      <w:color w:val="auto"/>
                      <w:sz w:val="21"/>
                      <w:szCs w:val="21"/>
                    </w:rPr>
                    <w:t>处理厂</w:t>
                  </w:r>
                  <w:r>
                    <w:rPr>
                      <w:rFonts w:hint="eastAsia"/>
                      <w:color w:val="auto"/>
                      <w:sz w:val="21"/>
                      <w:szCs w:val="21"/>
                    </w:rPr>
                    <w:t>处理</w:t>
                  </w:r>
                  <w:r>
                    <w:rPr>
                      <w:color w:val="auto"/>
                      <w:sz w:val="21"/>
                      <w:szCs w:val="21"/>
                    </w:rPr>
                    <w:t>废水经提标改造后</w:t>
                  </w:r>
                  <w:r>
                    <w:rPr>
                      <w:rFonts w:hint="eastAsia"/>
                      <w:color w:val="auto"/>
                      <w:sz w:val="21"/>
                      <w:szCs w:val="21"/>
                    </w:rPr>
                    <w:t>达到</w:t>
                  </w:r>
                  <w:r>
                    <w:rPr>
                      <w:rFonts w:hint="eastAsia"/>
                      <w:color w:val="auto"/>
                      <w:sz w:val="21"/>
                      <w:szCs w:val="21"/>
                      <w:lang w:val="en-US" w:eastAsia="zh-CN"/>
                    </w:rPr>
                    <w:t>《黑龙港及运东流域水污染物排放标准》（DB13/2797 -2018）表1重点控制区排放限值</w:t>
                  </w:r>
                  <w:r>
                    <w:rPr>
                      <w:rFonts w:hint="eastAsia"/>
                      <w:color w:val="auto"/>
                      <w:sz w:val="21"/>
                      <w:szCs w:val="21"/>
                      <w:highlight w:val="none"/>
                    </w:rPr>
                    <w:t>，</w:t>
                  </w:r>
                  <w:r>
                    <w:rPr>
                      <w:color w:val="auto"/>
                      <w:sz w:val="21"/>
                      <w:szCs w:val="21"/>
                      <w:highlight w:val="none"/>
                    </w:rPr>
                    <w:t>（</w:t>
                  </w:r>
                  <w:r>
                    <w:rPr>
                      <w:rFonts w:hint="eastAsia"/>
                      <w:color w:val="auto"/>
                      <w:sz w:val="21"/>
                      <w:szCs w:val="21"/>
                    </w:rPr>
                    <w:t>除</w:t>
                  </w:r>
                  <w:r>
                    <w:rPr>
                      <w:color w:val="auto"/>
                      <w:sz w:val="21"/>
                      <w:szCs w:val="21"/>
                    </w:rPr>
                    <w:t>总氮外）</w:t>
                  </w:r>
                  <w:r>
                    <w:rPr>
                      <w:rFonts w:hint="eastAsia"/>
                      <w:color w:val="auto"/>
                      <w:sz w:val="21"/>
                      <w:szCs w:val="21"/>
                    </w:rPr>
                    <w:t>同时</w:t>
                  </w:r>
                  <w:r>
                    <w:rPr>
                      <w:color w:val="auto"/>
                      <w:sz w:val="21"/>
                      <w:szCs w:val="21"/>
                    </w:rPr>
                    <w:t>满足《</w:t>
                  </w:r>
                  <w:r>
                    <w:rPr>
                      <w:rFonts w:hint="eastAsia"/>
                      <w:color w:val="auto"/>
                      <w:sz w:val="21"/>
                      <w:szCs w:val="21"/>
                    </w:rPr>
                    <w:t>地表水环境</w:t>
                  </w:r>
                  <w:r>
                    <w:rPr>
                      <w:color w:val="auto"/>
                      <w:sz w:val="21"/>
                      <w:szCs w:val="21"/>
                    </w:rPr>
                    <w:t>质量标准》</w:t>
                  </w:r>
                  <w:r>
                    <w:rPr>
                      <w:rFonts w:hint="eastAsia"/>
                      <w:color w:val="auto"/>
                      <w:sz w:val="21"/>
                      <w:szCs w:val="21"/>
                    </w:rPr>
                    <w:t>（GB</w:t>
                  </w:r>
                  <w:r>
                    <w:rPr>
                      <w:color w:val="auto"/>
                      <w:sz w:val="21"/>
                      <w:szCs w:val="21"/>
                    </w:rPr>
                    <w:t>3838-2002</w:t>
                  </w:r>
                  <w:r>
                    <w:rPr>
                      <w:rFonts w:hint="eastAsia"/>
                      <w:color w:val="auto"/>
                      <w:sz w:val="21"/>
                      <w:szCs w:val="21"/>
                    </w:rPr>
                    <w:t>）表1中Ⅳ类标准</w:t>
                  </w:r>
                </w:p>
              </w:tc>
              <w:tc>
                <w:tcPr>
                  <w:tcW w:w="709" w:type="dxa"/>
                  <w:shd w:val="clear" w:color="auto" w:fill="auto"/>
                  <w:vAlign w:val="center"/>
                </w:tcPr>
                <w:p>
                  <w:pPr>
                    <w:jc w:val="center"/>
                    <w:rPr>
                      <w:color w:val="auto"/>
                      <w:sz w:val="21"/>
                      <w:szCs w:val="21"/>
                    </w:rPr>
                  </w:pPr>
                  <w:r>
                    <w:rPr>
                      <w:rFonts w:hint="eastAsia"/>
                      <w:color w:val="auto"/>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6" w:type="dxa"/>
                  <w:vMerge w:val="continue"/>
                  <w:shd w:val="clear" w:color="auto" w:fill="auto"/>
                  <w:vAlign w:val="center"/>
                </w:tcPr>
                <w:p>
                  <w:pPr>
                    <w:jc w:val="center"/>
                    <w:rPr>
                      <w:color w:val="auto"/>
                      <w:sz w:val="21"/>
                      <w:szCs w:val="21"/>
                    </w:rPr>
                  </w:pPr>
                </w:p>
              </w:tc>
              <w:tc>
                <w:tcPr>
                  <w:tcW w:w="3304" w:type="dxa"/>
                  <w:shd w:val="clear" w:color="auto" w:fill="auto"/>
                  <w:vAlign w:val="center"/>
                </w:tcPr>
                <w:p>
                  <w:pPr>
                    <w:jc w:val="center"/>
                    <w:rPr>
                      <w:color w:val="auto"/>
                      <w:sz w:val="21"/>
                      <w:szCs w:val="21"/>
                    </w:rPr>
                  </w:pPr>
                  <w:r>
                    <w:rPr>
                      <w:rFonts w:hint="eastAsia"/>
                      <w:color w:val="auto"/>
                      <w:sz w:val="21"/>
                      <w:szCs w:val="21"/>
                    </w:rPr>
                    <w:t>加快</w:t>
                  </w:r>
                  <w:r>
                    <w:rPr>
                      <w:color w:val="auto"/>
                      <w:sz w:val="21"/>
                      <w:szCs w:val="21"/>
                    </w:rPr>
                    <w:t>污泥无害化处置设施建设，严</w:t>
                  </w:r>
                  <w:r>
                    <w:rPr>
                      <w:color w:val="auto"/>
                      <w:spacing w:val="-20"/>
                      <w:sz w:val="21"/>
                      <w:szCs w:val="21"/>
                    </w:rPr>
                    <w:t>禁处理处置不达标的污泥进入耕地</w:t>
                  </w:r>
                </w:p>
              </w:tc>
              <w:tc>
                <w:tcPr>
                  <w:tcW w:w="3642" w:type="dxa"/>
                  <w:shd w:val="clear" w:color="auto" w:fill="auto"/>
                  <w:vAlign w:val="center"/>
                </w:tcPr>
                <w:p>
                  <w:pPr>
                    <w:jc w:val="center"/>
                    <w:rPr>
                      <w:color w:val="auto"/>
                      <w:sz w:val="21"/>
                      <w:szCs w:val="21"/>
                    </w:rPr>
                  </w:pPr>
                  <w:r>
                    <w:rPr>
                      <w:rFonts w:hint="eastAsia"/>
                      <w:color w:val="auto"/>
                      <w:sz w:val="21"/>
                      <w:szCs w:val="21"/>
                    </w:rPr>
                    <w:t>项目</w:t>
                  </w:r>
                  <w:r>
                    <w:rPr>
                      <w:color w:val="auto"/>
                      <w:sz w:val="21"/>
                      <w:szCs w:val="21"/>
                    </w:rPr>
                    <w:t>污泥进行无害化处置，不进入耕地</w:t>
                  </w:r>
                </w:p>
              </w:tc>
              <w:tc>
                <w:tcPr>
                  <w:tcW w:w="709" w:type="dxa"/>
                  <w:shd w:val="clear" w:color="auto" w:fill="auto"/>
                  <w:vAlign w:val="center"/>
                </w:tcPr>
                <w:p>
                  <w:pPr>
                    <w:jc w:val="center"/>
                    <w:rPr>
                      <w:color w:val="auto"/>
                      <w:sz w:val="21"/>
                      <w:szCs w:val="21"/>
                    </w:rPr>
                  </w:pPr>
                  <w:r>
                    <w:rPr>
                      <w:rFonts w:hint="eastAsia"/>
                      <w:color w:val="auto"/>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1146" w:type="dxa"/>
                  <w:vMerge w:val="continue"/>
                  <w:shd w:val="clear" w:color="auto" w:fill="auto"/>
                  <w:vAlign w:val="center"/>
                </w:tcPr>
                <w:p>
                  <w:pPr>
                    <w:jc w:val="center"/>
                    <w:rPr>
                      <w:color w:val="auto"/>
                      <w:sz w:val="21"/>
                      <w:szCs w:val="21"/>
                    </w:rPr>
                  </w:pPr>
                </w:p>
              </w:tc>
              <w:tc>
                <w:tcPr>
                  <w:tcW w:w="3304" w:type="dxa"/>
                  <w:shd w:val="clear" w:color="auto" w:fill="auto"/>
                  <w:vAlign w:val="center"/>
                </w:tcPr>
                <w:p>
                  <w:pPr>
                    <w:jc w:val="center"/>
                    <w:rPr>
                      <w:color w:val="auto"/>
                      <w:sz w:val="21"/>
                      <w:szCs w:val="21"/>
                    </w:rPr>
                  </w:pPr>
                  <w:r>
                    <w:rPr>
                      <w:rFonts w:hint="eastAsia"/>
                      <w:color w:val="auto"/>
                      <w:sz w:val="21"/>
                      <w:szCs w:val="21"/>
                    </w:rPr>
                    <w:t>推进</w:t>
                  </w:r>
                  <w:r>
                    <w:rPr>
                      <w:color w:val="auto"/>
                      <w:sz w:val="21"/>
                      <w:szCs w:val="21"/>
                    </w:rPr>
                    <w:t>非常规水资源利用。促进</w:t>
                  </w:r>
                  <w:r>
                    <w:rPr>
                      <w:rFonts w:hint="eastAsia"/>
                      <w:color w:val="auto"/>
                      <w:sz w:val="21"/>
                      <w:szCs w:val="21"/>
                    </w:rPr>
                    <w:t>再生水</w:t>
                  </w:r>
                  <w:r>
                    <w:rPr>
                      <w:color w:val="auto"/>
                      <w:sz w:val="21"/>
                      <w:szCs w:val="21"/>
                    </w:rPr>
                    <w:t>利用。各地</w:t>
                  </w:r>
                  <w:r>
                    <w:rPr>
                      <w:rFonts w:hint="eastAsia"/>
                      <w:color w:val="auto"/>
                      <w:sz w:val="21"/>
                      <w:szCs w:val="21"/>
                    </w:rPr>
                    <w:t>加快</w:t>
                  </w:r>
                  <w:r>
                    <w:rPr>
                      <w:color w:val="auto"/>
                      <w:sz w:val="21"/>
                      <w:szCs w:val="21"/>
                    </w:rPr>
                    <w:t>推进城市再生水利用设施建设，工业生产、城市绿化、</w:t>
                  </w:r>
                  <w:r>
                    <w:rPr>
                      <w:rFonts w:hint="eastAsia"/>
                      <w:color w:val="auto"/>
                      <w:sz w:val="21"/>
                      <w:szCs w:val="21"/>
                    </w:rPr>
                    <w:t>接到清扫、</w:t>
                  </w:r>
                  <w:r>
                    <w:rPr>
                      <w:color w:val="auto"/>
                      <w:sz w:val="21"/>
                      <w:szCs w:val="21"/>
                    </w:rPr>
                    <w:t>车辆冲洗、建筑施工以及生态景观用水等，优先使用再生水</w:t>
                  </w:r>
                </w:p>
              </w:tc>
              <w:tc>
                <w:tcPr>
                  <w:tcW w:w="3642" w:type="dxa"/>
                  <w:shd w:val="clear" w:color="auto" w:fill="auto"/>
                  <w:vAlign w:val="center"/>
                </w:tcPr>
                <w:p>
                  <w:pPr>
                    <w:jc w:val="center"/>
                    <w:rPr>
                      <w:color w:val="auto"/>
                      <w:sz w:val="21"/>
                      <w:szCs w:val="21"/>
                    </w:rPr>
                  </w:pPr>
                  <w:r>
                    <w:rPr>
                      <w:rFonts w:hint="eastAsia"/>
                      <w:bCs/>
                      <w:snapToGrid w:val="0"/>
                      <w:color w:val="auto"/>
                      <w:sz w:val="21"/>
                      <w:szCs w:val="21"/>
                    </w:rPr>
                    <w:t>本项目中水部分</w:t>
                  </w:r>
                  <w:r>
                    <w:rPr>
                      <w:bCs/>
                      <w:snapToGrid w:val="0"/>
                      <w:color w:val="auto"/>
                      <w:sz w:val="21"/>
                      <w:szCs w:val="21"/>
                    </w:rPr>
                    <w:t>用于</w:t>
                  </w:r>
                  <w:r>
                    <w:rPr>
                      <w:rFonts w:hint="eastAsia"/>
                      <w:color w:val="auto"/>
                      <w:sz w:val="21"/>
                      <w:szCs w:val="21"/>
                    </w:rPr>
                    <w:t>旭阳工业园区、建投邢台热电有限责任公司、国泰电厂等工矿企业作为</w:t>
                  </w:r>
                  <w:r>
                    <w:rPr>
                      <w:color w:val="auto"/>
                      <w:sz w:val="21"/>
                      <w:szCs w:val="21"/>
                    </w:rPr>
                    <w:t>工业补水</w:t>
                  </w:r>
                  <w:r>
                    <w:rPr>
                      <w:rFonts w:hint="eastAsia"/>
                      <w:color w:val="auto"/>
                      <w:sz w:val="21"/>
                      <w:szCs w:val="21"/>
                    </w:rPr>
                    <w:t>及园林绿化用水外</w:t>
                  </w:r>
                  <w:r>
                    <w:rPr>
                      <w:bCs/>
                      <w:snapToGrid w:val="0"/>
                      <w:color w:val="auto"/>
                      <w:sz w:val="21"/>
                      <w:szCs w:val="21"/>
                    </w:rPr>
                    <w:t>，</w:t>
                  </w:r>
                  <w:r>
                    <w:rPr>
                      <w:rFonts w:hint="eastAsia"/>
                      <w:bCs/>
                      <w:snapToGrid w:val="0"/>
                      <w:color w:val="auto"/>
                      <w:sz w:val="21"/>
                      <w:szCs w:val="21"/>
                    </w:rPr>
                    <w:t>剩余</w:t>
                  </w:r>
                  <w:r>
                    <w:rPr>
                      <w:bCs/>
                      <w:snapToGrid w:val="0"/>
                      <w:color w:val="auto"/>
                      <w:sz w:val="21"/>
                      <w:szCs w:val="21"/>
                    </w:rPr>
                    <w:t>部分</w:t>
                  </w:r>
                  <w:r>
                    <w:rPr>
                      <w:color w:val="auto"/>
                      <w:sz w:val="21"/>
                      <w:szCs w:val="21"/>
                    </w:rPr>
                    <w:t>排</w:t>
                  </w:r>
                  <w:r>
                    <w:rPr>
                      <w:rFonts w:hint="eastAsia"/>
                      <w:color w:val="auto"/>
                      <w:sz w:val="21"/>
                      <w:szCs w:val="21"/>
                    </w:rPr>
                    <w:t>至</w:t>
                  </w:r>
                  <w:r>
                    <w:rPr>
                      <w:color w:val="auto"/>
                      <w:sz w:val="21"/>
                      <w:szCs w:val="21"/>
                    </w:rPr>
                    <w:t>围寨河，最终经牛尾</w:t>
                  </w:r>
                  <w:r>
                    <w:rPr>
                      <w:rFonts w:hint="eastAsia"/>
                      <w:color w:val="auto"/>
                      <w:sz w:val="21"/>
                      <w:szCs w:val="21"/>
                    </w:rPr>
                    <w:t>河</w:t>
                  </w:r>
                  <w:r>
                    <w:rPr>
                      <w:color w:val="auto"/>
                      <w:sz w:val="21"/>
                      <w:szCs w:val="21"/>
                    </w:rPr>
                    <w:t>汇入滏阳河</w:t>
                  </w:r>
                  <w:r>
                    <w:rPr>
                      <w:rFonts w:hint="eastAsia"/>
                      <w:color w:val="auto"/>
                      <w:sz w:val="21"/>
                      <w:szCs w:val="21"/>
                    </w:rPr>
                    <w:t>。</w:t>
                  </w:r>
                </w:p>
              </w:tc>
              <w:tc>
                <w:tcPr>
                  <w:tcW w:w="709" w:type="dxa"/>
                  <w:shd w:val="clear" w:color="auto" w:fill="auto"/>
                  <w:vAlign w:val="center"/>
                </w:tcPr>
                <w:p>
                  <w:pPr>
                    <w:jc w:val="center"/>
                    <w:rPr>
                      <w:color w:val="auto"/>
                      <w:sz w:val="21"/>
                      <w:szCs w:val="21"/>
                    </w:rPr>
                  </w:pPr>
                  <w:r>
                    <w:rPr>
                      <w:rFonts w:hint="eastAsia"/>
                      <w:color w:val="auto"/>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146" w:type="dxa"/>
                  <w:shd w:val="clear" w:color="auto" w:fill="auto"/>
                  <w:vAlign w:val="center"/>
                </w:tcPr>
                <w:p>
                  <w:pPr>
                    <w:jc w:val="center"/>
                    <w:rPr>
                      <w:color w:val="auto"/>
                      <w:sz w:val="21"/>
                      <w:szCs w:val="21"/>
                    </w:rPr>
                  </w:pPr>
                  <w:r>
                    <w:rPr>
                      <w:rFonts w:hint="eastAsia"/>
                      <w:color w:val="auto"/>
                      <w:sz w:val="21"/>
                      <w:szCs w:val="21"/>
                    </w:rPr>
                    <w:t>邢台市20</w:t>
                  </w:r>
                  <w:r>
                    <w:rPr>
                      <w:color w:val="auto"/>
                      <w:sz w:val="21"/>
                      <w:szCs w:val="21"/>
                    </w:rPr>
                    <w:t>20</w:t>
                  </w:r>
                  <w:r>
                    <w:rPr>
                      <w:rFonts w:hint="eastAsia"/>
                      <w:color w:val="auto"/>
                      <w:sz w:val="21"/>
                      <w:szCs w:val="21"/>
                    </w:rPr>
                    <w:t>年度</w:t>
                  </w:r>
                  <w:r>
                    <w:rPr>
                      <w:color w:val="auto"/>
                      <w:sz w:val="21"/>
                      <w:szCs w:val="21"/>
                    </w:rPr>
                    <w:t>水污染防治工作实施方案</w:t>
                  </w:r>
                </w:p>
                <w:p>
                  <w:pPr>
                    <w:jc w:val="center"/>
                    <w:rPr>
                      <w:color w:val="auto"/>
                      <w:sz w:val="21"/>
                      <w:szCs w:val="21"/>
                    </w:rPr>
                  </w:pPr>
                  <w:r>
                    <w:rPr>
                      <w:rFonts w:hint="eastAsia"/>
                      <w:color w:val="auto"/>
                      <w:sz w:val="21"/>
                      <w:szCs w:val="21"/>
                    </w:rPr>
                    <w:t>邢</w:t>
                  </w:r>
                  <w:r>
                    <w:rPr>
                      <w:color w:val="auto"/>
                      <w:sz w:val="21"/>
                      <w:szCs w:val="21"/>
                    </w:rPr>
                    <w:t>办</w:t>
                  </w:r>
                  <w:r>
                    <w:rPr>
                      <w:rFonts w:hint="eastAsia"/>
                      <w:color w:val="auto"/>
                      <w:sz w:val="21"/>
                      <w:szCs w:val="21"/>
                    </w:rPr>
                    <w:t>字[20</w:t>
                  </w:r>
                  <w:r>
                    <w:rPr>
                      <w:color w:val="auto"/>
                      <w:sz w:val="21"/>
                      <w:szCs w:val="21"/>
                    </w:rPr>
                    <w:t>20</w:t>
                  </w:r>
                  <w:r>
                    <w:rPr>
                      <w:rFonts w:hint="eastAsia"/>
                      <w:color w:val="auto"/>
                      <w:sz w:val="21"/>
                      <w:szCs w:val="21"/>
                    </w:rPr>
                    <w:t>]</w:t>
                  </w:r>
                  <w:r>
                    <w:rPr>
                      <w:color w:val="auto"/>
                      <w:sz w:val="21"/>
                      <w:szCs w:val="21"/>
                    </w:rPr>
                    <w:t>2</w:t>
                  </w:r>
                  <w:r>
                    <w:rPr>
                      <w:rFonts w:hint="eastAsia"/>
                      <w:color w:val="auto"/>
                      <w:sz w:val="21"/>
                      <w:szCs w:val="21"/>
                    </w:rPr>
                    <w:t>号</w:t>
                  </w:r>
                </w:p>
              </w:tc>
              <w:tc>
                <w:tcPr>
                  <w:tcW w:w="3304" w:type="dxa"/>
                  <w:shd w:val="clear" w:color="auto" w:fill="auto"/>
                  <w:vAlign w:val="center"/>
                </w:tcPr>
                <w:p>
                  <w:pPr>
                    <w:jc w:val="center"/>
                    <w:rPr>
                      <w:color w:val="auto"/>
                      <w:sz w:val="21"/>
                      <w:szCs w:val="21"/>
                    </w:rPr>
                  </w:pPr>
                  <w:r>
                    <w:rPr>
                      <w:rFonts w:hint="eastAsia"/>
                      <w:color w:val="auto"/>
                      <w:sz w:val="21"/>
                      <w:szCs w:val="21"/>
                    </w:rPr>
                    <w:t>全面</w:t>
                  </w:r>
                  <w:r>
                    <w:rPr>
                      <w:color w:val="auto"/>
                      <w:sz w:val="21"/>
                      <w:szCs w:val="21"/>
                    </w:rPr>
                    <w:t>提升</w:t>
                  </w:r>
                  <w:r>
                    <w:rPr>
                      <w:rFonts w:hint="eastAsia"/>
                      <w:color w:val="auto"/>
                      <w:sz w:val="21"/>
                      <w:szCs w:val="21"/>
                    </w:rPr>
                    <w:t>污水</w:t>
                  </w:r>
                  <w:r>
                    <w:rPr>
                      <w:color w:val="auto"/>
                      <w:sz w:val="21"/>
                      <w:szCs w:val="21"/>
                    </w:rPr>
                    <w:t>治理水平，</w:t>
                  </w:r>
                  <w:r>
                    <w:rPr>
                      <w:rFonts w:hint="eastAsia"/>
                      <w:color w:val="auto"/>
                      <w:sz w:val="21"/>
                      <w:szCs w:val="21"/>
                    </w:rPr>
                    <w:t>持续推进污水</w:t>
                  </w:r>
                  <w:r>
                    <w:rPr>
                      <w:color w:val="auto"/>
                      <w:sz w:val="21"/>
                      <w:szCs w:val="21"/>
                    </w:rPr>
                    <w:t>处理厂</w:t>
                  </w:r>
                  <w:r>
                    <w:rPr>
                      <w:rFonts w:hint="eastAsia"/>
                      <w:color w:val="auto"/>
                      <w:sz w:val="21"/>
                      <w:szCs w:val="21"/>
                    </w:rPr>
                    <w:t>提标</w:t>
                  </w:r>
                  <w:r>
                    <w:rPr>
                      <w:color w:val="auto"/>
                      <w:sz w:val="21"/>
                      <w:szCs w:val="21"/>
                    </w:rPr>
                    <w:t>改造</w:t>
                  </w:r>
                </w:p>
                <w:p>
                  <w:pPr>
                    <w:rPr>
                      <w:color w:val="auto"/>
                      <w:sz w:val="21"/>
                      <w:szCs w:val="21"/>
                    </w:rPr>
                  </w:pPr>
                </w:p>
              </w:tc>
              <w:tc>
                <w:tcPr>
                  <w:tcW w:w="3642" w:type="dxa"/>
                  <w:shd w:val="clear" w:color="auto" w:fill="auto"/>
                  <w:vAlign w:val="center"/>
                </w:tcPr>
                <w:p>
                  <w:pPr>
                    <w:jc w:val="center"/>
                    <w:rPr>
                      <w:color w:val="auto"/>
                      <w:sz w:val="21"/>
                      <w:szCs w:val="21"/>
                    </w:rPr>
                  </w:pPr>
                  <w:r>
                    <w:rPr>
                      <w:rFonts w:hint="eastAsia"/>
                      <w:color w:val="auto"/>
                      <w:sz w:val="21"/>
                      <w:szCs w:val="21"/>
                    </w:rPr>
                    <w:t>本项目对</w:t>
                  </w:r>
                  <w:r>
                    <w:rPr>
                      <w:color w:val="auto"/>
                      <w:sz w:val="21"/>
                      <w:szCs w:val="21"/>
                    </w:rPr>
                    <w:t>污水处理厂进行提标改造，</w:t>
                  </w:r>
                  <w:r>
                    <w:rPr>
                      <w:rFonts w:hint="eastAsia"/>
                      <w:color w:val="auto"/>
                      <w:sz w:val="21"/>
                      <w:szCs w:val="21"/>
                    </w:rPr>
                    <w:t>增加生物池、高效沉淀池、高级氧化池等，技改后</w:t>
                  </w:r>
                  <w:r>
                    <w:rPr>
                      <w:color w:val="auto"/>
                      <w:sz w:val="21"/>
                      <w:szCs w:val="21"/>
                    </w:rPr>
                    <w:t>采用</w:t>
                  </w:r>
                  <w:r>
                    <w:rPr>
                      <w:rFonts w:hint="eastAsia"/>
                      <w:color w:val="auto"/>
                      <w:sz w:val="21"/>
                      <w:szCs w:val="21"/>
                    </w:rPr>
                    <w:t>“</w:t>
                  </w:r>
                  <w:r>
                    <w:rPr>
                      <w:rFonts w:hint="eastAsia"/>
                      <w:color w:val="auto"/>
                      <w:sz w:val="21"/>
                      <w:szCs w:val="21"/>
                      <w:lang w:eastAsia="zh-CN"/>
                    </w:rPr>
                    <w:t>预处理+好氧+除磷+粉末C吸附</w:t>
                  </w:r>
                  <w:r>
                    <w:rPr>
                      <w:rFonts w:hint="eastAsia"/>
                      <w:color w:val="auto"/>
                      <w:sz w:val="21"/>
                      <w:szCs w:val="21"/>
                    </w:rPr>
                    <w:t>”</w:t>
                  </w:r>
                  <w:r>
                    <w:rPr>
                      <w:color w:val="auto"/>
                      <w:sz w:val="21"/>
                      <w:szCs w:val="21"/>
                    </w:rPr>
                    <w:t>处理工艺</w:t>
                  </w:r>
                  <w:r>
                    <w:rPr>
                      <w:rFonts w:hint="eastAsia"/>
                      <w:color w:val="auto"/>
                      <w:sz w:val="21"/>
                      <w:szCs w:val="21"/>
                    </w:rPr>
                    <w:t>，</w:t>
                  </w:r>
                  <w:r>
                    <w:rPr>
                      <w:color w:val="auto"/>
                      <w:sz w:val="21"/>
                      <w:szCs w:val="21"/>
                    </w:rPr>
                    <w:t>提高</w:t>
                  </w:r>
                  <w:r>
                    <w:rPr>
                      <w:rFonts w:hint="eastAsia"/>
                      <w:color w:val="auto"/>
                      <w:sz w:val="21"/>
                      <w:szCs w:val="21"/>
                    </w:rPr>
                    <w:t>了</w:t>
                  </w:r>
                  <w:r>
                    <w:rPr>
                      <w:color w:val="auto"/>
                      <w:sz w:val="21"/>
                      <w:szCs w:val="21"/>
                    </w:rPr>
                    <w:t>污水</w:t>
                  </w:r>
                  <w:r>
                    <w:rPr>
                      <w:rFonts w:hint="eastAsia"/>
                      <w:color w:val="auto"/>
                      <w:sz w:val="21"/>
                      <w:szCs w:val="21"/>
                    </w:rPr>
                    <w:t>中</w:t>
                  </w:r>
                  <w:r>
                    <w:rPr>
                      <w:color w:val="auto"/>
                      <w:sz w:val="21"/>
                      <w:szCs w:val="21"/>
                    </w:rPr>
                    <w:t>各</w:t>
                  </w:r>
                  <w:r>
                    <w:rPr>
                      <w:rFonts w:hint="eastAsia"/>
                      <w:color w:val="auto"/>
                      <w:sz w:val="21"/>
                      <w:szCs w:val="21"/>
                    </w:rPr>
                    <w:t>污染物的去除</w:t>
                  </w:r>
                  <w:r>
                    <w:rPr>
                      <w:color w:val="auto"/>
                      <w:sz w:val="21"/>
                      <w:szCs w:val="21"/>
                    </w:rPr>
                    <w:t>效率</w:t>
                  </w:r>
                </w:p>
              </w:tc>
              <w:tc>
                <w:tcPr>
                  <w:tcW w:w="709" w:type="dxa"/>
                  <w:shd w:val="clear" w:color="auto" w:fill="auto"/>
                  <w:vAlign w:val="center"/>
                </w:tcPr>
                <w:p>
                  <w:pPr>
                    <w:jc w:val="center"/>
                    <w:rPr>
                      <w:color w:val="auto"/>
                      <w:sz w:val="21"/>
                      <w:szCs w:val="21"/>
                    </w:rPr>
                  </w:pPr>
                  <w:r>
                    <w:rPr>
                      <w:rFonts w:hint="eastAsia"/>
                      <w:color w:val="auto"/>
                      <w:sz w:val="21"/>
                      <w:szCs w:val="21"/>
                    </w:rPr>
                    <w:t>符合</w:t>
                  </w:r>
                </w:p>
              </w:tc>
            </w:tr>
          </w:tbl>
          <w:p>
            <w:pPr>
              <w:spacing w:line="360" w:lineRule="auto"/>
              <w:ind w:firstLine="474" w:firstLineChars="200"/>
              <w:contextualSpacing/>
              <w:rPr>
                <w:b/>
                <w:bCs/>
                <w:spacing w:val="-2"/>
                <w:sz w:val="24"/>
                <w:szCs w:val="24"/>
              </w:rPr>
            </w:pPr>
            <w:r>
              <w:rPr>
                <w:rFonts w:hint="eastAsia"/>
                <w:b/>
                <w:bCs/>
                <w:spacing w:val="-2"/>
                <w:sz w:val="24"/>
                <w:szCs w:val="24"/>
              </w:rPr>
              <w:t>（4）“三线</w:t>
            </w:r>
            <w:r>
              <w:rPr>
                <w:b/>
                <w:bCs/>
                <w:spacing w:val="-2"/>
                <w:sz w:val="24"/>
                <w:szCs w:val="24"/>
              </w:rPr>
              <w:t>一单</w:t>
            </w:r>
            <w:r>
              <w:rPr>
                <w:rFonts w:hint="eastAsia"/>
                <w:b/>
                <w:bCs/>
                <w:spacing w:val="-2"/>
                <w:sz w:val="24"/>
                <w:szCs w:val="24"/>
              </w:rPr>
              <w:t>”符合性</w:t>
            </w:r>
            <w:r>
              <w:rPr>
                <w:b/>
                <w:bCs/>
                <w:spacing w:val="-2"/>
                <w:sz w:val="24"/>
                <w:szCs w:val="24"/>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生态保护红线符合性分析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szCs w:val="24"/>
                <w:highlight w:val="none"/>
              </w:rPr>
              <w:t>根据《河北省生态保护红线》</w:t>
            </w:r>
            <w:r>
              <w:rPr>
                <w:rFonts w:hint="default" w:ascii="Times New Roman" w:hAnsi="Times New Roman" w:eastAsia="宋体" w:cs="Times New Roman"/>
                <w:color w:val="auto"/>
                <w:sz w:val="24"/>
                <w:szCs w:val="24"/>
                <w:highlight w:val="none"/>
                <w:lang w:eastAsia="zh-CN"/>
              </w:rPr>
              <w:t>，河北省</w:t>
            </w:r>
            <w:r>
              <w:rPr>
                <w:rFonts w:hint="default" w:ascii="Times New Roman" w:hAnsi="Times New Roman" w:eastAsia="宋体" w:cs="Times New Roman"/>
                <w:color w:val="auto"/>
                <w:sz w:val="24"/>
              </w:rPr>
              <w:t>全省生态保护红线总面积4.05万平方公里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占全省国土面积的20.70%。其中</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陆域生态保护红线面积3.86万平方公里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占全省陆域国土面积的20.49%</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海洋生态保护红线面积1880平方公里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占全省管辖海域面积的26.02%。</w:t>
            </w:r>
            <w:r>
              <w:rPr>
                <w:rFonts w:hint="default" w:ascii="Times New Roman" w:hAnsi="Times New Roman" w:eastAsia="宋体" w:cs="Times New Roman"/>
                <w:color w:val="auto"/>
                <w:sz w:val="24"/>
                <w:szCs w:val="22"/>
                <w:lang w:val="en-US" w:eastAsia="zh-CN"/>
              </w:rPr>
              <w:t>威县</w:t>
            </w:r>
            <w:r>
              <w:rPr>
                <w:rFonts w:hint="default" w:ascii="Times New Roman" w:hAnsi="Times New Roman" w:eastAsia="宋体" w:cs="Times New Roman"/>
                <w:color w:val="auto"/>
                <w:sz w:val="24"/>
                <w:szCs w:val="22"/>
                <w:lang w:eastAsia="zh-CN"/>
              </w:rPr>
              <w:t>生态保护红线总面积为</w:t>
            </w:r>
            <w:r>
              <w:rPr>
                <w:rFonts w:hint="default" w:ascii="Times New Roman" w:hAnsi="Times New Roman" w:eastAsia="宋体" w:cs="Times New Roman"/>
                <w:color w:val="auto"/>
                <w:sz w:val="24"/>
                <w:szCs w:val="22"/>
                <w:lang w:val="en-US" w:eastAsia="zh-CN"/>
              </w:rPr>
              <w:t>1.40</w:t>
            </w:r>
            <w:r>
              <w:rPr>
                <w:rFonts w:hint="default" w:ascii="Times New Roman" w:hAnsi="Times New Roman" w:eastAsia="宋体" w:cs="Times New Roman"/>
                <w:color w:val="auto"/>
                <w:sz w:val="24"/>
                <w:szCs w:val="22"/>
                <w:lang w:eastAsia="zh-CN"/>
              </w:rPr>
              <w:t>km</w:t>
            </w:r>
            <w:r>
              <w:rPr>
                <w:rFonts w:hint="default" w:ascii="Times New Roman" w:hAnsi="Times New Roman" w:eastAsia="宋体" w:cs="Times New Roman"/>
                <w:color w:val="auto"/>
                <w:sz w:val="24"/>
                <w:szCs w:val="22"/>
                <w:vertAlign w:val="superscript"/>
                <w:lang w:eastAsia="zh-CN"/>
              </w:rPr>
              <w:t>2</w:t>
            </w:r>
            <w:r>
              <w:rPr>
                <w:rFonts w:hint="default" w:ascii="Times New Roman" w:hAnsi="Times New Roman" w:eastAsia="宋体" w:cs="Times New Roman"/>
                <w:color w:val="auto"/>
                <w:sz w:val="24"/>
                <w:szCs w:val="22"/>
                <w:lang w:eastAsia="zh-CN"/>
              </w:rPr>
              <w:t>，占全</w:t>
            </w:r>
            <w:r>
              <w:rPr>
                <w:rFonts w:hint="default" w:ascii="Times New Roman" w:hAnsi="Times New Roman" w:eastAsia="宋体" w:cs="Times New Roman"/>
                <w:color w:val="auto"/>
                <w:sz w:val="24"/>
                <w:szCs w:val="22"/>
                <w:lang w:val="en-US" w:eastAsia="zh-CN"/>
              </w:rPr>
              <w:t>县国土</w:t>
            </w:r>
            <w:r>
              <w:rPr>
                <w:rFonts w:hint="default" w:ascii="Times New Roman" w:hAnsi="Times New Roman" w:eastAsia="宋体" w:cs="Times New Roman"/>
                <w:color w:val="auto"/>
                <w:sz w:val="24"/>
                <w:szCs w:val="22"/>
                <w:lang w:eastAsia="zh-CN"/>
              </w:rPr>
              <w:t>面积的</w:t>
            </w:r>
            <w:r>
              <w:rPr>
                <w:rFonts w:hint="default" w:ascii="Times New Roman" w:hAnsi="Times New Roman" w:eastAsia="宋体" w:cs="Times New Roman"/>
                <w:color w:val="auto"/>
                <w:sz w:val="24"/>
                <w:szCs w:val="22"/>
                <w:lang w:val="en-US" w:eastAsia="zh-CN"/>
              </w:rPr>
              <w:t>0.14</w:t>
            </w:r>
            <w:r>
              <w:rPr>
                <w:rFonts w:hint="default" w:ascii="Times New Roman" w:hAnsi="Times New Roman" w:eastAsia="宋体" w:cs="Times New Roman"/>
                <w:color w:val="auto"/>
                <w:sz w:val="24"/>
                <w:szCs w:val="22"/>
                <w:lang w:eastAsia="zh-CN"/>
              </w:rPr>
              <w:t>%。</w:t>
            </w:r>
            <w:r>
              <w:rPr>
                <w:rFonts w:hint="default" w:ascii="Times New Roman" w:hAnsi="Times New Roman" w:eastAsia="宋体" w:cs="Times New Roman"/>
                <w:color w:val="auto"/>
                <w:sz w:val="24"/>
                <w:szCs w:val="22"/>
                <w:lang w:val="en-US" w:eastAsia="zh-CN"/>
              </w:rPr>
              <w:t>本区域</w:t>
            </w:r>
            <w:r>
              <w:rPr>
                <w:rFonts w:hint="default" w:ascii="Times New Roman" w:hAnsi="Times New Roman" w:eastAsia="宋体" w:cs="Times New Roman"/>
                <w:color w:val="auto"/>
                <w:sz w:val="24"/>
                <w:szCs w:val="22"/>
                <w:lang w:eastAsia="zh-CN"/>
              </w:rPr>
              <w:t>生态保护红线类型</w:t>
            </w:r>
            <w:r>
              <w:rPr>
                <w:rFonts w:hint="default" w:ascii="Times New Roman" w:hAnsi="Times New Roman" w:eastAsia="宋体" w:cs="Times New Roman"/>
                <w:color w:val="auto"/>
                <w:sz w:val="24"/>
                <w:szCs w:val="22"/>
                <w:lang w:val="en-US" w:eastAsia="zh-CN"/>
              </w:rPr>
              <w:t>为</w:t>
            </w:r>
            <w:r>
              <w:rPr>
                <w:rFonts w:hint="default" w:ascii="Times New Roman" w:hAnsi="Times New Roman" w:eastAsia="宋体" w:cs="Times New Roman"/>
                <w:color w:val="auto"/>
                <w:sz w:val="24"/>
                <w:szCs w:val="22"/>
                <w:lang w:eastAsia="zh-CN"/>
              </w:rPr>
              <w:t>河湖滨岸带敏感脆弱区。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highlight w:val="none"/>
                <w:lang w:val="en-US" w:eastAsia="zh-CN"/>
              </w:rPr>
              <w:t>威县</w:t>
            </w:r>
            <w:r>
              <w:rPr>
                <w:rFonts w:hint="default" w:ascii="Times New Roman" w:hAnsi="Times New Roman" w:eastAsia="宋体" w:cs="Times New Roman"/>
                <w:color w:val="auto"/>
                <w:sz w:val="24"/>
                <w:szCs w:val="22"/>
                <w:highlight w:val="none"/>
              </w:rPr>
              <w:t>生态保护红线主要</w:t>
            </w:r>
            <w:r>
              <w:rPr>
                <w:rFonts w:hint="default" w:ascii="Times New Roman" w:hAnsi="Times New Roman" w:eastAsia="宋体" w:cs="Times New Roman"/>
                <w:color w:val="auto"/>
                <w:sz w:val="24"/>
                <w:szCs w:val="22"/>
                <w:highlight w:val="none"/>
                <w:lang w:val="en-US" w:eastAsia="zh-CN"/>
              </w:rPr>
              <w:t>沿老沙河分布。老沙河红线区东起刘家庄村、杨常屯村，南至沙河辛庄村、冯庄村，间断分布</w:t>
            </w:r>
            <w:r>
              <w:rPr>
                <w:rFonts w:hint="default" w:ascii="Times New Roman" w:hAnsi="Times New Roman" w:eastAsia="宋体" w:cs="Times New Roman"/>
                <w:color w:val="auto"/>
                <w:sz w:val="24"/>
                <w:szCs w:val="22"/>
                <w:highlight w:val="none"/>
                <w:lang w:eastAsia="zh-CN"/>
              </w:rPr>
              <w:t>，不在其红线范围内，本项目与其最近距离为</w:t>
            </w:r>
            <w:r>
              <w:rPr>
                <w:rFonts w:hint="default" w:ascii="Times New Roman" w:hAnsi="Times New Roman" w:eastAsia="宋体" w:cs="Times New Roman"/>
                <w:color w:val="auto"/>
                <w:sz w:val="24"/>
                <w:szCs w:val="22"/>
                <w:highlight w:val="none"/>
                <w:lang w:val="en-US" w:eastAsia="zh-CN"/>
              </w:rPr>
              <w:t>8.69km</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2"/>
                <w:lang w:eastAsia="zh-CN"/>
              </w:rPr>
              <w:t>威县</w:t>
            </w:r>
            <w:r>
              <w:rPr>
                <w:rFonts w:hint="default" w:ascii="Times New Roman" w:hAnsi="Times New Roman" w:eastAsia="宋体" w:cs="Times New Roman"/>
                <w:color w:val="auto"/>
                <w:sz w:val="24"/>
                <w:szCs w:val="22"/>
              </w:rPr>
              <w:t>生态保护红线区分布见图</w:t>
            </w:r>
            <w:r>
              <w:rPr>
                <w:rFonts w:hint="default" w:ascii="Times New Roman" w:hAnsi="Times New Roman" w:eastAsia="宋体" w:cs="Times New Roman"/>
                <w:color w:val="auto"/>
                <w:sz w:val="24"/>
                <w:szCs w:val="22"/>
                <w:lang w:val="en-US" w:eastAsia="zh-CN"/>
              </w:rPr>
              <w:t>4。</w:t>
            </w:r>
          </w:p>
          <w:p>
            <w:pPr>
              <w:pStyle w:val="11"/>
              <w:rPr>
                <w:rFonts w:hint="default" w:ascii="Times New Roman" w:hAnsi="Times New Roman" w:eastAsia="宋体" w:cs="Times New Roman"/>
                <w:color w:val="auto"/>
                <w:sz w:val="24"/>
                <w:szCs w:val="22"/>
                <w:lang w:val="en-US" w:eastAsia="zh-CN"/>
              </w:rPr>
            </w:pPr>
          </w:p>
          <w:p>
            <w:pPr>
              <w:pStyle w:val="8"/>
              <w:rPr>
                <w:rFonts w:hint="default" w:ascii="Times New Roman" w:hAnsi="Times New Roman" w:eastAsia="宋体" w:cs="Times New Roman"/>
                <w:color w:val="auto"/>
                <w:sz w:val="24"/>
                <w:szCs w:val="22"/>
                <w:lang w:val="en-US" w:eastAsia="zh-CN"/>
              </w:rPr>
            </w:pPr>
          </w:p>
          <w:p>
            <w:pPr>
              <w:rPr>
                <w:rFonts w:hint="default" w:ascii="Times New Roman" w:hAnsi="Times New Roman" w:eastAsia="宋体" w:cs="Times New Roman"/>
                <w:color w:val="auto"/>
                <w:sz w:val="24"/>
                <w:szCs w:val="22"/>
                <w:lang w:val="en-US" w:eastAsia="zh-CN"/>
              </w:rPr>
            </w:pPr>
          </w:p>
          <w:p>
            <w:pPr>
              <w:pStyle w:val="11"/>
              <w:rPr>
                <w:rFonts w:hint="default" w:ascii="Times New Roman" w:hAnsi="Times New Roman" w:eastAsia="宋体" w:cs="Times New Roman"/>
                <w:color w:val="auto"/>
                <w:sz w:val="24"/>
                <w:szCs w:val="22"/>
                <w:lang w:val="en-US" w:eastAsia="zh-CN"/>
              </w:rPr>
            </w:pPr>
          </w:p>
          <w:p>
            <w:pPr>
              <w:pStyle w:val="8"/>
              <w:rPr>
                <w:rFonts w:hint="default" w:ascii="Times New Roman" w:hAnsi="Times New Roman" w:eastAsia="宋体" w:cs="Times New Roman"/>
                <w:color w:val="auto"/>
                <w:sz w:val="24"/>
                <w:szCs w:val="22"/>
                <w:lang w:val="en-US" w:eastAsia="zh-CN"/>
              </w:rPr>
            </w:pPr>
          </w:p>
          <w:p>
            <w:pPr>
              <w:rPr>
                <w:rFonts w:hint="default" w:ascii="Times New Roman" w:hAnsi="Times New Roman" w:eastAsia="宋体" w:cs="Times New Roman"/>
                <w:color w:val="auto"/>
                <w:sz w:val="24"/>
                <w:szCs w:val="22"/>
                <w:lang w:val="en-US" w:eastAsia="zh-CN"/>
              </w:rPr>
            </w:pPr>
          </w:p>
          <w:p>
            <w:pPr>
              <w:pStyle w:val="11"/>
              <w:rPr>
                <w:rFonts w:hint="default" w:ascii="Times New Roman" w:hAnsi="Times New Roman" w:eastAsia="宋体" w:cs="Times New Roman"/>
                <w:color w:val="auto"/>
                <w:sz w:val="24"/>
                <w:szCs w:val="22"/>
                <w:lang w:val="en-US" w:eastAsia="zh-CN"/>
              </w:rPr>
            </w:pPr>
          </w:p>
          <w:p>
            <w:pPr>
              <w:pStyle w:val="8"/>
              <w:rPr>
                <w:rFonts w:hint="default" w:ascii="Times New Roman" w:hAnsi="Times New Roman" w:eastAsia="宋体" w:cs="Times New Roman"/>
                <w:color w:val="auto"/>
                <w:sz w:val="24"/>
                <w:szCs w:val="22"/>
                <w:lang w:val="en-US" w:eastAsia="zh-CN"/>
              </w:rPr>
            </w:pPr>
          </w:p>
          <w:p>
            <w:pPr>
              <w:rPr>
                <w:rFonts w:hint="default" w:ascii="Times New Roman" w:hAnsi="Times New Roman" w:eastAsia="宋体" w:cs="Times New Roman"/>
                <w:color w:val="auto"/>
                <w:sz w:val="24"/>
                <w:szCs w:val="22"/>
                <w:lang w:val="en-US" w:eastAsia="zh-CN"/>
              </w:rPr>
            </w:pPr>
          </w:p>
          <w:p>
            <w:pPr>
              <w:pStyle w:val="2"/>
              <w:rPr>
                <w:rFonts w:hint="default"/>
                <w:lang w:val="en-US" w:eastAsia="zh-CN"/>
              </w:rPr>
            </w:pPr>
          </w:p>
          <w:p>
            <w:pPr>
              <w:rPr>
                <w:rFonts w:hint="default" w:ascii="Times New Roman" w:hAnsi="Times New Roman" w:eastAsia="宋体" w:cs="Times New Roman"/>
                <w:color w:val="auto"/>
                <w:sz w:val="24"/>
                <w:szCs w:val="22"/>
                <w:lang w:val="en-US" w:eastAsia="zh-CN"/>
              </w:rPr>
            </w:pPr>
          </w:p>
          <w:p>
            <w:pPr>
              <w:pStyle w:val="11"/>
              <w:rPr>
                <w:rFonts w:hint="default" w:ascii="Times New Roman" w:hAnsi="Times New Roman" w:eastAsia="宋体" w:cs="Times New Roman"/>
                <w:color w:val="auto"/>
                <w:sz w:val="24"/>
                <w:szCs w:val="22"/>
                <w:lang w:val="en-US" w:eastAsia="zh-CN"/>
              </w:rPr>
            </w:pPr>
          </w:p>
          <w:p>
            <w:pPr>
              <w:pStyle w:val="2"/>
              <w:rPr>
                <w:rFonts w:hint="default" w:ascii="Times New Roman" w:hAnsi="Times New Roman" w:eastAsia="宋体" w:cs="Times New Roman"/>
                <w:b/>
                <w:bCs/>
                <w:color w:val="auto"/>
                <w:sz w:val="24"/>
                <w:szCs w:val="24"/>
                <w:highlight w:val="yellow"/>
              </w:rPr>
            </w:pPr>
            <w:r>
              <w:rPr>
                <w:rFonts w:hint="default" w:ascii="Times New Roman" w:hAnsi="Times New Roman" w:eastAsia="宋体" w:cs="Times New Roman"/>
                <w:color w:val="auto"/>
                <w:lang w:eastAsia="zh-CN"/>
              </w:rPr>
              <w:drawing>
                <wp:anchor distT="0" distB="0" distL="114300" distR="114300" simplePos="0" relativeHeight="251703296" behindDoc="1" locked="0" layoutInCell="1" allowOverlap="1">
                  <wp:simplePos x="0" y="0"/>
                  <wp:positionH relativeFrom="column">
                    <wp:posOffset>193675</wp:posOffset>
                  </wp:positionH>
                  <wp:positionV relativeFrom="paragraph">
                    <wp:posOffset>81915</wp:posOffset>
                  </wp:positionV>
                  <wp:extent cx="4792980" cy="7112635"/>
                  <wp:effectExtent l="0" t="0" r="7620" b="12065"/>
                  <wp:wrapNone/>
                  <wp:docPr id="5" name="图片 68" descr="威县工程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8" descr="威县工程图10"/>
                          <pic:cNvPicPr>
                            <a:picLocks noChangeAspect="1"/>
                          </pic:cNvPicPr>
                        </pic:nvPicPr>
                        <pic:blipFill>
                          <a:blip r:embed="rId6"/>
                          <a:srcRect l="2127" t="3796" r="1926" b="1285"/>
                          <a:stretch>
                            <a:fillRect/>
                          </a:stretch>
                        </pic:blipFill>
                        <pic:spPr>
                          <a:xfrm>
                            <a:off x="0" y="0"/>
                            <a:ext cx="4792980" cy="7112635"/>
                          </a:xfrm>
                          <a:prstGeom prst="rect">
                            <a:avLst/>
                          </a:prstGeom>
                          <a:noFill/>
                          <a:ln>
                            <a:noFill/>
                          </a:ln>
                        </pic:spPr>
                      </pic:pic>
                    </a:graphicData>
                  </a:graphic>
                </wp:anchor>
              </w:drawing>
            </w:r>
          </w:p>
          <w:p>
            <w:pPr>
              <w:rPr>
                <w:rFonts w:hint="default" w:ascii="Times New Roman" w:hAnsi="Times New Roman" w:eastAsia="宋体" w:cs="Times New Roman"/>
                <w:b/>
                <w:bCs/>
                <w:color w:val="auto"/>
                <w:sz w:val="24"/>
                <w:szCs w:val="24"/>
                <w:highlight w:val="yellow"/>
              </w:rPr>
            </w:pPr>
          </w:p>
          <w:p>
            <w:pPr>
              <w:pStyle w:val="2"/>
              <w:rPr>
                <w:rFonts w:hint="default" w:ascii="Times New Roman" w:hAnsi="Times New Roman" w:eastAsia="宋体" w:cs="Times New Roman"/>
                <w:b/>
                <w:bCs/>
                <w:color w:val="auto"/>
                <w:sz w:val="24"/>
                <w:szCs w:val="24"/>
                <w:highlight w:val="yellow"/>
              </w:rPr>
            </w:pPr>
          </w:p>
          <w:p>
            <w:pPr>
              <w:rPr>
                <w:rFonts w:hint="default" w:ascii="Times New Roman" w:hAnsi="Times New Roman" w:eastAsia="宋体" w:cs="Times New Roman"/>
                <w:b/>
                <w:bCs/>
                <w:color w:val="auto"/>
                <w:sz w:val="24"/>
                <w:szCs w:val="24"/>
                <w:highlight w:val="yellow"/>
              </w:rPr>
            </w:pPr>
          </w:p>
          <w:p>
            <w:pPr>
              <w:pStyle w:val="2"/>
              <w:rPr>
                <w:rFonts w:hint="default" w:ascii="Times New Roman" w:hAnsi="Times New Roman" w:eastAsia="宋体" w:cs="Times New Roman"/>
                <w:b/>
                <w:bCs/>
                <w:color w:val="auto"/>
                <w:sz w:val="24"/>
                <w:szCs w:val="24"/>
                <w:highlight w:val="yellow"/>
              </w:rPr>
            </w:pPr>
          </w:p>
          <w:p>
            <w:pPr>
              <w:rPr>
                <w:rFonts w:hint="default" w:ascii="Times New Roman" w:hAnsi="Times New Roman" w:eastAsia="宋体" w:cs="Times New Roman"/>
                <w:b/>
                <w:bCs/>
                <w:color w:val="auto"/>
                <w:sz w:val="24"/>
                <w:szCs w:val="24"/>
                <w:highlight w:val="yellow"/>
              </w:rPr>
            </w:pPr>
          </w:p>
          <w:p>
            <w:pPr>
              <w:pStyle w:val="2"/>
              <w:rPr>
                <w:rFonts w:hint="default" w:ascii="Times New Roman" w:hAnsi="Times New Roman" w:eastAsia="宋体" w:cs="Times New Roman"/>
                <w:b/>
                <w:bCs/>
                <w:color w:val="auto"/>
                <w:sz w:val="24"/>
                <w:szCs w:val="24"/>
                <w:highlight w:val="yellow"/>
              </w:rPr>
            </w:pPr>
          </w:p>
          <w:p>
            <w:pPr>
              <w:rPr>
                <w:rFonts w:hint="default" w:ascii="Times New Roman" w:hAnsi="Times New Roman" w:eastAsia="宋体" w:cs="Times New Roman"/>
                <w:b/>
                <w:bCs/>
                <w:color w:val="auto"/>
                <w:sz w:val="24"/>
                <w:szCs w:val="24"/>
                <w:highlight w:val="yellow"/>
              </w:rPr>
            </w:pPr>
            <w:r>
              <w:rPr>
                <w:rFonts w:hint="default" w:ascii="Times New Roman" w:hAnsi="Times New Roman" w:eastAsia="宋体" w:cs="Times New Roman"/>
                <w:color w:val="auto"/>
              </w:rPr>
              <w:pict>
                <v:shape id="自选图形 3" o:spid="_x0000_s2117" o:spt="61" type="#_x0000_t61" style="position:absolute;left:0pt;margin-left:294.3pt;margin-top:5.2pt;height:20.15pt;width:45.25pt;z-index:251720704;mso-width-relative:page;mso-height-relative:page;" filled="f" stroked="t" coordsize="21600,21600" adj="-13317,37304">
                  <v:path/>
                  <v:fill on="f" focussize="0,0"/>
                  <v:stroke joinstyle="miter"/>
                  <v:imagedata o:title=""/>
                  <o:lock v:ext="edit" aspectratio="f"/>
                  <v:textbox>
                    <w:txbxContent>
                      <w:p>
                        <w:pPr>
                          <w:jc w:val="center"/>
                          <w:rPr>
                            <w:rFonts w:hint="eastAsia"/>
                            <w:sz w:val="20"/>
                            <w:szCs w:val="20"/>
                          </w:rPr>
                        </w:pPr>
                        <w:r>
                          <w:rPr>
                            <w:rFonts w:hint="eastAsia"/>
                            <w:sz w:val="20"/>
                            <w:szCs w:val="20"/>
                          </w:rPr>
                          <w:t>本项目</w:t>
                        </w:r>
                      </w:p>
                    </w:txbxContent>
                  </v:textbox>
                </v:shape>
              </w:pict>
            </w:r>
          </w:p>
          <w:p>
            <w:pPr>
              <w:pStyle w:val="2"/>
              <w:rPr>
                <w:rFonts w:hint="default" w:ascii="Times New Roman" w:hAnsi="Times New Roman" w:eastAsia="宋体" w:cs="Times New Roman"/>
                <w:b/>
                <w:bCs/>
                <w:color w:val="auto"/>
                <w:sz w:val="24"/>
                <w:szCs w:val="24"/>
                <w:highlight w:val="yellow"/>
              </w:rPr>
            </w:pPr>
          </w:p>
          <w:p>
            <w:pPr>
              <w:rPr>
                <w:rFonts w:hint="default" w:ascii="Times New Roman" w:hAnsi="Times New Roman" w:eastAsia="宋体" w:cs="Times New Roman"/>
                <w:b/>
                <w:bCs/>
                <w:color w:val="auto"/>
                <w:sz w:val="24"/>
                <w:szCs w:val="24"/>
                <w:highlight w:val="yellow"/>
              </w:rPr>
            </w:pPr>
            <w:r>
              <w:rPr>
                <w:rFonts w:hint="default" w:ascii="Times New Roman" w:hAnsi="Times New Roman" w:eastAsia="宋体" w:cs="Times New Roman"/>
                <w:color w:val="auto"/>
              </w:rPr>
              <w:pict>
                <v:line id="直线 1174" o:spid="_x0000_s2118" o:spt="20" style="position:absolute;left:0pt;margin-left:263.5pt;margin-top:5.15pt;height:55.5pt;width:60.95pt;z-index:251721728;mso-width-relative:page;mso-height-relative:page;" filled="f" stroked="t" coordsize="21600,21600">
                  <v:path arrowok="t"/>
                  <v:fill on="f" focussize="0,0"/>
                  <v:stroke color="#000000" endarrow="block"/>
                  <v:imagedata o:title=""/>
                  <o:lock v:ext="edit" aspectratio="f"/>
                </v:line>
              </w:pict>
            </w:r>
          </w:p>
          <w:p>
            <w:pPr>
              <w:pStyle w:val="2"/>
              <w:rPr>
                <w:rFonts w:hint="default" w:ascii="Times New Roman" w:hAnsi="Times New Roman" w:eastAsia="宋体" w:cs="Times New Roman"/>
                <w:b/>
                <w:bCs/>
                <w:color w:val="auto"/>
                <w:sz w:val="24"/>
                <w:szCs w:val="24"/>
                <w:highlight w:val="yellow"/>
              </w:rPr>
            </w:pPr>
            <w:r>
              <w:rPr>
                <w:rFonts w:hint="default" w:ascii="Times New Roman" w:hAnsi="Times New Roman" w:eastAsia="宋体" w:cs="Times New Roman"/>
                <w:color w:val="auto"/>
              </w:rPr>
              <w:pict>
                <v:shape id="文本框 1175" o:spid="_x0000_s2119" o:spt="202" type="#_x0000_t202" style="position:absolute;left:0pt;margin-left:277.35pt;margin-top:6.2pt;height:29.25pt;width:70.65pt;z-index:251722752;mso-width-relative:page;mso-height-relative:page;" filled="f" stroked="f" coordsize="21600,21600">
                  <v:path/>
                  <v:fill on="f" focussize="0,0"/>
                  <v:stroke on="f"/>
                  <v:imagedata o:title=""/>
                  <o:lock v:ext="edit" aspectratio="f"/>
                  <v:textbox>
                    <w:txbxContent>
                      <w:p>
                        <w:pPr>
                          <w:ind w:firstLine="240" w:firstLineChars="100"/>
                          <w:rPr>
                            <w:rFonts w:hint="default" w:ascii="Times New Roman" w:hAnsi="Times New Roman" w:cs="Times New Roman"/>
                            <w:sz w:val="24"/>
                            <w:szCs w:val="24"/>
                          </w:rPr>
                        </w:pPr>
                        <w:r>
                          <w:rPr>
                            <w:rFonts w:hint="eastAsia" w:ascii="Times New Roman" w:hAnsi="Times New Roman" w:cs="Times New Roman"/>
                            <w:sz w:val="24"/>
                            <w:szCs w:val="24"/>
                            <w:lang w:val="en-US" w:eastAsia="zh-CN"/>
                          </w:rPr>
                          <w:t>8690</w:t>
                        </w:r>
                        <w:r>
                          <w:rPr>
                            <w:rFonts w:hint="default" w:ascii="Times New Roman" w:hAnsi="Times New Roman" w:cs="Times New Roman"/>
                            <w:sz w:val="24"/>
                            <w:szCs w:val="24"/>
                          </w:rPr>
                          <w:t>m</w:t>
                        </w:r>
                      </w:p>
                    </w:txbxContent>
                  </v:textbox>
                </v:shape>
              </w:pict>
            </w:r>
          </w:p>
          <w:p>
            <w:pPr>
              <w:rPr>
                <w:rFonts w:hint="default" w:ascii="Times New Roman" w:hAnsi="Times New Roman" w:eastAsia="宋体" w:cs="Times New Roman"/>
                <w:b/>
                <w:bCs/>
                <w:color w:val="auto"/>
                <w:sz w:val="24"/>
                <w:szCs w:val="24"/>
                <w:highlight w:val="yellow"/>
              </w:rPr>
            </w:pPr>
          </w:p>
          <w:p>
            <w:pPr>
              <w:pStyle w:val="2"/>
              <w:rPr>
                <w:rFonts w:hint="default" w:ascii="Times New Roman" w:hAnsi="Times New Roman" w:eastAsia="宋体" w:cs="Times New Roman"/>
                <w:b/>
                <w:bCs/>
                <w:color w:val="auto"/>
                <w:sz w:val="24"/>
                <w:szCs w:val="24"/>
                <w:highlight w:val="yellow"/>
              </w:rPr>
            </w:pPr>
          </w:p>
          <w:p>
            <w:pPr>
              <w:rPr>
                <w:rFonts w:hint="default" w:ascii="Times New Roman" w:hAnsi="Times New Roman" w:eastAsia="宋体" w:cs="Times New Roman"/>
                <w:b/>
                <w:bCs/>
                <w:color w:val="auto"/>
                <w:sz w:val="24"/>
                <w:szCs w:val="24"/>
                <w:highlight w:val="yellow"/>
              </w:rPr>
            </w:pPr>
          </w:p>
          <w:p>
            <w:pPr>
              <w:pStyle w:val="2"/>
              <w:rPr>
                <w:rFonts w:hint="default" w:ascii="Times New Roman" w:hAnsi="Times New Roman" w:eastAsia="宋体" w:cs="Times New Roman"/>
                <w:b/>
                <w:bCs/>
                <w:color w:val="auto"/>
                <w:sz w:val="24"/>
                <w:szCs w:val="24"/>
                <w:highlight w:val="yellow"/>
              </w:rPr>
            </w:pPr>
          </w:p>
          <w:p>
            <w:pPr>
              <w:rPr>
                <w:rFonts w:hint="default" w:ascii="Times New Roman" w:hAnsi="Times New Roman" w:eastAsia="宋体" w:cs="Times New Roman"/>
                <w:b/>
                <w:bCs/>
                <w:color w:val="auto"/>
                <w:sz w:val="24"/>
                <w:szCs w:val="24"/>
                <w:highlight w:val="yellow"/>
              </w:rPr>
            </w:pPr>
          </w:p>
          <w:p>
            <w:pPr>
              <w:pStyle w:val="2"/>
              <w:rPr>
                <w:rFonts w:hint="default" w:ascii="Times New Roman" w:hAnsi="Times New Roman" w:eastAsia="宋体" w:cs="Times New Roman"/>
                <w:b/>
                <w:bCs/>
                <w:color w:val="auto"/>
                <w:sz w:val="24"/>
                <w:szCs w:val="24"/>
                <w:highlight w:val="yellow"/>
              </w:rPr>
            </w:pPr>
          </w:p>
          <w:p>
            <w:pPr>
              <w:rPr>
                <w:rFonts w:hint="default" w:ascii="Times New Roman" w:hAnsi="Times New Roman" w:eastAsia="宋体" w:cs="Times New Roman"/>
                <w:b/>
                <w:bCs/>
                <w:color w:val="auto"/>
                <w:sz w:val="24"/>
                <w:szCs w:val="24"/>
                <w:highlight w:val="yellow"/>
              </w:rPr>
            </w:pPr>
          </w:p>
          <w:p>
            <w:pPr>
              <w:pStyle w:val="2"/>
              <w:rPr>
                <w:rFonts w:hint="default" w:ascii="Times New Roman" w:hAnsi="Times New Roman" w:eastAsia="宋体" w:cs="Times New Roman"/>
                <w:b/>
                <w:bCs/>
                <w:color w:val="auto"/>
                <w:sz w:val="24"/>
                <w:szCs w:val="24"/>
                <w:highlight w:val="yellow"/>
              </w:rPr>
            </w:pPr>
          </w:p>
          <w:p>
            <w:pPr>
              <w:rPr>
                <w:rFonts w:hint="default" w:ascii="Times New Roman" w:hAnsi="Times New Roman" w:eastAsia="宋体" w:cs="Times New Roman"/>
                <w:b/>
                <w:bCs/>
                <w:color w:val="auto"/>
                <w:sz w:val="24"/>
                <w:szCs w:val="24"/>
                <w:highlight w:val="yellow"/>
              </w:rPr>
            </w:pPr>
          </w:p>
          <w:p>
            <w:pPr>
              <w:pStyle w:val="2"/>
              <w:rPr>
                <w:rFonts w:hint="default" w:ascii="Times New Roman" w:hAnsi="Times New Roman" w:eastAsia="宋体" w:cs="Times New Roman"/>
                <w:b/>
                <w:bCs/>
                <w:color w:val="auto"/>
                <w:sz w:val="24"/>
                <w:szCs w:val="24"/>
                <w:highlight w:val="yellow"/>
              </w:rPr>
            </w:pPr>
          </w:p>
          <w:p>
            <w:pPr>
              <w:rPr>
                <w:rFonts w:hint="default" w:ascii="Times New Roman" w:hAnsi="Times New Roman" w:eastAsia="宋体" w:cs="Times New Roman"/>
                <w:b/>
                <w:bCs/>
                <w:color w:val="auto"/>
                <w:sz w:val="24"/>
                <w:szCs w:val="24"/>
                <w:highlight w:val="yellow"/>
              </w:rPr>
            </w:pPr>
          </w:p>
          <w:p>
            <w:pPr>
              <w:pStyle w:val="2"/>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eastAsia="zh-CN"/>
              </w:rPr>
              <w:t>威县</w:t>
            </w:r>
            <w:r>
              <w:rPr>
                <w:rFonts w:hint="default" w:ascii="Times New Roman" w:hAnsi="Times New Roman" w:eastAsia="宋体" w:cs="Times New Roman"/>
                <w:b/>
                <w:bCs/>
                <w:color w:val="auto"/>
                <w:sz w:val="24"/>
                <w:szCs w:val="24"/>
                <w:highlight w:val="none"/>
              </w:rPr>
              <w:t>生态保护红线区分布图</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项目不在生态保护红线划定的范围内。</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环境质量底线</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000000"/>
                <w:sz w:val="24"/>
                <w:szCs w:val="24"/>
                <w:highlight w:val="none"/>
                <w:lang w:val="en-US" w:eastAsia="zh-CN"/>
              </w:rPr>
              <w:t>2019年邢台地区NO</w:t>
            </w:r>
            <w:r>
              <w:rPr>
                <w:rFonts w:hint="default" w:ascii="Times New Roman" w:hAnsi="Times New Roman" w:eastAsia="宋体" w:cs="Times New Roman"/>
                <w:b w:val="0"/>
                <w:bCs w:val="0"/>
                <w:color w:val="000000"/>
                <w:sz w:val="24"/>
                <w:szCs w:val="24"/>
                <w:highlight w:val="none"/>
                <w:vertAlign w:val="subscript"/>
                <w:lang w:val="en-US" w:eastAsia="zh-CN"/>
              </w:rPr>
              <w:t>2</w:t>
            </w:r>
            <w:r>
              <w:rPr>
                <w:rFonts w:hint="default" w:ascii="Times New Roman" w:hAnsi="Times New Roman" w:eastAsia="宋体" w:cs="Times New Roman"/>
                <w:b w:val="0"/>
                <w:bCs w:val="0"/>
                <w:color w:val="000000"/>
                <w:sz w:val="24"/>
                <w:szCs w:val="24"/>
                <w:highlight w:val="none"/>
                <w:lang w:val="en-US" w:eastAsia="zh-CN"/>
              </w:rPr>
              <w:t>、PM</w:t>
            </w:r>
            <w:r>
              <w:rPr>
                <w:rFonts w:hint="default" w:ascii="Times New Roman" w:hAnsi="Times New Roman" w:eastAsia="宋体" w:cs="Times New Roman"/>
                <w:b w:val="0"/>
                <w:bCs w:val="0"/>
                <w:color w:val="000000"/>
                <w:sz w:val="24"/>
                <w:szCs w:val="24"/>
                <w:highlight w:val="none"/>
                <w:vertAlign w:val="subscript"/>
                <w:lang w:val="en-US" w:eastAsia="zh-CN"/>
              </w:rPr>
              <w:t>2.5</w:t>
            </w:r>
            <w:r>
              <w:rPr>
                <w:rFonts w:hint="default" w:ascii="Times New Roman" w:hAnsi="Times New Roman" w:eastAsia="宋体" w:cs="Times New Roman"/>
                <w:b w:val="0"/>
                <w:bCs w:val="0"/>
                <w:color w:val="000000"/>
                <w:sz w:val="24"/>
                <w:szCs w:val="24"/>
                <w:highlight w:val="none"/>
                <w:lang w:val="en-US" w:eastAsia="zh-CN"/>
              </w:rPr>
              <w:t>、PM</w:t>
            </w:r>
            <w:r>
              <w:rPr>
                <w:rFonts w:hint="default" w:ascii="Times New Roman" w:hAnsi="Times New Roman" w:eastAsia="宋体" w:cs="Times New Roman"/>
                <w:b w:val="0"/>
                <w:bCs w:val="0"/>
                <w:color w:val="000000"/>
                <w:sz w:val="24"/>
                <w:szCs w:val="24"/>
                <w:highlight w:val="none"/>
                <w:vertAlign w:val="subscript"/>
                <w:lang w:val="en-US" w:eastAsia="zh-CN"/>
              </w:rPr>
              <w:t>10</w:t>
            </w:r>
            <w:r>
              <w:rPr>
                <w:rFonts w:hint="default" w:ascii="Times New Roman" w:hAnsi="Times New Roman" w:eastAsia="宋体" w:cs="Times New Roman"/>
                <w:b w:val="0"/>
                <w:bCs w:val="0"/>
                <w:color w:val="000000"/>
                <w:sz w:val="24"/>
                <w:szCs w:val="24"/>
                <w:highlight w:val="none"/>
                <w:lang w:val="en-US" w:eastAsia="zh-CN"/>
              </w:rPr>
              <w:t>、O</w:t>
            </w:r>
            <w:r>
              <w:rPr>
                <w:rFonts w:hint="default" w:ascii="Times New Roman" w:hAnsi="Times New Roman" w:eastAsia="宋体" w:cs="Times New Roman"/>
                <w:b w:val="0"/>
                <w:bCs w:val="0"/>
                <w:color w:val="000000"/>
                <w:sz w:val="24"/>
                <w:szCs w:val="24"/>
                <w:highlight w:val="none"/>
                <w:vertAlign w:val="subscript"/>
                <w:lang w:val="en-US" w:eastAsia="zh-CN"/>
              </w:rPr>
              <w:t>3</w:t>
            </w:r>
            <w:r>
              <w:rPr>
                <w:rFonts w:hint="default" w:ascii="Times New Roman" w:hAnsi="Times New Roman" w:eastAsia="宋体" w:cs="Times New Roman"/>
                <w:b w:val="0"/>
                <w:bCs w:val="0"/>
                <w:color w:val="000000"/>
                <w:sz w:val="24"/>
                <w:szCs w:val="24"/>
                <w:highlight w:val="none"/>
                <w:vertAlign w:val="baseline"/>
                <w:lang w:val="en-US" w:eastAsia="zh-CN"/>
              </w:rPr>
              <w:t>均出现超标，</w:t>
            </w:r>
            <w:r>
              <w:rPr>
                <w:rFonts w:hint="default" w:ascii="Times New Roman" w:hAnsi="Times New Roman" w:eastAsia="宋体" w:cs="Times New Roman"/>
                <w:b w:val="0"/>
                <w:bCs w:val="0"/>
                <w:color w:val="000000"/>
                <w:sz w:val="24"/>
                <w:szCs w:val="24"/>
                <w:highlight w:val="none"/>
                <w:lang w:val="en-US" w:eastAsia="zh-CN"/>
              </w:rPr>
              <w:t>NO</w:t>
            </w:r>
            <w:r>
              <w:rPr>
                <w:rFonts w:hint="default" w:ascii="Times New Roman" w:hAnsi="Times New Roman" w:eastAsia="宋体" w:cs="Times New Roman"/>
                <w:b w:val="0"/>
                <w:bCs w:val="0"/>
                <w:color w:val="000000"/>
                <w:sz w:val="24"/>
                <w:szCs w:val="24"/>
                <w:highlight w:val="none"/>
                <w:vertAlign w:val="subscript"/>
                <w:lang w:val="en-US" w:eastAsia="zh-CN"/>
              </w:rPr>
              <w:t>2</w:t>
            </w:r>
            <w:r>
              <w:rPr>
                <w:rFonts w:hint="default" w:ascii="Times New Roman" w:hAnsi="Times New Roman" w:eastAsia="宋体" w:cs="Times New Roman"/>
                <w:b w:val="0"/>
                <w:bCs w:val="0"/>
                <w:color w:val="000000"/>
                <w:sz w:val="24"/>
                <w:szCs w:val="24"/>
                <w:highlight w:val="none"/>
                <w:vertAlign w:val="baseline"/>
                <w:lang w:val="en-US" w:eastAsia="zh-CN"/>
              </w:rPr>
              <w:t>超标倍数为0.125倍，</w:t>
            </w:r>
            <w:r>
              <w:rPr>
                <w:rFonts w:hint="default" w:ascii="Times New Roman" w:hAnsi="Times New Roman" w:eastAsia="宋体" w:cs="Times New Roman"/>
                <w:b w:val="0"/>
                <w:bCs w:val="0"/>
                <w:color w:val="000000"/>
                <w:sz w:val="24"/>
                <w:szCs w:val="24"/>
                <w:highlight w:val="none"/>
                <w:lang w:val="en-US" w:eastAsia="zh-CN"/>
              </w:rPr>
              <w:t>PM</w:t>
            </w:r>
            <w:r>
              <w:rPr>
                <w:rFonts w:hint="default" w:ascii="Times New Roman" w:hAnsi="Times New Roman" w:eastAsia="宋体" w:cs="Times New Roman"/>
                <w:b w:val="0"/>
                <w:bCs w:val="0"/>
                <w:color w:val="000000"/>
                <w:sz w:val="24"/>
                <w:szCs w:val="24"/>
                <w:highlight w:val="none"/>
                <w:vertAlign w:val="subscript"/>
                <w:lang w:val="en-US" w:eastAsia="zh-CN"/>
              </w:rPr>
              <w:t>2.5</w:t>
            </w:r>
            <w:r>
              <w:rPr>
                <w:rFonts w:hint="default" w:ascii="Times New Roman" w:hAnsi="Times New Roman" w:eastAsia="宋体" w:cs="Times New Roman"/>
                <w:b w:val="0"/>
                <w:bCs w:val="0"/>
                <w:color w:val="000000"/>
                <w:sz w:val="24"/>
                <w:szCs w:val="24"/>
                <w:highlight w:val="none"/>
                <w:vertAlign w:val="baseline"/>
                <w:lang w:val="en-US" w:eastAsia="zh-CN"/>
              </w:rPr>
              <w:t>超标倍数为0.857倍，</w:t>
            </w:r>
            <w:r>
              <w:rPr>
                <w:rFonts w:hint="default" w:ascii="Times New Roman" w:hAnsi="Times New Roman" w:eastAsia="宋体" w:cs="Times New Roman"/>
                <w:b w:val="0"/>
                <w:bCs w:val="0"/>
                <w:color w:val="000000"/>
                <w:sz w:val="24"/>
                <w:szCs w:val="24"/>
                <w:highlight w:val="none"/>
                <w:lang w:val="en-US" w:eastAsia="zh-CN"/>
              </w:rPr>
              <w:t>PM</w:t>
            </w:r>
            <w:r>
              <w:rPr>
                <w:rFonts w:hint="default" w:ascii="Times New Roman" w:hAnsi="Times New Roman" w:eastAsia="宋体" w:cs="Times New Roman"/>
                <w:b w:val="0"/>
                <w:bCs w:val="0"/>
                <w:color w:val="000000"/>
                <w:sz w:val="24"/>
                <w:szCs w:val="24"/>
                <w:highlight w:val="none"/>
                <w:vertAlign w:val="subscript"/>
                <w:lang w:val="en-US" w:eastAsia="zh-CN"/>
              </w:rPr>
              <w:t>10</w:t>
            </w:r>
            <w:r>
              <w:rPr>
                <w:rFonts w:hint="default" w:ascii="Times New Roman" w:hAnsi="Times New Roman" w:eastAsia="宋体" w:cs="Times New Roman"/>
                <w:b w:val="0"/>
                <w:bCs w:val="0"/>
                <w:color w:val="000000"/>
                <w:sz w:val="24"/>
                <w:szCs w:val="24"/>
                <w:highlight w:val="none"/>
                <w:vertAlign w:val="baseline"/>
                <w:lang w:val="en-US" w:eastAsia="zh-CN"/>
              </w:rPr>
              <w:t>超标倍数为0.643倍，</w:t>
            </w:r>
            <w:r>
              <w:rPr>
                <w:rFonts w:hint="default" w:ascii="Times New Roman" w:hAnsi="Times New Roman" w:eastAsia="宋体" w:cs="Times New Roman"/>
                <w:b w:val="0"/>
                <w:bCs w:val="0"/>
                <w:color w:val="000000"/>
                <w:sz w:val="24"/>
                <w:szCs w:val="24"/>
                <w:highlight w:val="none"/>
                <w:lang w:val="en-US" w:eastAsia="zh-CN"/>
              </w:rPr>
              <w:t>O</w:t>
            </w:r>
            <w:r>
              <w:rPr>
                <w:rFonts w:hint="default" w:ascii="Times New Roman" w:hAnsi="Times New Roman" w:eastAsia="宋体" w:cs="Times New Roman"/>
                <w:b w:val="0"/>
                <w:bCs w:val="0"/>
                <w:color w:val="000000"/>
                <w:sz w:val="24"/>
                <w:szCs w:val="24"/>
                <w:highlight w:val="none"/>
                <w:vertAlign w:val="subscript"/>
                <w:lang w:val="en-US" w:eastAsia="zh-CN"/>
              </w:rPr>
              <w:t>3</w:t>
            </w:r>
            <w:r>
              <w:rPr>
                <w:rFonts w:hint="default" w:ascii="Times New Roman" w:hAnsi="Times New Roman" w:eastAsia="宋体" w:cs="Times New Roman"/>
                <w:b w:val="0"/>
                <w:bCs w:val="0"/>
                <w:color w:val="000000"/>
                <w:sz w:val="24"/>
                <w:szCs w:val="24"/>
                <w:highlight w:val="none"/>
                <w:vertAlign w:val="baseline"/>
                <w:lang w:val="en-US" w:eastAsia="zh-CN"/>
              </w:rPr>
              <w:t>超标倍数为0.306倍。因此，邢台市环境空气质量属于未达标</w:t>
            </w:r>
            <w:r>
              <w:rPr>
                <w:rFonts w:hint="default" w:ascii="Times New Roman" w:hAnsi="Times New Roman" w:eastAsia="宋体" w:cs="Times New Roman"/>
                <w:b w:val="0"/>
                <w:bCs w:val="0"/>
                <w:color w:val="auto"/>
                <w:sz w:val="24"/>
                <w:szCs w:val="24"/>
                <w:lang w:val="en-US" w:eastAsia="zh-CN"/>
              </w:rPr>
              <w:t>区，主要污染是以</w:t>
            </w:r>
            <w:r>
              <w:rPr>
                <w:rFonts w:hint="default" w:ascii="Times New Roman" w:hAnsi="Times New Roman" w:eastAsia="宋体" w:cs="Times New Roman"/>
                <w:b w:val="0"/>
                <w:bCs w:val="0"/>
                <w:color w:val="000000"/>
                <w:sz w:val="24"/>
                <w:szCs w:val="24"/>
                <w:highlight w:val="none"/>
                <w:lang w:val="en-US" w:eastAsia="zh-CN"/>
              </w:rPr>
              <w:t>NO</w:t>
            </w:r>
            <w:r>
              <w:rPr>
                <w:rFonts w:hint="default" w:ascii="Times New Roman" w:hAnsi="Times New Roman" w:eastAsia="宋体" w:cs="Times New Roman"/>
                <w:b w:val="0"/>
                <w:bCs w:val="0"/>
                <w:color w:val="000000"/>
                <w:sz w:val="24"/>
                <w:szCs w:val="24"/>
                <w:highlight w:val="none"/>
                <w:vertAlign w:val="subscript"/>
                <w:lang w:val="en-US" w:eastAsia="zh-CN"/>
              </w:rPr>
              <w:t>2</w:t>
            </w:r>
            <w:r>
              <w:rPr>
                <w:rFonts w:hint="default" w:ascii="Times New Roman" w:hAnsi="Times New Roman" w:eastAsia="宋体" w:cs="Times New Roman"/>
                <w:b w:val="0"/>
                <w:bCs w:val="0"/>
                <w:color w:val="000000"/>
                <w:sz w:val="24"/>
                <w:szCs w:val="24"/>
                <w:highlight w:val="none"/>
                <w:lang w:val="en-US" w:eastAsia="zh-CN"/>
              </w:rPr>
              <w:t>、</w:t>
            </w:r>
            <w:r>
              <w:rPr>
                <w:rFonts w:hint="default" w:ascii="Times New Roman" w:hAnsi="Times New Roman" w:eastAsia="宋体" w:cs="Times New Roman"/>
                <w:b w:val="0"/>
                <w:bCs w:val="0"/>
                <w:color w:val="auto"/>
                <w:sz w:val="24"/>
                <w:szCs w:val="24"/>
                <w:lang w:val="en-US" w:eastAsia="zh-CN"/>
              </w:rPr>
              <w:t>PM</w:t>
            </w:r>
            <w:r>
              <w:rPr>
                <w:rFonts w:hint="default" w:ascii="Times New Roman" w:hAnsi="Times New Roman" w:eastAsia="宋体" w:cs="Times New Roman"/>
                <w:b w:val="0"/>
                <w:bCs w:val="0"/>
                <w:color w:val="auto"/>
                <w:sz w:val="24"/>
                <w:szCs w:val="24"/>
                <w:vertAlign w:val="subscript"/>
                <w:lang w:val="en-US" w:eastAsia="zh-CN"/>
              </w:rPr>
              <w:t>2.5</w:t>
            </w:r>
            <w:r>
              <w:rPr>
                <w:rFonts w:hint="default" w:ascii="Times New Roman" w:hAnsi="Times New Roman" w:eastAsia="宋体" w:cs="Times New Roman"/>
                <w:b w:val="0"/>
                <w:bCs w:val="0"/>
                <w:color w:val="auto"/>
                <w:sz w:val="24"/>
                <w:szCs w:val="24"/>
                <w:lang w:val="en-US" w:eastAsia="zh-CN"/>
              </w:rPr>
              <w:t>、PM</w:t>
            </w:r>
            <w:r>
              <w:rPr>
                <w:rFonts w:hint="default" w:ascii="Times New Roman" w:hAnsi="Times New Roman" w:eastAsia="宋体" w:cs="Times New Roman"/>
                <w:b w:val="0"/>
                <w:bCs w:val="0"/>
                <w:color w:val="auto"/>
                <w:sz w:val="24"/>
                <w:szCs w:val="24"/>
                <w:vertAlign w:val="subscript"/>
                <w:lang w:val="en-US" w:eastAsia="zh-CN"/>
              </w:rPr>
              <w:t>10</w:t>
            </w:r>
            <w:r>
              <w:rPr>
                <w:rFonts w:hint="default" w:ascii="Times New Roman" w:hAnsi="Times New Roman" w:eastAsia="宋体" w:cs="Times New Roman"/>
                <w:b w:val="0"/>
                <w:bCs w:val="0"/>
                <w:color w:val="000000"/>
                <w:sz w:val="24"/>
                <w:szCs w:val="24"/>
                <w:highlight w:val="none"/>
                <w:lang w:val="en-US" w:eastAsia="zh-CN"/>
              </w:rPr>
              <w:t>、O</w:t>
            </w:r>
            <w:r>
              <w:rPr>
                <w:rFonts w:hint="default" w:ascii="Times New Roman" w:hAnsi="Times New Roman" w:eastAsia="宋体" w:cs="Times New Roman"/>
                <w:b w:val="0"/>
                <w:bCs w:val="0"/>
                <w:color w:val="000000"/>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lang w:val="en-US" w:eastAsia="zh-CN"/>
              </w:rPr>
              <w:t>为主。</w:t>
            </w:r>
            <w:r>
              <w:rPr>
                <w:rFonts w:hint="default" w:ascii="Times New Roman" w:hAnsi="Times New Roman" w:eastAsia="宋体" w:cs="Times New Roman"/>
                <w:color w:val="auto"/>
                <w:sz w:val="24"/>
                <w:szCs w:val="24"/>
                <w:highlight w:val="none"/>
                <w:lang w:eastAsia="zh-CN"/>
              </w:rPr>
              <w:t>邢台市区通过蓝天保卫战、重污染天气减排计划等一系列治理方案实施后。根据《2018年邢台市生态环境状况公报》中相关数据可知，邢台市空气质量达到二级及以上的天数为160天，较好的完成了相关污染源削减工作。</w:t>
            </w:r>
            <w:r>
              <w:rPr>
                <w:rFonts w:hint="default" w:ascii="Times New Roman" w:hAnsi="Times New Roman" w:eastAsia="宋体" w:cs="Times New Roman"/>
                <w:color w:val="auto"/>
                <w:sz w:val="24"/>
                <w:szCs w:val="24"/>
              </w:rPr>
              <w:t>项目附近</w:t>
            </w:r>
            <w:r>
              <w:rPr>
                <w:rFonts w:hint="default" w:ascii="Times New Roman" w:hAnsi="Times New Roman" w:eastAsia="宋体" w:cs="Times New Roman"/>
                <w:color w:val="auto"/>
                <w:sz w:val="24"/>
                <w:szCs w:val="24"/>
                <w:lang w:eastAsia="zh-CN"/>
              </w:rPr>
              <w:t>地下水各项</w:t>
            </w:r>
            <w:r>
              <w:rPr>
                <w:rFonts w:hint="default" w:ascii="Times New Roman" w:hAnsi="Times New Roman" w:eastAsia="宋体" w:cs="Times New Roman"/>
                <w:color w:val="auto"/>
                <w:sz w:val="24"/>
                <w:szCs w:val="24"/>
              </w:rPr>
              <w:t>指标均满足《地下水质量标准》（GB/T14848-2017）中Ⅲ类标准，说明区域地下水环境质量较好，在采取相应的防渗等地下水保护措施后，项目运营期对周围地下水环境影响较小；</w:t>
            </w:r>
            <w:r>
              <w:rPr>
                <w:rFonts w:hint="default" w:ascii="Times New Roman" w:hAnsi="Times New Roman" w:eastAsia="宋体" w:cs="Times New Roman"/>
                <w:sz w:val="24"/>
                <w:szCs w:val="24"/>
                <w:lang w:eastAsia="zh-CN"/>
              </w:rPr>
              <w:t>项目所在区域地表水除</w:t>
            </w:r>
            <w:r>
              <w:rPr>
                <w:rFonts w:hint="default" w:ascii="Times New Roman" w:hAnsi="Times New Roman" w:eastAsia="宋体" w:cs="Times New Roman"/>
                <w:sz w:val="24"/>
                <w:szCs w:val="24"/>
                <w:lang w:val="en-US" w:eastAsia="zh-CN"/>
              </w:rPr>
              <w:t>BOD超标外，其他水质均满足</w:t>
            </w:r>
            <w:r>
              <w:rPr>
                <w:rFonts w:hint="default" w:ascii="Times New Roman" w:hAnsi="Times New Roman" w:eastAsia="宋体" w:cs="Times New Roman"/>
                <w:sz w:val="24"/>
                <w:szCs w:val="24"/>
              </w:rPr>
              <w:t>《地表水环境质量标准》（GB3838-2002）表1中Ⅳ类标准</w:t>
            </w:r>
            <w:r>
              <w:rPr>
                <w:rFonts w:hint="default" w:ascii="Times New Roman" w:hAnsi="Times New Roman" w:eastAsia="宋体" w:cs="Times New Roman"/>
                <w:sz w:val="24"/>
                <w:szCs w:val="24"/>
                <w:highlight w:val="none"/>
              </w:rPr>
              <w:t>(除总氮外)</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lang w:eastAsia="zh-CN"/>
              </w:rPr>
              <w:t>项目附近土壤中各项指标均满足《土壤环境质量 建设用地土壤污染风险管控标准》（GB36600-2018）第二类用地筛选值要求，项目的建设不会对周围土壤环境产生影响；</w:t>
            </w:r>
            <w:r>
              <w:rPr>
                <w:rFonts w:hint="default" w:ascii="Times New Roman" w:hAnsi="Times New Roman" w:eastAsia="宋体" w:cs="Times New Roman"/>
                <w:color w:val="auto"/>
                <w:sz w:val="24"/>
                <w:szCs w:val="24"/>
              </w:rPr>
              <w:t>项目区域声环境质量达到《声环境质量标准》（GB3096-2008）2类标准，说明区域声环境质量较好，在采取相应的噪声治理措施后，项目运营期噪声对周围环境影响较小。因此本项目满足环境质量底线要求。</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3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资源利用上线</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本项目是</w:t>
            </w:r>
            <w:r>
              <w:rPr>
                <w:rFonts w:hint="eastAsia" w:cs="Times New Roman"/>
                <w:color w:val="auto"/>
                <w:sz w:val="24"/>
                <w:szCs w:val="24"/>
                <w:lang w:eastAsia="zh-CN"/>
              </w:rPr>
              <w:t>技改</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bCs/>
                <w:color w:val="auto"/>
                <w:sz w:val="24"/>
              </w:rPr>
              <w:t>本项目</w:t>
            </w:r>
            <w:r>
              <w:rPr>
                <w:rFonts w:hint="default" w:ascii="Times New Roman" w:hAnsi="Times New Roman" w:eastAsia="宋体" w:cs="Times New Roman"/>
                <w:bCs/>
                <w:color w:val="auto"/>
                <w:sz w:val="24"/>
                <w:lang w:val="en-US" w:eastAsia="zh-CN"/>
              </w:rPr>
              <w:t>生产主要能源利用为新鲜水、天然气、电力</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企业</w:t>
            </w:r>
            <w:r>
              <w:rPr>
                <w:rFonts w:hint="default" w:ascii="Times New Roman" w:hAnsi="Times New Roman" w:eastAsia="宋体" w:cs="Times New Roman"/>
                <w:bCs/>
                <w:color w:val="auto"/>
                <w:sz w:val="24"/>
              </w:rPr>
              <w:t>通过加强节能管理、使用节能设备，可降低资源、能源消耗，因此本项目的建设符合资源利用上线要求</w:t>
            </w:r>
            <w:r>
              <w:rPr>
                <w:rFonts w:hint="default" w:ascii="Times New Roman" w:hAnsi="Times New Roman" w:eastAsia="宋体" w:cs="Times New Roman"/>
                <w:color w:val="auto"/>
                <w:sz w:val="24"/>
                <w:szCs w:val="24"/>
              </w:rPr>
              <w:t>。</w:t>
            </w:r>
          </w:p>
          <w:p>
            <w:pPr>
              <w:spacing w:line="360" w:lineRule="auto"/>
              <w:ind w:firstLine="472" w:firstLineChars="200"/>
              <w:contextualSpacing/>
              <w:jc w:val="left"/>
              <w:rPr>
                <w:bCs/>
                <w:spacing w:val="-2"/>
                <w:sz w:val="24"/>
                <w:szCs w:val="24"/>
              </w:rPr>
            </w:pPr>
            <w:r>
              <w:rPr>
                <w:bCs/>
                <w:spacing w:val="-2"/>
                <w:sz w:val="24"/>
                <w:szCs w:val="24"/>
              </w:rPr>
              <w:fldChar w:fldCharType="begin"/>
            </w:r>
            <w:r>
              <w:rPr>
                <w:bCs/>
                <w:spacing w:val="-2"/>
                <w:sz w:val="24"/>
                <w:szCs w:val="24"/>
              </w:rPr>
              <w:instrText xml:space="preserve"> </w:instrText>
            </w:r>
            <w:r>
              <w:rPr>
                <w:rFonts w:hint="eastAsia"/>
                <w:bCs/>
                <w:spacing w:val="-2"/>
                <w:sz w:val="24"/>
                <w:szCs w:val="24"/>
              </w:rPr>
              <w:instrText xml:space="preserve">= 4 \* GB3</w:instrText>
            </w:r>
            <w:r>
              <w:rPr>
                <w:bCs/>
                <w:spacing w:val="-2"/>
                <w:sz w:val="24"/>
                <w:szCs w:val="24"/>
              </w:rPr>
              <w:instrText xml:space="preserve"> </w:instrText>
            </w:r>
            <w:r>
              <w:rPr>
                <w:bCs/>
                <w:spacing w:val="-2"/>
                <w:sz w:val="24"/>
                <w:szCs w:val="24"/>
              </w:rPr>
              <w:fldChar w:fldCharType="separate"/>
            </w:r>
            <w:r>
              <w:rPr>
                <w:rFonts w:hint="eastAsia"/>
                <w:bCs/>
                <w:spacing w:val="-2"/>
                <w:sz w:val="24"/>
                <w:szCs w:val="24"/>
              </w:rPr>
              <w:t>④</w:t>
            </w:r>
            <w:r>
              <w:rPr>
                <w:bCs/>
                <w:spacing w:val="-2"/>
                <w:sz w:val="24"/>
                <w:szCs w:val="24"/>
              </w:rPr>
              <w:fldChar w:fldCharType="end"/>
            </w:r>
            <w:r>
              <w:rPr>
                <w:rFonts w:hint="eastAsia"/>
                <w:bCs/>
                <w:spacing w:val="-2"/>
                <w:sz w:val="24"/>
                <w:szCs w:val="24"/>
              </w:rPr>
              <w:t>环境</w:t>
            </w:r>
            <w:r>
              <w:rPr>
                <w:bCs/>
                <w:spacing w:val="-2"/>
                <w:sz w:val="24"/>
                <w:szCs w:val="24"/>
              </w:rPr>
              <w:t>准入</w:t>
            </w:r>
            <w:r>
              <w:rPr>
                <w:rFonts w:hint="eastAsia"/>
                <w:bCs/>
                <w:spacing w:val="-2"/>
                <w:sz w:val="24"/>
                <w:szCs w:val="24"/>
              </w:rPr>
              <w:t>负面</w:t>
            </w:r>
            <w:r>
              <w:rPr>
                <w:bCs/>
                <w:spacing w:val="-2"/>
                <w:sz w:val="24"/>
                <w:szCs w:val="24"/>
              </w:rPr>
              <w:t>清单</w:t>
            </w:r>
          </w:p>
          <w:p>
            <w:pPr>
              <w:spacing w:line="360" w:lineRule="auto"/>
              <w:ind w:firstLine="472" w:firstLineChars="200"/>
              <w:contextualSpacing/>
              <w:rPr>
                <w:bCs/>
                <w:spacing w:val="-2"/>
                <w:sz w:val="24"/>
                <w:szCs w:val="24"/>
              </w:rPr>
            </w:pPr>
            <w:r>
              <w:rPr>
                <w:rFonts w:hint="eastAsia"/>
                <w:bCs/>
                <w:spacing w:val="-2"/>
                <w:sz w:val="24"/>
                <w:szCs w:val="24"/>
              </w:rPr>
              <w:t>项目</w:t>
            </w:r>
            <w:r>
              <w:rPr>
                <w:bCs/>
                <w:spacing w:val="-2"/>
                <w:sz w:val="24"/>
                <w:szCs w:val="24"/>
              </w:rPr>
              <w:t>建设符合国家</w:t>
            </w:r>
            <w:r>
              <w:rPr>
                <w:rFonts w:hint="eastAsia"/>
                <w:bCs/>
                <w:spacing w:val="-2"/>
                <w:sz w:val="24"/>
                <w:szCs w:val="24"/>
              </w:rPr>
              <w:t>及</w:t>
            </w:r>
            <w:r>
              <w:rPr>
                <w:bCs/>
                <w:spacing w:val="-2"/>
                <w:sz w:val="24"/>
                <w:szCs w:val="24"/>
              </w:rPr>
              <w:t>地方产业</w:t>
            </w:r>
            <w:r>
              <w:rPr>
                <w:rFonts w:hint="eastAsia"/>
                <w:bCs/>
                <w:spacing w:val="-2"/>
                <w:sz w:val="24"/>
                <w:szCs w:val="24"/>
              </w:rPr>
              <w:t>政策要求</w:t>
            </w:r>
            <w:r>
              <w:rPr>
                <w:bCs/>
                <w:spacing w:val="-2"/>
                <w:sz w:val="24"/>
                <w:szCs w:val="24"/>
              </w:rPr>
              <w:t>，</w:t>
            </w:r>
            <w:r>
              <w:rPr>
                <w:rFonts w:hint="eastAsia"/>
                <w:bCs/>
                <w:spacing w:val="-2"/>
                <w:sz w:val="24"/>
                <w:szCs w:val="24"/>
              </w:rPr>
              <w:t>项目</w:t>
            </w:r>
            <w:r>
              <w:rPr>
                <w:bCs/>
                <w:spacing w:val="-2"/>
                <w:sz w:val="24"/>
                <w:szCs w:val="24"/>
              </w:rPr>
              <w:t>未</w:t>
            </w:r>
            <w:r>
              <w:rPr>
                <w:rFonts w:hint="eastAsia"/>
                <w:bCs/>
                <w:spacing w:val="-2"/>
                <w:sz w:val="24"/>
                <w:szCs w:val="24"/>
              </w:rPr>
              <w:t>列入</w:t>
            </w:r>
            <w:r>
              <w:rPr>
                <w:bCs/>
                <w:spacing w:val="-2"/>
                <w:sz w:val="24"/>
                <w:szCs w:val="24"/>
              </w:rPr>
              <w:t>国家、</w:t>
            </w:r>
            <w:r>
              <w:rPr>
                <w:rFonts w:hint="eastAsia"/>
                <w:bCs/>
                <w:spacing w:val="-2"/>
                <w:sz w:val="24"/>
                <w:szCs w:val="24"/>
              </w:rPr>
              <w:t>地方</w:t>
            </w:r>
            <w:r>
              <w:rPr>
                <w:bCs/>
                <w:spacing w:val="-2"/>
                <w:sz w:val="24"/>
                <w:szCs w:val="24"/>
              </w:rPr>
              <w:t>环境</w:t>
            </w:r>
            <w:r>
              <w:rPr>
                <w:rFonts w:hint="eastAsia"/>
                <w:bCs/>
                <w:spacing w:val="-2"/>
                <w:sz w:val="24"/>
                <w:szCs w:val="24"/>
              </w:rPr>
              <w:t>准入</w:t>
            </w:r>
            <w:r>
              <w:rPr>
                <w:bCs/>
                <w:spacing w:val="-2"/>
                <w:sz w:val="24"/>
                <w:szCs w:val="24"/>
              </w:rPr>
              <w:t>负面</w:t>
            </w:r>
            <w:r>
              <w:rPr>
                <w:rFonts w:hint="eastAsia"/>
                <w:bCs/>
                <w:spacing w:val="-2"/>
                <w:sz w:val="24"/>
                <w:szCs w:val="24"/>
              </w:rPr>
              <w:t>清单</w:t>
            </w:r>
            <w:r>
              <w:rPr>
                <w:bCs/>
                <w:spacing w:val="-2"/>
                <w:sz w:val="24"/>
                <w:szCs w:val="24"/>
              </w:rPr>
              <w:t>。</w:t>
            </w:r>
          </w:p>
          <w:p>
            <w:pPr>
              <w:spacing w:line="360" w:lineRule="auto"/>
              <w:ind w:firstLine="472" w:firstLineChars="200"/>
              <w:contextualSpacing/>
              <w:jc w:val="left"/>
              <w:rPr>
                <w:rFonts w:hint="eastAsia"/>
                <w:bCs/>
                <w:spacing w:val="-2"/>
                <w:sz w:val="24"/>
                <w:szCs w:val="24"/>
                <w:lang w:eastAsia="zh-CN"/>
              </w:rPr>
            </w:pPr>
            <w:r>
              <w:rPr>
                <w:rFonts w:hint="eastAsia"/>
                <w:bCs/>
                <w:spacing w:val="-2"/>
                <w:sz w:val="24"/>
                <w:szCs w:val="24"/>
              </w:rPr>
              <w:t>综上所述</w:t>
            </w:r>
            <w:r>
              <w:rPr>
                <w:bCs/>
                <w:spacing w:val="-2"/>
                <w:sz w:val="24"/>
                <w:szCs w:val="24"/>
              </w:rPr>
              <w:t>，</w:t>
            </w:r>
            <w:r>
              <w:rPr>
                <w:rFonts w:hint="eastAsia"/>
                <w:bCs/>
                <w:spacing w:val="-2"/>
                <w:sz w:val="24"/>
                <w:szCs w:val="24"/>
              </w:rPr>
              <w:t>本项目</w:t>
            </w:r>
            <w:r>
              <w:rPr>
                <w:bCs/>
                <w:spacing w:val="-2"/>
                <w:sz w:val="24"/>
                <w:szCs w:val="24"/>
              </w:rPr>
              <w:t>总体上能够符合“</w:t>
            </w:r>
            <w:r>
              <w:rPr>
                <w:rFonts w:hint="eastAsia"/>
                <w:bCs/>
                <w:spacing w:val="-2"/>
                <w:sz w:val="24"/>
                <w:szCs w:val="24"/>
              </w:rPr>
              <w:t>三线一单</w:t>
            </w:r>
            <w:r>
              <w:rPr>
                <w:bCs/>
                <w:spacing w:val="-2"/>
                <w:sz w:val="24"/>
                <w:szCs w:val="24"/>
              </w:rPr>
              <w:t>”</w:t>
            </w:r>
            <w:r>
              <w:rPr>
                <w:rFonts w:hint="eastAsia"/>
                <w:bCs/>
                <w:spacing w:val="-2"/>
                <w:sz w:val="24"/>
                <w:szCs w:val="24"/>
              </w:rPr>
              <w:t>的</w:t>
            </w:r>
            <w:r>
              <w:rPr>
                <w:bCs/>
                <w:spacing w:val="-2"/>
                <w:sz w:val="24"/>
                <w:szCs w:val="24"/>
              </w:rPr>
              <w:t>管理要求</w:t>
            </w:r>
            <w:r>
              <w:rPr>
                <w:rFonts w:hint="eastAsia"/>
                <w:bCs/>
                <w:spacing w:val="-2"/>
                <w:sz w:val="24"/>
                <w:szCs w:val="24"/>
                <w:lang w:eastAsia="zh-CN"/>
              </w:rPr>
              <w:t>。</w:t>
            </w:r>
          </w:p>
          <w:p>
            <w:pPr>
              <w:spacing w:line="360" w:lineRule="auto"/>
              <w:ind w:firstLine="472" w:firstLineChars="200"/>
              <w:contextualSpacing/>
              <w:jc w:val="left"/>
              <w:rPr>
                <w:rFonts w:hint="eastAsia"/>
                <w:bCs/>
                <w:spacing w:val="-2"/>
                <w:sz w:val="24"/>
                <w:szCs w:val="24"/>
                <w:lang w:eastAsia="zh-CN"/>
              </w:rPr>
            </w:pPr>
          </w:p>
          <w:p>
            <w:pPr>
              <w:spacing w:line="360" w:lineRule="auto"/>
              <w:ind w:firstLine="472" w:firstLineChars="200"/>
              <w:contextualSpacing/>
              <w:jc w:val="left"/>
              <w:rPr>
                <w:rFonts w:hint="eastAsia"/>
                <w:bCs/>
                <w:spacing w:val="-2"/>
                <w:sz w:val="24"/>
                <w:szCs w:val="24"/>
                <w:lang w:eastAsia="zh-CN"/>
              </w:rPr>
            </w:pPr>
          </w:p>
          <w:p>
            <w:pPr>
              <w:spacing w:line="360" w:lineRule="auto"/>
              <w:ind w:firstLine="472" w:firstLineChars="200"/>
              <w:contextualSpacing/>
              <w:jc w:val="left"/>
              <w:rPr>
                <w:rFonts w:hint="eastAsia"/>
                <w:bCs/>
                <w:spacing w:val="-2"/>
                <w:sz w:val="24"/>
                <w:szCs w:val="24"/>
                <w:lang w:eastAsia="zh-CN"/>
              </w:rPr>
            </w:pPr>
          </w:p>
          <w:p>
            <w:pPr>
              <w:spacing w:line="360" w:lineRule="auto"/>
              <w:ind w:firstLine="472" w:firstLineChars="200"/>
              <w:contextualSpacing/>
              <w:jc w:val="left"/>
              <w:rPr>
                <w:rFonts w:hint="eastAsia"/>
                <w:bCs/>
                <w:spacing w:val="-2"/>
                <w:sz w:val="24"/>
                <w:szCs w:val="24"/>
                <w:lang w:eastAsia="zh-CN"/>
              </w:rPr>
            </w:pPr>
          </w:p>
          <w:p>
            <w:pPr>
              <w:spacing w:line="360" w:lineRule="auto"/>
              <w:ind w:firstLine="472" w:firstLineChars="200"/>
              <w:contextualSpacing/>
              <w:jc w:val="left"/>
              <w:rPr>
                <w:rFonts w:hint="eastAsia"/>
                <w:bCs/>
                <w:spacing w:val="-2"/>
                <w:sz w:val="24"/>
                <w:szCs w:val="24"/>
                <w:lang w:eastAsia="zh-CN"/>
              </w:rPr>
            </w:pPr>
          </w:p>
          <w:p>
            <w:pPr>
              <w:spacing w:line="360" w:lineRule="auto"/>
              <w:ind w:firstLine="472" w:firstLineChars="200"/>
              <w:contextualSpacing/>
              <w:jc w:val="left"/>
              <w:rPr>
                <w:rFonts w:hint="eastAsia"/>
                <w:bCs/>
                <w:spacing w:val="-2"/>
                <w:sz w:val="24"/>
                <w:szCs w:val="24"/>
                <w:lang w:eastAsia="zh-CN"/>
              </w:rPr>
            </w:pPr>
          </w:p>
          <w:p>
            <w:pPr>
              <w:spacing w:line="360" w:lineRule="auto"/>
              <w:contextualSpacing/>
              <w:jc w:val="left"/>
              <w:rPr>
                <w:rFonts w:hint="eastAsia"/>
                <w:bCs/>
                <w:color w:val="FF0000"/>
                <w:sz w:val="24"/>
                <w:szCs w:val="24"/>
                <w:lang w:eastAsia="zh-CN"/>
              </w:rPr>
            </w:pPr>
          </w:p>
          <w:p>
            <w:pPr>
              <w:spacing w:line="360" w:lineRule="auto"/>
              <w:contextualSpacing/>
              <w:jc w:val="left"/>
              <w:rPr>
                <w:rFonts w:hint="eastAsia" w:eastAsia="宋体"/>
                <w:bCs/>
                <w:color w:val="FF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9" w:hRule="atLeast"/>
          <w:jc w:val="center"/>
        </w:trPr>
        <w:tc>
          <w:tcPr>
            <w:tcW w:w="9040" w:type="dxa"/>
            <w:gridSpan w:val="13"/>
          </w:tcPr>
          <w:p>
            <w:pPr>
              <w:pStyle w:val="11"/>
              <w:snapToGrid w:val="0"/>
              <w:spacing w:line="360" w:lineRule="auto"/>
              <w:ind w:right="105" w:rightChars="50" w:firstLine="0"/>
              <w:jc w:val="left"/>
              <w:rPr>
                <w:b/>
                <w:sz w:val="24"/>
                <w:szCs w:val="24"/>
              </w:rPr>
            </w:pPr>
            <w:r>
              <w:rPr>
                <w:b/>
                <w:sz w:val="24"/>
                <w:szCs w:val="24"/>
              </w:rPr>
              <w:t>与本项目有关的原有污染情况及主要环境问题：</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2"/>
                <w:highlight w:val="none"/>
                <w:lang w:val="en-US" w:eastAsia="zh-CN"/>
              </w:rPr>
              <w:t>威县乐牛乳业有限公司成立于2017年10月16日，经营范围包括乳制品、饮料加工、销售；自营和代理商品的进出口业务。该企业于2018年3月</w:t>
            </w:r>
            <w:r>
              <w:rPr>
                <w:rFonts w:hint="default" w:ascii="Times New Roman" w:hAnsi="Times New Roman" w:eastAsia="宋体" w:cs="Times New Roman"/>
                <w:color w:val="000000"/>
                <w:sz w:val="24"/>
                <w:szCs w:val="24"/>
                <w:highlight w:val="none"/>
                <w:lang w:val="en-US" w:eastAsia="zh-CN"/>
              </w:rPr>
              <w:t>于</w:t>
            </w:r>
            <w:r>
              <w:rPr>
                <w:rFonts w:hint="default" w:ascii="Times New Roman" w:hAnsi="Times New Roman" w:eastAsia="宋体" w:cs="Times New Roman"/>
                <w:color w:val="000000"/>
                <w:sz w:val="24"/>
                <w:szCs w:val="24"/>
                <w:highlight w:val="none"/>
                <w:lang w:eastAsia="zh-CN"/>
              </w:rPr>
              <w:t>威县赵村乡前寺庄村南，乐源大道路西侧建设年产16万吨液体乳及乳饮料生产线项目，该项目</w:t>
            </w:r>
            <w:r>
              <w:rPr>
                <w:rFonts w:hint="default" w:ascii="Times New Roman" w:hAnsi="Times New Roman" w:eastAsia="宋体" w:cs="Times New Roman"/>
                <w:color w:val="000000"/>
                <w:sz w:val="24"/>
                <w:szCs w:val="24"/>
                <w:highlight w:val="none"/>
                <w:lang w:val="en-US" w:eastAsia="zh-CN"/>
              </w:rPr>
              <w:t>2018年4月25日在邢台市环境保护局威县分局备案；企业</w:t>
            </w:r>
            <w:r>
              <w:rPr>
                <w:rFonts w:hint="default" w:ascii="Times New Roman" w:hAnsi="Times New Roman" w:eastAsia="宋体" w:cs="Times New Roman"/>
                <w:color w:val="auto"/>
                <w:sz w:val="24"/>
              </w:rPr>
              <w:t>在项目后期设计建设过程中，</w:t>
            </w:r>
            <w:r>
              <w:rPr>
                <w:rFonts w:hint="default" w:ascii="Times New Roman" w:hAnsi="Times New Roman" w:eastAsia="宋体" w:cs="Times New Roman"/>
                <w:b w:val="0"/>
                <w:bCs w:val="0"/>
                <w:color w:val="auto"/>
                <w:sz w:val="24"/>
                <w:szCs w:val="24"/>
                <w:lang w:eastAsia="zh-CN"/>
              </w:rPr>
              <w:t>平面布置和生产设备进行了调整，</w:t>
            </w:r>
            <w:r>
              <w:rPr>
                <w:rFonts w:hint="default" w:ascii="Times New Roman" w:hAnsi="Times New Roman" w:eastAsia="宋体" w:cs="Times New Roman"/>
                <w:color w:val="auto"/>
                <w:sz w:val="24"/>
                <w:lang w:val="en-US" w:eastAsia="zh-CN"/>
              </w:rPr>
              <w:t>并对环保设备进行了升级改造，</w:t>
            </w:r>
            <w:r>
              <w:rPr>
                <w:rFonts w:hint="default" w:ascii="Times New Roman" w:hAnsi="Times New Roman" w:eastAsia="宋体" w:cs="Times New Roman"/>
                <w:color w:val="auto"/>
                <w:sz w:val="24"/>
                <w:highlight w:val="none"/>
                <w:lang w:eastAsia="zh-CN"/>
              </w:rPr>
              <w:t>建设单位依据厂区实际情况拟进行分期建设，因此编制了</w:t>
            </w:r>
            <w:r>
              <w:rPr>
                <w:rFonts w:hint="default" w:ascii="Times New Roman" w:hAnsi="Times New Roman" w:eastAsia="宋体" w:cs="Times New Roman"/>
                <w:sz w:val="24"/>
                <w:szCs w:val="22"/>
                <w:highlight w:val="none"/>
                <w:lang w:val="en-US" w:eastAsia="zh-CN"/>
              </w:rPr>
              <w:t>威</w:t>
            </w:r>
            <w:r>
              <w:rPr>
                <w:rFonts w:hint="default" w:ascii="Times New Roman" w:hAnsi="Times New Roman" w:eastAsia="宋体" w:cs="Times New Roman"/>
                <w:sz w:val="24"/>
                <w:highlight w:val="none"/>
                <w:lang w:eastAsia="zh-CN"/>
              </w:rPr>
              <w:t>县乐牛乳业有限公司</w:t>
            </w:r>
            <w:r>
              <w:rPr>
                <w:rFonts w:hint="default" w:ascii="Times New Roman" w:hAnsi="Times New Roman" w:eastAsia="宋体" w:cs="Times New Roman"/>
                <w:color w:val="000000"/>
                <w:sz w:val="24"/>
                <w:szCs w:val="24"/>
                <w:highlight w:val="none"/>
                <w:lang w:eastAsia="zh-CN"/>
              </w:rPr>
              <w:t>年产16万吨液体乳及乳饮料生产线项目补充报告，该报告于</w:t>
            </w:r>
            <w:r>
              <w:rPr>
                <w:rFonts w:hint="default" w:ascii="Times New Roman" w:hAnsi="Times New Roman" w:eastAsia="宋体" w:cs="Times New Roman"/>
                <w:color w:val="000000"/>
                <w:sz w:val="24"/>
                <w:szCs w:val="24"/>
                <w:highlight w:val="none"/>
                <w:lang w:val="en-US" w:eastAsia="zh-CN"/>
              </w:rPr>
              <w:t>2019年1月19日取得了邢台市环境保护局威县分局的审批意见。2020年5月15日企业进行了自主验收并取得专家意见</w:t>
            </w:r>
            <w:r>
              <w:rPr>
                <w:rFonts w:hint="default" w:ascii="Times New Roman" w:hAnsi="Times New Roman" w:eastAsia="宋体" w:cs="Times New Roman"/>
                <w:sz w:val="24"/>
                <w:szCs w:val="24"/>
                <w:highlight w:val="none"/>
              </w:rPr>
              <w:t>，污染防治措施均已安装到位，污染物均能做到达标排放，现已正式生产。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与</w:t>
            </w:r>
            <w:r>
              <w:rPr>
                <w:rFonts w:hint="default" w:ascii="Times New Roman" w:hAnsi="Times New Roman" w:eastAsia="宋体" w:cs="Times New Roman"/>
                <w:sz w:val="24"/>
                <w:szCs w:val="24"/>
                <w:highlight w:val="none"/>
              </w:rPr>
              <w:t>本项目有关的原有污染</w:t>
            </w:r>
            <w:r>
              <w:rPr>
                <w:rFonts w:hint="default" w:ascii="Times New Roman" w:hAnsi="Times New Roman" w:eastAsia="宋体" w:cs="Times New Roman"/>
                <w:sz w:val="24"/>
                <w:szCs w:val="24"/>
              </w:rPr>
              <w:t>情况如下：</w:t>
            </w:r>
          </w:p>
          <w:p>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一、废</w:t>
            </w:r>
            <w:r>
              <w:rPr>
                <w:rFonts w:hint="default" w:ascii="Times New Roman" w:hAnsi="Times New Roman" w:eastAsia="宋体" w:cs="Times New Roman"/>
                <w:b/>
                <w:bCs/>
                <w:sz w:val="24"/>
                <w:szCs w:val="24"/>
                <w:highlight w:val="none"/>
              </w:rPr>
              <w:t>气污染源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kern w:val="0"/>
                <w:sz w:val="24"/>
                <w:szCs w:val="24"/>
                <w:lang w:eastAsia="zh-CN"/>
              </w:rPr>
              <w:t>现有项目</w:t>
            </w:r>
            <w:r>
              <w:rPr>
                <w:rFonts w:hint="default" w:ascii="Times New Roman" w:hAnsi="Times New Roman" w:eastAsia="宋体" w:cs="Times New Roman"/>
                <w:bCs/>
                <w:color w:val="auto"/>
                <w:sz w:val="24"/>
                <w:szCs w:val="24"/>
                <w:lang w:eastAsia="zh-CN"/>
              </w:rPr>
              <w:t>厂区设置</w:t>
            </w:r>
            <w:r>
              <w:rPr>
                <w:rFonts w:hint="default" w:ascii="Times New Roman" w:hAnsi="Times New Roman" w:eastAsia="宋体" w:cs="Times New Roman"/>
                <w:bCs/>
                <w:color w:val="auto"/>
                <w:sz w:val="24"/>
                <w:szCs w:val="24"/>
                <w:lang w:val="en-US" w:eastAsia="zh-CN"/>
              </w:rPr>
              <w:t>天然气锅炉为</w:t>
            </w:r>
            <w:r>
              <w:rPr>
                <w:rFonts w:hint="default" w:ascii="Times New Roman" w:hAnsi="Times New Roman" w:eastAsia="宋体" w:cs="Times New Roman"/>
                <w:bCs/>
                <w:color w:val="auto"/>
                <w:sz w:val="24"/>
                <w:szCs w:val="24"/>
                <w:highlight w:val="none"/>
                <w:lang w:val="en-US" w:eastAsia="zh-CN"/>
              </w:rPr>
              <w:t>厂区供热，</w:t>
            </w:r>
            <w:r>
              <w:rPr>
                <w:rFonts w:hint="default" w:ascii="Times New Roman" w:hAnsi="Times New Roman" w:eastAsia="宋体" w:cs="Times New Roman"/>
                <w:color w:val="auto"/>
                <w:sz w:val="24"/>
                <w:szCs w:val="24"/>
                <w:highlight w:val="none"/>
                <w:lang w:val="en-US" w:eastAsia="zh-CN"/>
              </w:rPr>
              <w:t>本环评文件要求燃气</w:t>
            </w:r>
            <w:r>
              <w:rPr>
                <w:rFonts w:hint="default" w:ascii="Times New Roman" w:hAnsi="Times New Roman" w:eastAsia="宋体" w:cs="Times New Roman"/>
                <w:color w:val="auto"/>
                <w:sz w:val="24"/>
                <w:szCs w:val="24"/>
                <w:lang w:val="en-US" w:eastAsia="zh-CN"/>
              </w:rPr>
              <w:t>锅炉采用低氮燃烧器，在低氮燃烧器氮氧化物抑制率不低于78%的条件下能够满足《锅炉大气污染物排放标准》（DB13/5161-2020）表1燃气锅炉标准要求，</w:t>
            </w:r>
            <w:r>
              <w:rPr>
                <w:rFonts w:hint="default" w:ascii="Times New Roman" w:hAnsi="Times New Roman" w:eastAsia="宋体" w:cs="Times New Roman"/>
                <w:color w:val="auto"/>
                <w:sz w:val="24"/>
                <w:szCs w:val="24"/>
                <w:highlight w:val="none"/>
                <w:lang w:val="en-US" w:eastAsia="zh-CN"/>
              </w:rPr>
              <w:t>即颗粒物≤5mg/m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≤10mg/m³；氮氧化物（以NO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计）≤30mg/m³</w:t>
            </w:r>
            <w:r>
              <w:rPr>
                <w:rFonts w:hint="default" w:ascii="Times New Roman" w:hAnsi="Times New Roman" w:eastAsia="宋体" w:cs="Times New Roman"/>
                <w:color w:val="auto"/>
                <w:sz w:val="24"/>
                <w:szCs w:val="24"/>
              </w:rPr>
              <w:t>；烟囱高度不低于8m；林格曼黑度小于1级</w:t>
            </w:r>
            <w:r>
              <w:rPr>
                <w:rFonts w:hint="default" w:ascii="Times New Roman" w:hAnsi="Times New Roman" w:eastAsia="宋体" w:cs="Times New Roman"/>
                <w:color w:val="auto"/>
                <w:spacing w:val="-6"/>
                <w:sz w:val="24"/>
                <w:szCs w:val="24"/>
              </w:rPr>
              <w:t>。</w:t>
            </w:r>
          </w:p>
          <w:p>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   现有</w:t>
            </w:r>
            <w:r>
              <w:rPr>
                <w:rFonts w:hint="default" w:ascii="Times New Roman" w:hAnsi="Times New Roman" w:eastAsia="宋体" w:cs="Times New Roman"/>
                <w:color w:val="auto"/>
                <w:kern w:val="0"/>
                <w:sz w:val="24"/>
                <w:szCs w:val="24"/>
                <w:highlight w:val="none"/>
              </w:rPr>
              <w:t>项目</w:t>
            </w:r>
            <w:r>
              <w:rPr>
                <w:rFonts w:hint="default" w:ascii="Times New Roman" w:hAnsi="Times New Roman" w:eastAsia="宋体" w:cs="Times New Roman"/>
                <w:color w:val="auto"/>
                <w:kern w:val="0"/>
                <w:sz w:val="24"/>
                <w:szCs w:val="24"/>
                <w:highlight w:val="none"/>
                <w:lang w:eastAsia="zh-CN"/>
              </w:rPr>
              <w:t>污水处理站</w:t>
            </w:r>
            <w:r>
              <w:rPr>
                <w:rFonts w:hint="default" w:ascii="Times New Roman" w:hAnsi="Times New Roman" w:eastAsia="宋体" w:cs="Times New Roman"/>
                <w:color w:val="auto"/>
                <w:kern w:val="0"/>
                <w:sz w:val="24"/>
                <w:szCs w:val="24"/>
                <w:highlight w:val="none"/>
              </w:rPr>
              <w:t>格栅间、沉淀池、储泥池等各构筑物逸散出的恶臭气体，恶臭气体的主要成分为NH</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、H</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S。本评价考虑将格栅、</w:t>
            </w:r>
            <w:r>
              <w:rPr>
                <w:rFonts w:hint="default" w:ascii="Times New Roman" w:hAnsi="Times New Roman" w:eastAsia="宋体" w:cs="Times New Roman"/>
                <w:color w:val="auto"/>
                <w:kern w:val="0"/>
                <w:sz w:val="24"/>
                <w:szCs w:val="24"/>
                <w:highlight w:val="none"/>
                <w:lang w:eastAsia="zh-CN"/>
              </w:rPr>
              <w:t>沉淀池</w:t>
            </w:r>
            <w:r>
              <w:rPr>
                <w:rFonts w:hint="default" w:ascii="Times New Roman" w:hAnsi="Times New Roman" w:eastAsia="宋体" w:cs="Times New Roman"/>
                <w:color w:val="auto"/>
                <w:kern w:val="0"/>
                <w:sz w:val="24"/>
                <w:szCs w:val="24"/>
                <w:highlight w:val="none"/>
              </w:rPr>
              <w:t>以及污泥脱水房等部分建筑物加盖或设在室内，</w:t>
            </w:r>
            <w:r>
              <w:rPr>
                <w:rFonts w:hint="default" w:ascii="Times New Roman" w:hAnsi="Times New Roman" w:eastAsia="宋体" w:cs="Times New Roman"/>
                <w:color w:val="auto"/>
                <w:kern w:val="0"/>
                <w:sz w:val="24"/>
                <w:szCs w:val="24"/>
                <w:highlight w:val="none"/>
                <w:lang w:eastAsia="zh-CN"/>
              </w:rPr>
              <w:t>由管道收集后进入厂区除臭设施（生物除臭</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eastAsia="zh-CN"/>
              </w:rPr>
              <w:t>光氧</w:t>
            </w:r>
            <w:r>
              <w:rPr>
                <w:rFonts w:hint="default" w:ascii="Times New Roman" w:hAnsi="Times New Roman" w:eastAsia="宋体" w:cs="Times New Roman"/>
                <w:color w:val="auto"/>
                <w:kern w:val="0"/>
                <w:sz w:val="24"/>
                <w:szCs w:val="24"/>
                <w:highlight w:val="none"/>
                <w:lang w:val="en-US" w:eastAsia="zh-CN"/>
              </w:rPr>
              <w:t>+活性炭吸附</w:t>
            </w:r>
            <w:r>
              <w:rPr>
                <w:rFonts w:hint="default" w:ascii="Times New Roman" w:hAnsi="Times New Roman" w:eastAsia="宋体" w:cs="Times New Roman"/>
                <w:color w:val="auto"/>
                <w:kern w:val="0"/>
                <w:sz w:val="24"/>
                <w:szCs w:val="24"/>
                <w:highlight w:val="none"/>
                <w:lang w:eastAsia="zh-CN"/>
              </w:rPr>
              <w:t>）进行处理后由</w:t>
            </w:r>
            <w:r>
              <w:rPr>
                <w:rFonts w:hint="default" w:ascii="Times New Roman" w:hAnsi="Times New Roman" w:eastAsia="宋体" w:cs="Times New Roman"/>
                <w:color w:val="auto"/>
                <w:kern w:val="0"/>
                <w:sz w:val="24"/>
                <w:szCs w:val="24"/>
                <w:highlight w:val="none"/>
                <w:lang w:val="en-US" w:eastAsia="zh-CN"/>
              </w:rPr>
              <w:t>15m排气筒进行排放，</w:t>
            </w:r>
            <w:r>
              <w:rPr>
                <w:rFonts w:hint="default" w:ascii="Times New Roman" w:hAnsi="Times New Roman" w:eastAsia="宋体" w:cs="Times New Roman"/>
                <w:color w:val="auto"/>
                <w:kern w:val="0"/>
                <w:sz w:val="24"/>
                <w:szCs w:val="24"/>
                <w:highlight w:val="none"/>
              </w:rPr>
              <w:t>并通过设置绿化林带，通过厂内绿化减轻对周围环境影响</w:t>
            </w:r>
            <w:r>
              <w:rPr>
                <w:rFonts w:hint="default" w:ascii="Times New Roman" w:hAnsi="Times New Roman" w:eastAsia="宋体" w:cs="Times New Roman"/>
                <w:color w:val="auto"/>
                <w:kern w:val="0"/>
                <w:sz w:val="24"/>
                <w:szCs w:val="24"/>
                <w:highlight w:val="none"/>
                <w:lang w:eastAsia="zh-CN"/>
              </w:rPr>
              <w:t>。厂区恶臭气体有组织排放</w:t>
            </w:r>
            <w:r>
              <w:rPr>
                <w:rFonts w:hint="default" w:ascii="Times New Roman" w:hAnsi="Times New Roman" w:eastAsia="宋体" w:cs="Times New Roman"/>
                <w:color w:val="auto"/>
                <w:kern w:val="0"/>
                <w:sz w:val="24"/>
                <w:szCs w:val="24"/>
                <w:highlight w:val="none"/>
                <w:lang w:val="en-US" w:eastAsia="zh-CN"/>
              </w:rPr>
              <w:t>满足</w:t>
            </w:r>
            <w:r>
              <w:rPr>
                <w:rFonts w:hint="default" w:ascii="Times New Roman" w:hAnsi="Times New Roman" w:eastAsia="宋体" w:cs="Times New Roman"/>
                <w:color w:val="auto"/>
                <w:sz w:val="24"/>
                <w:szCs w:val="24"/>
                <w:highlight w:val="none"/>
                <w:lang w:eastAsia="zh-CN"/>
              </w:rPr>
              <w:t>《恶臭污染物排放标准》（</w:t>
            </w:r>
            <w:r>
              <w:rPr>
                <w:rFonts w:hint="default" w:ascii="Times New Roman" w:hAnsi="Times New Roman" w:eastAsia="宋体" w:cs="Times New Roman"/>
                <w:color w:val="auto"/>
                <w:sz w:val="24"/>
                <w:szCs w:val="24"/>
                <w:highlight w:val="none"/>
                <w:lang w:val="en-US" w:eastAsia="zh-CN"/>
              </w:rPr>
              <w:t>GB14554-93</w:t>
            </w:r>
            <w:r>
              <w:rPr>
                <w:rFonts w:hint="default" w:ascii="Times New Roman" w:hAnsi="Times New Roman" w:eastAsia="宋体" w:cs="Times New Roman"/>
                <w:color w:val="auto"/>
                <w:sz w:val="24"/>
                <w:szCs w:val="24"/>
                <w:highlight w:val="none"/>
                <w:lang w:eastAsia="zh-CN"/>
              </w:rPr>
              <w:t>）表</w:t>
            </w:r>
            <w:r>
              <w:rPr>
                <w:rFonts w:hint="default" w:ascii="Times New Roman" w:hAnsi="Times New Roman" w:eastAsia="宋体" w:cs="Times New Roman"/>
                <w:color w:val="auto"/>
                <w:sz w:val="24"/>
                <w:szCs w:val="24"/>
                <w:highlight w:val="none"/>
                <w:lang w:val="en-US" w:eastAsia="zh-CN"/>
              </w:rPr>
              <w:t>2标准要求，无组织排放</w:t>
            </w:r>
            <w:r>
              <w:rPr>
                <w:rFonts w:hint="default" w:ascii="Times New Roman" w:hAnsi="Times New Roman" w:eastAsia="宋体" w:cs="Times New Roman"/>
                <w:color w:val="auto"/>
                <w:kern w:val="0"/>
                <w:sz w:val="24"/>
                <w:szCs w:val="24"/>
                <w:highlight w:val="none"/>
              </w:rPr>
              <w:t>满足《城镇污水处理厂污染物排放标准》（GB18918－2002）中表4二级标准。</w:t>
            </w:r>
          </w:p>
          <w:p>
            <w:pPr>
              <w:spacing w:line="360" w:lineRule="auto"/>
              <w:ind w:firstLine="48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pacing w:val="8"/>
                <w:kern w:val="24"/>
                <w:sz w:val="24"/>
                <w:szCs w:val="24"/>
                <w:highlight w:val="none"/>
                <w:lang w:val="zh-CN"/>
              </w:rPr>
              <w:t>现有项目制瓶车间在挤出吹塑等过程中会产生少量有机气体，主要成分为非甲烷总烃。</w:t>
            </w:r>
            <w:r>
              <w:rPr>
                <w:rFonts w:hint="default" w:ascii="Times New Roman" w:hAnsi="Times New Roman" w:eastAsia="宋体" w:cs="Times New Roman"/>
                <w:bCs/>
                <w:color w:val="auto"/>
                <w:spacing w:val="8"/>
                <w:kern w:val="24"/>
                <w:sz w:val="24"/>
                <w:szCs w:val="24"/>
                <w:highlight w:val="none"/>
              </w:rPr>
              <w:t>本评价要求</w:t>
            </w:r>
            <w:r>
              <w:rPr>
                <w:rFonts w:hint="default" w:ascii="Times New Roman" w:hAnsi="Times New Roman" w:eastAsia="宋体" w:cs="Times New Roman"/>
                <w:bCs/>
                <w:color w:val="auto"/>
                <w:spacing w:val="8"/>
                <w:kern w:val="24"/>
                <w:sz w:val="24"/>
                <w:szCs w:val="24"/>
                <w:highlight w:val="none"/>
                <w:lang w:eastAsia="zh-CN"/>
              </w:rPr>
              <w:t>建设单位在制瓶</w:t>
            </w:r>
            <w:r>
              <w:rPr>
                <w:rFonts w:hint="default" w:ascii="Times New Roman" w:hAnsi="Times New Roman" w:eastAsia="宋体" w:cs="Times New Roman"/>
                <w:bCs/>
                <w:color w:val="auto"/>
                <w:spacing w:val="8"/>
                <w:kern w:val="24"/>
                <w:sz w:val="24"/>
                <w:szCs w:val="24"/>
                <w:highlight w:val="none"/>
              </w:rPr>
              <w:t>车间</w:t>
            </w:r>
            <w:r>
              <w:rPr>
                <w:rFonts w:hint="default" w:ascii="Times New Roman" w:hAnsi="Times New Roman" w:eastAsia="宋体" w:cs="Times New Roman"/>
                <w:bCs/>
                <w:color w:val="auto"/>
                <w:spacing w:val="8"/>
                <w:kern w:val="24"/>
                <w:sz w:val="24"/>
                <w:szCs w:val="24"/>
                <w:highlight w:val="none"/>
                <w:lang w:eastAsia="zh-CN"/>
              </w:rPr>
              <w:t>有机废气产生点</w:t>
            </w:r>
            <w:r>
              <w:rPr>
                <w:rFonts w:hint="default" w:ascii="Times New Roman" w:hAnsi="Times New Roman" w:eastAsia="宋体" w:cs="Times New Roman"/>
                <w:bCs/>
                <w:color w:val="auto"/>
                <w:spacing w:val="8"/>
                <w:kern w:val="24"/>
                <w:sz w:val="24"/>
                <w:szCs w:val="24"/>
                <w:highlight w:val="none"/>
              </w:rPr>
              <w:t>设置</w:t>
            </w:r>
            <w:r>
              <w:rPr>
                <w:rFonts w:hint="default" w:ascii="Times New Roman" w:hAnsi="Times New Roman" w:eastAsia="宋体" w:cs="Times New Roman"/>
                <w:bCs/>
                <w:color w:val="auto"/>
                <w:spacing w:val="8"/>
                <w:kern w:val="24"/>
                <w:sz w:val="24"/>
                <w:szCs w:val="24"/>
                <w:highlight w:val="none"/>
                <w:lang w:eastAsia="zh-CN"/>
              </w:rPr>
              <w:t>集气罩对有机废气进行收集，收集效率不得低于</w:t>
            </w:r>
            <w:r>
              <w:rPr>
                <w:rFonts w:hint="default" w:ascii="Times New Roman" w:hAnsi="Times New Roman" w:eastAsia="宋体" w:cs="Times New Roman"/>
                <w:bCs/>
                <w:color w:val="auto"/>
                <w:spacing w:val="8"/>
                <w:kern w:val="24"/>
                <w:sz w:val="24"/>
                <w:szCs w:val="24"/>
                <w:highlight w:val="none"/>
                <w:lang w:val="en-US" w:eastAsia="zh-CN"/>
              </w:rPr>
              <w:t>90%，收集的有机废气全部进入1套有机废气净化装置（光氧+等离子有机废气净化器+活性炭吸附装置）处理后由一根15m高排气筒排放，有机废气去除效率不低于90%，</w:t>
            </w:r>
            <w:r>
              <w:rPr>
                <w:rFonts w:hint="default" w:ascii="Times New Roman" w:hAnsi="Times New Roman" w:eastAsia="宋体" w:cs="Times New Roman"/>
                <w:color w:val="auto"/>
                <w:sz w:val="24"/>
                <w:szCs w:val="24"/>
                <w:highlight w:val="none"/>
              </w:rPr>
              <w:t>废气排放满足《工业企业挥发性有机物排放控制标准》（DB13/2322-2016）表1大气污染物排放限值</w:t>
            </w:r>
            <w:r>
              <w:rPr>
                <w:rFonts w:hint="default" w:ascii="Times New Roman" w:hAnsi="Times New Roman" w:eastAsia="宋体" w:cs="Times New Roman"/>
                <w:color w:val="auto"/>
                <w:sz w:val="24"/>
                <w:szCs w:val="24"/>
                <w:highlight w:val="none"/>
                <w:lang w:eastAsia="zh-CN"/>
              </w:rPr>
              <w:t>中有机化工业相关标准</w:t>
            </w:r>
            <w:r>
              <w:rPr>
                <w:rFonts w:hint="default" w:ascii="Times New Roman" w:hAnsi="Times New Roman" w:eastAsia="宋体" w:cs="Times New Roman"/>
                <w:color w:val="auto"/>
                <w:kern w:val="0"/>
                <w:sz w:val="24"/>
                <w:szCs w:val="24"/>
                <w:highlight w:val="none"/>
                <w:lang w:eastAsia="zh-CN"/>
              </w:rPr>
              <w:t>和</w:t>
            </w:r>
            <w:r>
              <w:rPr>
                <w:rFonts w:hint="default" w:ascii="Times New Roman" w:hAnsi="Times New Roman" w:eastAsia="宋体" w:cs="Times New Roman"/>
                <w:color w:val="auto"/>
                <w:sz w:val="24"/>
                <w:szCs w:val="24"/>
              </w:rPr>
              <w:t>表2</w:t>
            </w:r>
            <w:r>
              <w:rPr>
                <w:rFonts w:hint="default" w:ascii="Times New Roman" w:hAnsi="Times New Roman" w:eastAsia="宋体" w:cs="Times New Roman"/>
                <w:color w:val="auto"/>
                <w:sz w:val="24"/>
                <w:szCs w:val="24"/>
                <w:lang w:eastAsia="zh-CN"/>
              </w:rPr>
              <w:t>企业边界大气污染物浓度限值</w:t>
            </w:r>
            <w:r>
              <w:rPr>
                <w:rFonts w:hint="default" w:ascii="Times New Roman" w:hAnsi="Times New Roman" w:eastAsia="宋体" w:cs="Times New Roman"/>
                <w:color w:val="auto"/>
                <w:sz w:val="24"/>
                <w:szCs w:val="24"/>
              </w:rPr>
              <w:t>。</w:t>
            </w:r>
          </w:p>
          <w:p>
            <w:pPr>
              <w:spacing w:line="360" w:lineRule="auto"/>
              <w:ind w:firstLine="482" w:firstLineChars="200"/>
              <w:rPr>
                <w:rFonts w:hint="default" w:ascii="Times New Roman" w:hAnsi="Times New Roman" w:eastAsia="宋体" w:cs="Times New Roman"/>
                <w:b/>
                <w:bCs/>
                <w:sz w:val="24"/>
                <w:szCs w:val="24"/>
                <w:highlight w:val="yellow"/>
              </w:rPr>
            </w:pPr>
            <w:r>
              <w:rPr>
                <w:rFonts w:hint="default" w:ascii="Times New Roman" w:hAnsi="Times New Roman" w:eastAsia="宋体" w:cs="Times New Roman"/>
                <w:b/>
                <w:bCs/>
                <w:sz w:val="24"/>
                <w:szCs w:val="24"/>
              </w:rPr>
              <w:t>二、</w:t>
            </w:r>
            <w:r>
              <w:rPr>
                <w:rFonts w:hint="default" w:ascii="Times New Roman" w:hAnsi="Times New Roman" w:eastAsia="宋体" w:cs="Times New Roman"/>
                <w:b/>
                <w:bCs/>
                <w:sz w:val="24"/>
                <w:szCs w:val="24"/>
                <w:highlight w:val="none"/>
              </w:rPr>
              <w:t>废水污染源</w:t>
            </w:r>
          </w:p>
          <w:p>
            <w:pPr>
              <w:spacing w:line="360" w:lineRule="auto"/>
              <w:ind w:firstLine="480" w:firstLineChars="200"/>
              <w:rPr>
                <w:rFonts w:hint="default" w:ascii="Times New Roman" w:hAnsi="Times New Roman" w:eastAsia="宋体" w:cs="Times New Roman"/>
                <w:sz w:val="24"/>
                <w:szCs w:val="24"/>
                <w:lang w:val="en-US"/>
              </w:rPr>
            </w:pPr>
            <w:r>
              <w:rPr>
                <w:rFonts w:hint="default" w:ascii="Times New Roman" w:hAnsi="Times New Roman" w:eastAsia="宋体" w:cs="Times New Roman"/>
                <w:color w:val="auto"/>
                <w:sz w:val="24"/>
                <w:szCs w:val="24"/>
                <w:highlight w:val="none"/>
                <w:lang w:eastAsia="zh-CN"/>
              </w:rPr>
              <w:t>现有项目</w:t>
            </w:r>
            <w:r>
              <w:rPr>
                <w:rFonts w:hint="default" w:ascii="Times New Roman" w:hAnsi="Times New Roman" w:eastAsia="宋体" w:cs="Times New Roman"/>
                <w:color w:val="auto"/>
                <w:sz w:val="24"/>
                <w:szCs w:val="24"/>
                <w:highlight w:val="none"/>
              </w:rPr>
              <w:t>废水产生量为</w:t>
            </w:r>
            <w:r>
              <w:rPr>
                <w:rFonts w:hint="default" w:ascii="Times New Roman" w:hAnsi="Times New Roman" w:eastAsia="宋体" w:cs="Times New Roman"/>
                <w:color w:val="auto"/>
                <w:sz w:val="24"/>
                <w:szCs w:val="24"/>
                <w:highlight w:val="none"/>
                <w:lang w:val="en-US" w:eastAsia="zh-CN"/>
              </w:rPr>
              <w:t>445020</w:t>
            </w:r>
            <w:r>
              <w:rPr>
                <w:rFonts w:hint="default" w:ascii="Times New Roman" w:hAnsi="Times New Roman" w:eastAsia="宋体" w:cs="Times New Roman"/>
                <w:color w:val="auto"/>
                <w:sz w:val="24"/>
                <w:szCs w:val="24"/>
                <w:highlight w:val="none"/>
              </w:rPr>
              <w:t>m³/a，</w:t>
            </w:r>
            <w:r>
              <w:rPr>
                <w:rFonts w:hint="default" w:ascii="Times New Roman" w:hAnsi="Times New Roman" w:eastAsia="宋体" w:cs="Times New Roman"/>
                <w:color w:val="auto"/>
                <w:sz w:val="24"/>
                <w:szCs w:val="24"/>
                <w:highlight w:val="none"/>
                <w:lang w:eastAsia="zh-CN"/>
              </w:rPr>
              <w:t>主要为设备和车间清洗废水以及员工生活废水，</w:t>
            </w:r>
            <w:r>
              <w:rPr>
                <w:rFonts w:hint="default" w:ascii="Times New Roman" w:hAnsi="Times New Roman" w:eastAsia="宋体" w:cs="Times New Roman"/>
                <w:color w:val="auto"/>
                <w:sz w:val="24"/>
                <w:szCs w:val="24"/>
                <w:highlight w:val="none"/>
              </w:rPr>
              <w:t>主要污染物为COD、氨氮、SS、BOD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vertAlign w:val="baseline"/>
                <w:lang w:eastAsia="zh-CN"/>
              </w:rPr>
              <w:t>、总磷、总氮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本项目采用两套处理能力为</w:t>
            </w:r>
            <w:r>
              <w:rPr>
                <w:rFonts w:hint="default" w:ascii="Times New Roman" w:hAnsi="Times New Roman" w:eastAsia="宋体" w:cs="Times New Roman"/>
                <w:color w:val="auto"/>
                <w:sz w:val="24"/>
                <w:szCs w:val="24"/>
                <w:lang w:val="en-US" w:eastAsia="zh-CN"/>
              </w:rPr>
              <w:t>1250m³/d“</w:t>
            </w:r>
            <w:r>
              <w:rPr>
                <w:rFonts w:hint="default" w:ascii="Times New Roman" w:hAnsi="Times New Roman" w:eastAsia="宋体" w:cs="Times New Roman"/>
                <w:color w:val="auto"/>
                <w:sz w:val="24"/>
                <w:szCs w:val="24"/>
                <w:lang w:eastAsia="zh-CN"/>
              </w:rPr>
              <w:t>调节</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气浮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水解酸化</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好氧</w:t>
            </w:r>
            <w:r>
              <w:rPr>
                <w:rFonts w:hint="default" w:ascii="Times New Roman" w:hAnsi="Times New Roman" w:eastAsia="宋体" w:cs="Times New Roman"/>
                <w:color w:val="auto"/>
                <w:sz w:val="24"/>
                <w:szCs w:val="24"/>
                <w:lang w:val="en-US" w:eastAsia="zh-CN"/>
              </w:rPr>
              <w:t>+沉淀”处理系统进行处理，</w:t>
            </w:r>
            <w:r>
              <w:rPr>
                <w:rFonts w:hint="default" w:ascii="Times New Roman" w:hAnsi="Times New Roman" w:eastAsia="宋体" w:cs="Times New Roman"/>
                <w:color w:val="auto"/>
                <w:sz w:val="24"/>
                <w:szCs w:val="24"/>
                <w:highlight w:val="none"/>
                <w:lang w:val="en-US" w:eastAsia="zh-CN"/>
              </w:rPr>
              <w:t>经处理后须满足</w:t>
            </w:r>
            <w:r>
              <w:rPr>
                <w:rFonts w:hint="default" w:ascii="Times New Roman" w:hAnsi="Times New Roman" w:eastAsia="宋体" w:cs="Times New Roman"/>
                <w:color w:val="auto"/>
                <w:spacing w:val="-2"/>
                <w:sz w:val="24"/>
                <w:szCs w:val="24"/>
              </w:rPr>
              <w:t>《城镇污水处理厂污染物排放标准》（GB18918-2002）表1一级A标准</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z w:val="24"/>
                <w:szCs w:val="24"/>
                <w:lang w:val="en-US" w:eastAsia="zh-CN"/>
              </w:rPr>
              <w:t>11760</w:t>
            </w:r>
            <w:r>
              <w:rPr>
                <w:rFonts w:hint="default" w:ascii="Times New Roman" w:hAnsi="Times New Roman" w:eastAsia="宋体" w:cs="Times New Roman"/>
                <w:color w:val="auto"/>
                <w:sz w:val="24"/>
                <w:szCs w:val="24"/>
              </w:rPr>
              <w:t>m³/a(</w:t>
            </w:r>
            <w:r>
              <w:rPr>
                <w:rFonts w:hint="default" w:ascii="Times New Roman" w:hAnsi="Times New Roman" w:eastAsia="宋体" w:cs="Times New Roman"/>
                <w:color w:val="auto"/>
                <w:sz w:val="24"/>
                <w:szCs w:val="24"/>
                <w:lang w:val="en-US" w:eastAsia="zh-CN"/>
              </w:rPr>
              <w:t>39.2</w:t>
            </w:r>
            <w:r>
              <w:rPr>
                <w:rFonts w:hint="default" w:ascii="Times New Roman" w:hAnsi="Times New Roman" w:eastAsia="宋体" w:cs="Times New Roman"/>
                <w:color w:val="auto"/>
                <w:sz w:val="24"/>
                <w:szCs w:val="24"/>
              </w:rPr>
              <w:t>m³/d</w:t>
            </w:r>
            <w:r>
              <w:rPr>
                <w:rFonts w:hint="default" w:ascii="Times New Roman" w:hAnsi="Times New Roman" w:eastAsia="宋体" w:cs="Times New Roman"/>
                <w:color w:val="auto"/>
                <w:sz w:val="24"/>
                <w:szCs w:val="24"/>
                <w:lang w:eastAsia="zh-CN"/>
              </w:rPr>
              <w:t>用于厂区绿化和其他用水，剩余部分排入项目区北侧九支渠，用作区域农田灌溉和景观用水。</w:t>
            </w:r>
          </w:p>
          <w:p>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三、噪声污染源</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原有项目运营期间，机器设备产生的噪声，经采取厂房隔声、基础减震等措施后，厂界噪声满足</w:t>
            </w:r>
            <w:r>
              <w:rPr>
                <w:rFonts w:hint="default" w:ascii="Times New Roman" w:hAnsi="Times New Roman" w:eastAsia="宋体" w:cs="Times New Roman"/>
                <w:sz w:val="24"/>
                <w:szCs w:val="24"/>
              </w:rPr>
              <w:t>《工业企业厂界环境噪声排放标准》(GB12348-2008)</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类标准</w:t>
            </w:r>
            <w:r>
              <w:rPr>
                <w:rFonts w:hint="default" w:ascii="Times New Roman" w:hAnsi="Times New Roman" w:eastAsia="宋体" w:cs="Times New Roman"/>
                <w:sz w:val="24"/>
                <w:szCs w:val="24"/>
                <w:lang w:val="en-US" w:eastAsia="zh-CN"/>
              </w:rPr>
              <w:t>要求</w:t>
            </w:r>
            <w:r>
              <w:rPr>
                <w:rFonts w:hint="default" w:ascii="Times New Roman" w:hAnsi="Times New Roman" w:eastAsia="宋体" w:cs="Times New Roman"/>
                <w:sz w:val="24"/>
                <w:szCs w:val="24"/>
              </w:rPr>
              <w:t>。</w:t>
            </w:r>
          </w:p>
          <w:p>
            <w:pPr>
              <w:numPr>
                <w:ilvl w:val="0"/>
                <w:numId w:val="4"/>
              </w:num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固体废物污染源</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eastAsia="zh-CN"/>
              </w:rPr>
              <w:t>原有项目</w:t>
            </w:r>
            <w:r>
              <w:rPr>
                <w:rFonts w:hint="default" w:ascii="Times New Roman" w:hAnsi="Times New Roman" w:eastAsia="宋体" w:cs="Times New Roman"/>
                <w:color w:val="auto"/>
                <w:sz w:val="24"/>
                <w:szCs w:val="24"/>
              </w:rPr>
              <w:t>鲜奶过滤</w:t>
            </w:r>
            <w:r>
              <w:rPr>
                <w:rFonts w:hint="default" w:ascii="Times New Roman" w:hAnsi="Times New Roman" w:eastAsia="宋体" w:cs="Times New Roman"/>
                <w:color w:val="auto"/>
                <w:sz w:val="24"/>
                <w:szCs w:val="24"/>
                <w:lang w:eastAsia="zh-CN"/>
              </w:rPr>
              <w:t>产生的</w:t>
            </w:r>
            <w:r>
              <w:rPr>
                <w:rFonts w:hint="default" w:ascii="Times New Roman" w:hAnsi="Times New Roman" w:eastAsia="宋体" w:cs="Times New Roman"/>
                <w:color w:val="auto"/>
                <w:sz w:val="24"/>
                <w:szCs w:val="24"/>
              </w:rPr>
              <w:t>杂质</w:t>
            </w:r>
            <w:r>
              <w:rPr>
                <w:rFonts w:hint="default" w:ascii="Times New Roman" w:hAnsi="Times New Roman" w:eastAsia="宋体" w:cs="Times New Roman"/>
                <w:color w:val="auto"/>
                <w:sz w:val="24"/>
                <w:szCs w:val="24"/>
                <w:lang w:eastAsia="zh-CN"/>
              </w:rPr>
              <w:t>集中收集于密闭容器内，</w:t>
            </w:r>
            <w:r>
              <w:rPr>
                <w:rFonts w:hint="default" w:ascii="Times New Roman" w:hAnsi="Times New Roman" w:eastAsia="宋体" w:cs="Times New Roman"/>
                <w:color w:val="auto"/>
                <w:sz w:val="24"/>
                <w:szCs w:val="24"/>
                <w:highlight w:val="none"/>
              </w:rPr>
              <w:t>外售</w:t>
            </w:r>
            <w:r>
              <w:rPr>
                <w:rFonts w:hint="default" w:ascii="Times New Roman" w:hAnsi="Times New Roman" w:eastAsia="宋体" w:cs="Times New Roman"/>
                <w:color w:val="auto"/>
                <w:sz w:val="24"/>
                <w:szCs w:val="24"/>
                <w:highlight w:val="none"/>
                <w:lang w:eastAsia="zh-CN"/>
              </w:rPr>
              <w:t>生物肥厂作堆肥原料，日产日清</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废包装物</w:t>
            </w:r>
            <w:r>
              <w:rPr>
                <w:rFonts w:hint="default" w:ascii="Times New Roman" w:hAnsi="Times New Roman" w:eastAsia="宋体" w:cs="Times New Roman"/>
                <w:color w:val="auto"/>
                <w:sz w:val="24"/>
                <w:szCs w:val="24"/>
                <w:lang w:eastAsia="zh-CN"/>
              </w:rPr>
              <w:t>和制瓶车间产生的不合格产品和边角料分类收集存放于指定地点，定期</w:t>
            </w:r>
            <w:r>
              <w:rPr>
                <w:rFonts w:hint="default" w:ascii="Times New Roman" w:hAnsi="Times New Roman" w:eastAsia="宋体" w:cs="Times New Roman"/>
                <w:color w:val="auto"/>
                <w:sz w:val="24"/>
                <w:szCs w:val="24"/>
              </w:rPr>
              <w:t>外售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rPr>
              <w:t>污泥干化后全部外售</w:t>
            </w:r>
            <w:r>
              <w:rPr>
                <w:rFonts w:hint="default" w:ascii="Times New Roman" w:hAnsi="Times New Roman" w:eastAsia="宋体" w:cs="Times New Roman"/>
                <w:color w:val="auto"/>
                <w:sz w:val="24"/>
                <w:szCs w:val="24"/>
                <w:highlight w:val="none"/>
                <w:lang w:eastAsia="zh-CN"/>
              </w:rPr>
              <w:t>生物肥厂作堆肥原料</w:t>
            </w:r>
            <w:r>
              <w:rPr>
                <w:rFonts w:hint="default" w:ascii="Times New Roman" w:hAnsi="Times New Roman" w:eastAsia="宋体" w:cs="Times New Roman"/>
                <w:color w:val="auto"/>
                <w:sz w:val="24"/>
                <w:szCs w:val="24"/>
                <w:lang w:eastAsia="zh-CN"/>
              </w:rPr>
              <w:t>。员工生活垃圾集中收集于密闭垃圾桶内，定期送环卫部门指定地点卫生填埋。</w:t>
            </w:r>
          </w:p>
          <w:p>
            <w:pPr>
              <w:autoSpaceDE w:val="0"/>
              <w:autoSpaceDN w:val="0"/>
              <w:adjustRightIn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lang w:val="en-US" w:eastAsia="zh-CN"/>
              </w:rPr>
              <w:t>废活性炭</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《国家危险废物名录》（环境保护部令第 39 号）</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HW49 其他废物(900-041-49)</w:t>
            </w:r>
            <w:r>
              <w:rPr>
                <w:rFonts w:hint="default" w:ascii="Times New Roman" w:hAnsi="Times New Roman" w:eastAsia="宋体" w:cs="Times New Roman"/>
                <w:color w:val="auto"/>
                <w:sz w:val="24"/>
                <w:szCs w:val="24"/>
                <w:highlight w:val="none"/>
                <w:lang w:eastAsia="zh-CN"/>
              </w:rPr>
              <w:t>相关类别；化验室产生的废液属于</w:t>
            </w:r>
            <w:r>
              <w:rPr>
                <w:rFonts w:hint="default" w:ascii="Times New Roman" w:hAnsi="Times New Roman" w:eastAsia="宋体" w:cs="Times New Roman"/>
                <w:color w:val="auto"/>
                <w:sz w:val="24"/>
                <w:szCs w:val="24"/>
                <w:highlight w:val="none"/>
              </w:rPr>
              <w:t>《国家危险废物名录》（环境保护部令第 39 号）</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HW49 其他废物(</w:t>
            </w:r>
            <w:r>
              <w:rPr>
                <w:rFonts w:hint="default" w:ascii="Times New Roman" w:hAnsi="Times New Roman" w:eastAsia="宋体" w:cs="Times New Roman"/>
                <w:color w:val="auto"/>
                <w:kern w:val="0"/>
                <w:sz w:val="24"/>
                <w:szCs w:val="24"/>
                <w:highlight w:val="none"/>
              </w:rPr>
              <w:t>900-047-49</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相关类别；生产过程中产生的废机油约属于</w:t>
            </w:r>
            <w:r>
              <w:rPr>
                <w:rFonts w:hint="default" w:ascii="Times New Roman" w:hAnsi="Times New Roman" w:eastAsia="宋体" w:cs="Times New Roman"/>
                <w:color w:val="auto"/>
                <w:sz w:val="24"/>
                <w:szCs w:val="24"/>
                <w:highlight w:val="none"/>
              </w:rPr>
              <w:t>《国家危险废物名录》（环境保护部令第 39 号）</w:t>
            </w:r>
            <w:r>
              <w:rPr>
                <w:rFonts w:hint="default" w:ascii="Times New Roman" w:hAnsi="Times New Roman" w:eastAsia="宋体" w:cs="Times New Roman"/>
                <w:color w:val="auto"/>
                <w:sz w:val="24"/>
                <w:szCs w:val="24"/>
                <w:highlight w:val="none"/>
                <w:lang w:eastAsia="zh-CN"/>
              </w:rPr>
              <w:t>中HW</w:t>
            </w:r>
            <w:r>
              <w:rPr>
                <w:rFonts w:hint="default"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eastAsia="zh-CN"/>
              </w:rPr>
              <w:t>废矿物油与含矿物油废物(900-249-08)相关类别；</w:t>
            </w:r>
            <w:r>
              <w:rPr>
                <w:rFonts w:hint="default" w:ascii="Times New Roman" w:hAnsi="Times New Roman" w:eastAsia="宋体" w:cs="Times New Roman"/>
                <w:color w:val="auto"/>
                <w:sz w:val="24"/>
                <w:szCs w:val="24"/>
                <w:highlight w:val="none"/>
              </w:rPr>
              <w:t>全部收集于密闭容器内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暂存厂区危废暂存</w:t>
            </w:r>
            <w:r>
              <w:rPr>
                <w:rFonts w:hint="default" w:ascii="Times New Roman" w:hAnsi="Times New Roman" w:eastAsia="宋体" w:cs="Times New Roman"/>
                <w:color w:val="auto"/>
                <w:sz w:val="24"/>
                <w:szCs w:val="24"/>
                <w:highlight w:val="none"/>
                <w:lang w:eastAsia="zh-CN"/>
              </w:rPr>
              <w:t>库</w:t>
            </w:r>
            <w:r>
              <w:rPr>
                <w:rFonts w:hint="default" w:ascii="Times New Roman" w:hAnsi="Times New Roman" w:eastAsia="宋体" w:cs="Times New Roman"/>
                <w:color w:val="auto"/>
                <w:sz w:val="24"/>
                <w:szCs w:val="24"/>
                <w:highlight w:val="none"/>
              </w:rPr>
              <w:t>，定期委托具有处置资质的单位运输处置</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项目固废均得到妥善安置处理，对周围环境影响较小。</w:t>
            </w:r>
          </w:p>
          <w:p>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五、现</w:t>
            </w:r>
            <w:r>
              <w:rPr>
                <w:rFonts w:hint="default" w:ascii="Times New Roman" w:hAnsi="Times New Roman" w:eastAsia="宋体" w:cs="Times New Roman"/>
                <w:b/>
                <w:bCs/>
                <w:sz w:val="24"/>
                <w:szCs w:val="24"/>
                <w:highlight w:val="none"/>
              </w:rPr>
              <w:t>有工程污染物排放总量</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威县乐牛乳业有限公司</w:t>
            </w:r>
            <w:r>
              <w:rPr>
                <w:rFonts w:hint="default" w:ascii="Times New Roman" w:hAnsi="Times New Roman" w:eastAsia="宋体" w:cs="Times New Roman"/>
                <w:sz w:val="24"/>
                <w:szCs w:val="24"/>
                <w:highlight w:val="none"/>
              </w:rPr>
              <w:t>于201</w:t>
            </w:r>
            <w:r>
              <w:rPr>
                <w:rFonts w:hint="default"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rPr>
              <w:t>年</w:t>
            </w:r>
            <w:r>
              <w:rPr>
                <w:rFonts w:hint="default"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rPr>
              <w:t>月</w:t>
            </w:r>
            <w:r>
              <w:rPr>
                <w:rFonts w:hint="default" w:ascii="Times New Roman" w:hAnsi="Times New Roman" w:eastAsia="宋体" w:cs="Times New Roman"/>
                <w:sz w:val="24"/>
                <w:szCs w:val="24"/>
                <w:highlight w:val="none"/>
                <w:lang w:val="en-US" w:eastAsia="zh-CN"/>
              </w:rPr>
              <w:t>21</w:t>
            </w:r>
            <w:r>
              <w:rPr>
                <w:rFonts w:hint="default" w:ascii="Times New Roman" w:hAnsi="Times New Roman" w:eastAsia="宋体" w:cs="Times New Roman"/>
                <w:sz w:val="24"/>
                <w:szCs w:val="24"/>
                <w:highlight w:val="none"/>
              </w:rPr>
              <w:t>日取得排污许可证，证书编号为：</w:t>
            </w:r>
            <w:r>
              <w:rPr>
                <w:rFonts w:hint="default" w:ascii="Times New Roman" w:hAnsi="Times New Roman" w:eastAsia="宋体" w:cs="Times New Roman"/>
                <w:sz w:val="24"/>
                <w:szCs w:val="24"/>
              </w:rPr>
              <w:t>91130533MA0964C3X1001U，现有工程污染物排放总量见表</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9</w:t>
            </w:r>
            <w:r>
              <w:rPr>
                <w:rFonts w:hint="default" w:ascii="Times New Roman" w:hAnsi="Times New Roman" w:eastAsia="宋体" w:cs="Times New Roman"/>
                <w:b/>
                <w:bCs/>
                <w:sz w:val="24"/>
                <w:szCs w:val="24"/>
              </w:rPr>
              <w:t xml:space="preserve">  现有工程污染物排放总量      单位：t/a</w:t>
            </w:r>
          </w:p>
          <w:tbl>
            <w:tblPr>
              <w:tblStyle w:val="4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979"/>
              <w:gridCol w:w="979"/>
              <w:gridCol w:w="979"/>
              <w:gridCol w:w="915"/>
              <w:gridCol w:w="1272"/>
              <w:gridCol w:w="750"/>
              <w:gridCol w:w="1157"/>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exact"/>
                <w:jc w:val="center"/>
              </w:trPr>
              <w:tc>
                <w:tcPr>
                  <w:tcW w:w="5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5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5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5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TP</w:t>
                  </w:r>
                </w:p>
              </w:tc>
              <w:tc>
                <w:tcPr>
                  <w:tcW w:w="5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TN</w:t>
                  </w:r>
                </w:p>
              </w:tc>
              <w:tc>
                <w:tcPr>
                  <w:tcW w:w="7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非甲烷总烃</w:t>
                  </w:r>
                </w:p>
              </w:tc>
              <w:tc>
                <w:tcPr>
                  <w:tcW w:w="4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6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氮氧化物</w:t>
                  </w:r>
                </w:p>
              </w:tc>
              <w:tc>
                <w:tcPr>
                  <w:tcW w:w="4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5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排放量（t/a）</w:t>
                  </w:r>
                </w:p>
              </w:tc>
              <w:tc>
                <w:tcPr>
                  <w:tcW w:w="5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21.663</w:t>
                  </w:r>
                </w:p>
              </w:tc>
              <w:tc>
                <w:tcPr>
                  <w:tcW w:w="5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2.167</w:t>
                  </w:r>
                </w:p>
              </w:tc>
              <w:tc>
                <w:tcPr>
                  <w:tcW w:w="5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0.173</w:t>
                  </w:r>
                </w:p>
              </w:tc>
              <w:tc>
                <w:tcPr>
                  <w:tcW w:w="5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6.499</w:t>
                  </w:r>
                </w:p>
              </w:tc>
              <w:tc>
                <w:tcPr>
                  <w:tcW w:w="7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5.760</w:t>
                  </w:r>
                </w:p>
              </w:tc>
              <w:tc>
                <w:tcPr>
                  <w:tcW w:w="4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0.589</w:t>
                  </w:r>
                </w:p>
              </w:tc>
              <w:tc>
                <w:tcPr>
                  <w:tcW w:w="6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1.766</w:t>
                  </w:r>
                </w:p>
              </w:tc>
              <w:tc>
                <w:tcPr>
                  <w:tcW w:w="4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1.143</w:t>
                  </w:r>
                </w:p>
              </w:tc>
            </w:tr>
          </w:tbl>
          <w:p>
            <w:pPr>
              <w:spacing w:line="360" w:lineRule="auto"/>
              <w:ind w:firstLine="482" w:firstLineChars="200"/>
              <w:contextualSpacing/>
              <w:rPr>
                <w:b/>
                <w:sz w:val="24"/>
                <w:szCs w:val="24"/>
              </w:rPr>
            </w:pPr>
            <w:r>
              <w:rPr>
                <w:b/>
                <w:sz w:val="24"/>
                <w:szCs w:val="24"/>
              </w:rPr>
              <w:t>4、现有工程主要环境问题</w:t>
            </w:r>
          </w:p>
          <w:p>
            <w:pPr>
              <w:spacing w:line="360" w:lineRule="auto"/>
              <w:ind w:firstLine="480" w:firstLineChars="200"/>
              <w:rPr>
                <w:sz w:val="24"/>
                <w:szCs w:val="24"/>
              </w:rPr>
            </w:pPr>
            <w:r>
              <w:rPr>
                <w:rFonts w:hint="default" w:ascii="Times New Roman" w:hAnsi="Times New Roman" w:cs="Times New Roman"/>
                <w:color w:val="auto"/>
                <w:sz w:val="24"/>
                <w:szCs w:val="22"/>
                <w:highlight w:val="none"/>
                <w:lang w:val="en-US" w:eastAsia="zh-CN"/>
              </w:rPr>
              <w:t>威县乐牛乳业有限公司</w:t>
            </w:r>
            <w:r>
              <w:rPr>
                <w:rFonts w:hint="eastAsia" w:ascii="Times New Roman" w:hAnsi="Times New Roman" w:cs="Times New Roman"/>
                <w:color w:val="auto"/>
                <w:sz w:val="24"/>
                <w:szCs w:val="22"/>
                <w:highlight w:val="none"/>
                <w:lang w:val="en-US" w:eastAsia="zh-CN"/>
              </w:rPr>
              <w:t>现有污水处理站出水水质</w:t>
            </w:r>
            <w:r>
              <w:rPr>
                <w:rFonts w:ascii="Times New Roman" w:hAnsi="Times New Roman"/>
                <w:color w:val="auto"/>
                <w:sz w:val="24"/>
              </w:rPr>
              <w:t>执行《城镇污水处理厂污染物排放标准》（GB18918-2002）一级A标准</w:t>
            </w:r>
            <w:r>
              <w:rPr>
                <w:rFonts w:hint="eastAsia" w:ascii="Times New Roman" w:hAnsi="Times New Roman"/>
                <w:color w:val="auto"/>
                <w:sz w:val="24"/>
                <w:lang w:eastAsia="zh-CN"/>
              </w:rPr>
              <w:t>，子牙河、黑龙港及运东流域是我省水污染严重区域，也是需要重点治理的区域，为有效减少子牙河、黑龙港及运东流域水污染物排放，</w:t>
            </w:r>
            <w:r>
              <w:rPr>
                <w:rFonts w:ascii="Times New Roman" w:hAnsi="Times New Roman"/>
                <w:color w:val="auto"/>
                <w:sz w:val="24"/>
              </w:rPr>
              <w:t>河北省实施流域水污染排放地方标准推动水环境</w:t>
            </w:r>
            <w:r>
              <w:rPr>
                <w:rFonts w:ascii="Times New Roman" w:hAnsi="Times New Roman"/>
                <w:color w:val="auto"/>
                <w:spacing w:val="20"/>
                <w:sz w:val="24"/>
              </w:rPr>
              <w:t>质量改善，根据河北省地方标准</w:t>
            </w:r>
            <w:r>
              <w:rPr>
                <w:rFonts w:hint="default" w:ascii="Times New Roman" w:hAnsi="Times New Roman" w:cs="Times New Roman"/>
                <w:color w:val="auto"/>
                <w:spacing w:val="20"/>
                <w:sz w:val="24"/>
                <w:szCs w:val="24"/>
                <w:lang w:val="en-US" w:eastAsia="zh-CN"/>
              </w:rPr>
              <w:t>《黑龙港及运东流域水污染物排放标准》</w:t>
            </w:r>
            <w:r>
              <w:rPr>
                <w:rFonts w:hint="default" w:ascii="Times New Roman" w:hAnsi="Times New Roman" w:cs="Times New Roman"/>
                <w:color w:val="auto"/>
                <w:sz w:val="24"/>
                <w:szCs w:val="24"/>
                <w:lang w:val="en-US" w:eastAsia="zh-CN"/>
              </w:rPr>
              <w:t>（DB13/2797 -2018）</w:t>
            </w:r>
            <w:r>
              <w:rPr>
                <w:rFonts w:ascii="Times New Roman" w:hAnsi="Times New Roman"/>
                <w:color w:val="auto"/>
                <w:sz w:val="24"/>
              </w:rPr>
              <w:t>，</w:t>
            </w:r>
            <w:r>
              <w:rPr>
                <w:rFonts w:hint="eastAsia" w:ascii="Times New Roman" w:hAnsi="Times New Roman"/>
                <w:color w:val="auto"/>
                <w:sz w:val="24"/>
                <w:lang w:eastAsia="zh-CN"/>
              </w:rPr>
              <w:t>威县乐牛乳业有限公司</w:t>
            </w:r>
            <w:r>
              <w:rPr>
                <w:rFonts w:ascii="Times New Roman" w:hAnsi="Times New Roman"/>
                <w:color w:val="auto"/>
                <w:sz w:val="24"/>
              </w:rPr>
              <w:t>属于子</w:t>
            </w:r>
            <w:r>
              <w:rPr>
                <w:rFonts w:hint="eastAsia" w:ascii="Times New Roman" w:hAnsi="Times New Roman"/>
                <w:color w:val="auto"/>
                <w:sz w:val="24"/>
                <w:lang w:eastAsia="zh-CN"/>
              </w:rPr>
              <w:t>黑龙港</w:t>
            </w:r>
            <w:r>
              <w:rPr>
                <w:rFonts w:ascii="Times New Roman" w:hAnsi="Times New Roman"/>
                <w:color w:val="auto"/>
                <w:sz w:val="24"/>
              </w:rPr>
              <w:t>域重点控制区，污水厂排放标准</w:t>
            </w:r>
            <w:r>
              <w:rPr>
                <w:rFonts w:hint="eastAsia" w:ascii="Times New Roman" w:hAnsi="Times New Roman"/>
                <w:color w:val="auto"/>
                <w:sz w:val="24"/>
                <w:lang w:eastAsia="zh-CN"/>
              </w:rPr>
              <w:t>应</w:t>
            </w:r>
            <w:r>
              <w:rPr>
                <w:rFonts w:ascii="Times New Roman" w:hAnsi="Times New Roman"/>
                <w:color w:val="auto"/>
                <w:sz w:val="24"/>
              </w:rPr>
              <w:t>高于原执行一级A标准，现有处理工艺已不能满足新标准。</w:t>
            </w:r>
          </w:p>
        </w:tc>
      </w:tr>
    </w:tbl>
    <w:p>
      <w:pPr>
        <w:outlineLvl w:val="0"/>
        <w:rPr>
          <w:b/>
          <w:color w:val="000000"/>
          <w:sz w:val="32"/>
        </w:rPr>
      </w:pPr>
      <w:r>
        <w:rPr>
          <w:b/>
          <w:color w:val="000000"/>
          <w:sz w:val="30"/>
          <w:szCs w:val="30"/>
        </w:rPr>
        <w:br w:type="page"/>
      </w:r>
      <w:r>
        <w:rPr>
          <w:b/>
          <w:color w:val="000000"/>
          <w:sz w:val="32"/>
        </w:rPr>
        <w:t>建设项目所在地自然环境社会环境简况</w:t>
      </w:r>
    </w:p>
    <w:tbl>
      <w:tblPr>
        <w:tblStyle w:val="4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tcPr>
          <w:p>
            <w:pPr>
              <w:spacing w:line="440" w:lineRule="exact"/>
              <w:jc w:val="left"/>
              <w:rPr>
                <w:b/>
                <w:color w:val="000000"/>
                <w:kern w:val="0"/>
                <w:sz w:val="28"/>
              </w:rPr>
            </w:pPr>
            <w:r>
              <w:rPr>
                <w:b/>
                <w:color w:val="000000"/>
                <w:kern w:val="0"/>
                <w:sz w:val="28"/>
              </w:rPr>
              <w:t>自然环境简况(</w:t>
            </w:r>
            <w:r>
              <w:rPr>
                <w:b/>
                <w:color w:val="000000"/>
                <w:kern w:val="0"/>
                <w:sz w:val="28"/>
                <w:szCs w:val="28"/>
              </w:rPr>
              <w:t>地形、地貌、地质、气候、气象、水文、植被、生物多样性等</w:t>
            </w:r>
            <w:r>
              <w:rPr>
                <w:b/>
                <w:color w:val="000000"/>
                <w:kern w:val="0"/>
                <w:sz w:val="28"/>
              </w:rPr>
              <w:t>)：</w:t>
            </w:r>
          </w:p>
          <w:p>
            <w:pPr>
              <w:pStyle w:val="128"/>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1、地理位置</w:t>
            </w:r>
          </w:p>
          <w:p>
            <w:pPr>
              <w:pStyle w:val="128"/>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威县位于河北省东南部、邢台市东部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地理位置位于北纬36º52′至37º18′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东经115º12′至115º34′之间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南北长约48.2公里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东西宽约32公里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总面积994平方公里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东临清河县</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西接广宗县</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北与南宫市毗连</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南与临西县及邯郸市邱县接壤。</w:t>
            </w:r>
          </w:p>
          <w:p>
            <w:pPr>
              <w:spacing w:line="360" w:lineRule="auto"/>
              <w:ind w:firstLine="480" w:firstLineChars="200"/>
              <w:rPr>
                <w:rFonts w:hint="default" w:ascii="Times New Roman" w:hAnsi="Times New Roman" w:eastAsia="宋体" w:cs="Times New Roman"/>
                <w:color w:val="auto"/>
                <w:kern w:val="0"/>
                <w:sz w:val="24"/>
                <w:szCs w:val="24"/>
              </w:rPr>
            </w:pPr>
            <w:r>
              <w:rPr>
                <w:rFonts w:hint="eastAsia" w:cs="Times New Roman"/>
                <w:sz w:val="24"/>
                <w:szCs w:val="24"/>
                <w:lang w:eastAsia="zh-CN"/>
              </w:rPr>
              <w:t>技改</w:t>
            </w:r>
            <w:r>
              <w:rPr>
                <w:rFonts w:hint="default" w:ascii="Times New Roman" w:hAnsi="Times New Roman" w:eastAsia="宋体" w:cs="Times New Roman"/>
                <w:sz w:val="24"/>
                <w:szCs w:val="24"/>
              </w:rPr>
              <w:t>项目位于</w:t>
            </w:r>
            <w:r>
              <w:rPr>
                <w:rFonts w:hint="default" w:ascii="Times New Roman" w:hAnsi="Times New Roman" w:eastAsia="宋体" w:cs="Times New Roman"/>
                <w:sz w:val="24"/>
                <w:szCs w:val="24"/>
                <w:lang w:eastAsia="zh-CN"/>
              </w:rPr>
              <w:t>河北省邢台市威县乳业园区迎宾大道6号，威县乐牛乳业有限公司厂内</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项目</w:t>
            </w:r>
            <w:r>
              <w:rPr>
                <w:rFonts w:hint="default" w:ascii="Times New Roman" w:hAnsi="Times New Roman" w:eastAsia="宋体" w:cs="Times New Roman"/>
                <w:sz w:val="24"/>
                <w:szCs w:val="24"/>
                <w:highlight w:val="none"/>
              </w:rPr>
              <w:t>厂址中心坐标</w:t>
            </w:r>
            <w:r>
              <w:rPr>
                <w:rFonts w:hint="default" w:ascii="Times New Roman" w:hAnsi="Times New Roman" w:eastAsia="宋体" w:cs="Times New Roman"/>
                <w:color w:val="auto"/>
                <w:sz w:val="24"/>
                <w:szCs w:val="24"/>
              </w:rPr>
              <w:t>为北纬37°</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46.92</w:t>
            </w:r>
            <w:r>
              <w:rPr>
                <w:rFonts w:hint="default" w:ascii="Times New Roman" w:hAnsi="Times New Roman" w:eastAsia="宋体" w:cs="Times New Roman"/>
                <w:color w:val="auto"/>
                <w:sz w:val="24"/>
                <w:szCs w:val="24"/>
              </w:rPr>
              <w:t>″、东经11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59.03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技改</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szCs w:val="24"/>
                <w:highlight w:val="none"/>
              </w:rPr>
              <w:t>南侧为</w:t>
            </w:r>
            <w:r>
              <w:rPr>
                <w:rFonts w:hint="default" w:ascii="Times New Roman" w:hAnsi="Times New Roman" w:eastAsia="宋体" w:cs="Times New Roman"/>
                <w:color w:val="auto"/>
                <w:sz w:val="24"/>
                <w:szCs w:val="24"/>
                <w:highlight w:val="none"/>
                <w:lang w:eastAsia="zh-CN"/>
              </w:rPr>
              <w:t>企业车间、东侧为企业闲置空地，西侧、北侧均为空地</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highlight w:val="none"/>
                <w:lang w:eastAsia="zh-CN"/>
              </w:rPr>
              <w:t>项目所在地西南</w:t>
            </w:r>
            <w:r>
              <w:rPr>
                <w:rFonts w:hint="default" w:ascii="Times New Roman" w:hAnsi="Times New Roman" w:eastAsia="宋体" w:cs="Times New Roman"/>
                <w:bCs/>
                <w:color w:val="auto"/>
                <w:sz w:val="24"/>
                <w:highlight w:val="none"/>
                <w:lang w:val="en-US" w:eastAsia="zh-CN"/>
              </w:rPr>
              <w:t>1560m处为后南寺庄村，西南1470m处为中南寺庄村，西南1510m处为前南寺庄村，东南1700m处为关吴村，东南1990m处为国吴村，东1900m处为薛吴村，北710m处为前寺庄村，北780m处为西寺庄村，北1090m处为东寺庄村，北1250m处为北寺庄村。</w:t>
            </w:r>
            <w:r>
              <w:rPr>
                <w:rFonts w:hint="default" w:ascii="Times New Roman" w:hAnsi="Times New Roman" w:eastAsia="宋体" w:cs="Times New Roman"/>
                <w:color w:val="auto"/>
                <w:sz w:val="24"/>
                <w:szCs w:val="24"/>
              </w:rPr>
              <w:t>项目地理位置图以及周边关系图分别见附图1和附图2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rPr>
              <w:t>地理位置较优越</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交通便利</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环境质量较好</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没有名胜古迹、自然保护区、风景名胜区、珍稀动植物等需特殊保护的环境敏感目标。</w:t>
            </w:r>
          </w:p>
          <w:p>
            <w:pPr>
              <w:pStyle w:val="128"/>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2、地形地貌</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威县属古黄河、古漳河长期泛滥淤积而成的冲积平原。现存地貌为第四纪松散沉积物。地势平坦、开阔</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土层深厚。地势从西南向东北倾斜</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海拔高程为30m至35m。地面坡降为万分之一。威县境内地貌类型单一</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以平地为主</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间有缓岗、沙丘和洼地。</w:t>
            </w:r>
          </w:p>
          <w:p>
            <w:pPr>
              <w:widowControl/>
              <w:spacing w:line="360" w:lineRule="auto"/>
              <w:ind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3、地质</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威县地处河北平原沉降带的南部</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属冀南坳陷区。河北平原属新华夏第二沉降带</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是迭置在华北陆台上的中新生代沉降盆地</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地貌形态虽平坦单一</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但却是一个构造为复杂的沉积盆地。冀南坳陷区处于河北平原的南部</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区内基底凹凸不平</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由两个凸起和两个凹陷区组成。威县所辖领域东西横跨两个次级构造单元</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即洺州镇、大宁乡地处广宗凸起之上</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其基底地层为太古界片麻岩系；其余绝大部分处于丘县凹陷区内</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其基底为侏罗、白垩系地层。</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威县属近山和远山河流冲积湖低平原区</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第四系地层遍及全县</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厚度500～600m。其下为第三系地层。基底绝大部分为侏罗、白垩系地层。</w:t>
            </w:r>
          </w:p>
          <w:p>
            <w:pPr>
              <w:widowControl/>
              <w:spacing w:line="360" w:lineRule="auto"/>
              <w:ind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4、地表水</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威县境内主要河流自西向东分布有西沙河、东风渠（人工开挖）、老沙河（清凉江）、沽漳河、威临渠、赵王河等</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均属黑龙港流域。各河流均常年干沽无水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仅丰水季节偶有水流通过。</w:t>
            </w:r>
          </w:p>
          <w:p>
            <w:pPr>
              <w:widowControl/>
              <w:spacing w:line="360" w:lineRule="auto"/>
              <w:ind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5、地下水</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本项目所在区域地下水主要赋存于第四系各种砂层中</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为孔隙潜水或承压水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根据沉积物质来源、成因类型及水文地质特征</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属于黄河冲积沉积物</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主要特点是有咸水层分布。因此</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按含水组埋藏条件及水质</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该区域地下水划分为：浅层淡水、浅层咸水和深层淡水三种类型。在垂直方向上</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以第四纪地层划分为基础</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结合水质、水量、水动力条件</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自上而下划分为四个含水组。</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第Ⅰ含水组(相当于全新统Q4)：分布较普遍</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为潜水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主要为冲积及湖沼作用所形成的细砂、粉细砂含水层</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呈北东向条带分布为主。该含水组分上下两部分。上部含水层岩性主要为粉砂</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厚4～6m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多呈透镜体状</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单位涌水量一般为1～5m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水质为重碳酸、氯化物～钙、镁、钠型水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矿化度一般小于1g/L</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属浅层淡水。下部含水层岩性为粉细砂、粉砂等</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顶板埋深21～25m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底板埋深40～50m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总厚一般为5～10m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局部地段大于20m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单位涌水量一般为1～5m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个别区域达5～10m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矿化度一般为1～3g/L</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少数大于3g/L</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属浅层咸水上部。</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第Ⅱ含水组(相当于上更新统Q3)：该含水组底板埋深150m左右</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含水层岩性主要为细粉细砂、厚10～50m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单位出水量5～10m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/h·m。水质为重碳酸、硫酸盐～钠镁水；重碳酸、氯化物～钠水等</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矿化度1～3g/L</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局部3～5g/L</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属浅层咸水下部</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咸水底界面深度100～120m。底板以下130m～170m处有厚40m的粘土层与下部含水层相隔。</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第Ⅲ含水组(相当于中更新统Q2)：该含水组底板埋深350m左右</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含水层岩性主要为中砂、细砂、粉砂等</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共13～18层</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总厚50～80m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富水性一般为5～15m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/h·m。水质为重碳酸、硫酸盐～钠及氯化物、硫酸盐～钠水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矿化度0.6～1.4g/L</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属深层淡水上部。</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第Ⅳ含水组(相当于下更新统Q1)：底板埋深大于500m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顶板埋深355m左右</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含水层岩性主要为粉细砂、粉砂</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总厚度30～50m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共有9～12层</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单位出水量5～10m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局部地段小于5m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/h·m。水质为重碳酸、氯化物～钠型水及重碳酸、硫酸盐～钠水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矿化度0.5～1.0g/L</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属深层淡水下部。目前居民生活和工农业用水主要取自于第Ⅲ和第Ⅳ含水组。</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威县地下水资源主要来源于降水入渗和灌溉回归。地下水流向基本为自西南向东北。</w:t>
            </w:r>
          </w:p>
          <w:p>
            <w:pPr>
              <w:widowControl/>
              <w:spacing w:line="360" w:lineRule="auto"/>
              <w:ind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6、气候气象</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威县属暖温带大陆性半湿润季风气候。气候特征为：四季分明</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冬夏长</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春秋短。春季干旱多风</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蒸发量大；夏季受海洋性气候影响</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往往形成久旱不雨或大雨成灾；秋季天高气爽</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降雨稀少；冬季多北风</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寒冷少雨雪。年平均气温13.1ºC</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年极端最高气温42.7℃</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极端最低气温-21.2℃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年内七月份最热</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一月份最冷。历年平均日照时数2574.8h</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日照百分率57%。历年平均无霜期198d</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初霜期一般在10月下旬</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终霜期在4月初；一般在12月下旬开始结冰</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次年2月解冻</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最大冻土深度0.45m。多年平均蒸发量2005.5mm。</w:t>
            </w:r>
          </w:p>
          <w:p>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威县多年平均降水量574.3mm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降水量年内及年际分配不均</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丰枯相差悬殊</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年最大降水量1289.5mm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发生在1963年</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为枯水年1972年降水量259.3mm的4.97倍</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年降水量的70％集中在汛期</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且多以暴雨的形式出现。多年平均风速3.1m/s</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以东南风和西南风居多。</w:t>
            </w:r>
          </w:p>
          <w:p>
            <w:pPr>
              <w:widowControl/>
              <w:spacing w:line="360" w:lineRule="auto"/>
              <w:ind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7、植被</w:t>
            </w:r>
          </w:p>
          <w:p>
            <w:pPr>
              <w:spacing w:line="360" w:lineRule="auto"/>
              <w:ind w:firstLine="482"/>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该区域植被类型属于以人工栽培作物为主体的农业生态类型。评价区域内主要作物为小麦、玉米、棉花等。经调查评价区域无国家保护的珍稀野生动植物。</w:t>
            </w:r>
          </w:p>
          <w:p>
            <w:pPr>
              <w:spacing w:line="360" w:lineRule="auto"/>
              <w:ind w:firstLine="480" w:firstLineChars="200"/>
              <w:contextualSpacing/>
              <w:rPr>
                <w:sz w:val="24"/>
              </w:rPr>
            </w:pPr>
          </w:p>
          <w:p>
            <w:pPr>
              <w:spacing w:line="360" w:lineRule="auto"/>
              <w:ind w:firstLine="480" w:firstLineChars="200"/>
              <w:contextualSpacing/>
              <w:rPr>
                <w:sz w:val="24"/>
              </w:rPr>
            </w:pPr>
          </w:p>
          <w:p>
            <w:pPr>
              <w:spacing w:line="360" w:lineRule="auto"/>
              <w:ind w:firstLine="480" w:firstLineChars="200"/>
              <w:contextualSpacing/>
              <w:rPr>
                <w:sz w:val="24"/>
              </w:rPr>
            </w:pPr>
          </w:p>
          <w:p>
            <w:pPr>
              <w:spacing w:line="360" w:lineRule="auto"/>
              <w:ind w:firstLine="480" w:firstLineChars="200"/>
              <w:contextualSpacing/>
              <w:rPr>
                <w:sz w:val="24"/>
              </w:rPr>
            </w:pPr>
          </w:p>
          <w:p>
            <w:pPr>
              <w:spacing w:line="360" w:lineRule="auto"/>
              <w:ind w:firstLine="480" w:firstLineChars="200"/>
              <w:contextualSpacing/>
              <w:rPr>
                <w:sz w:val="24"/>
              </w:rPr>
            </w:pPr>
          </w:p>
          <w:p>
            <w:pPr>
              <w:spacing w:line="360" w:lineRule="auto"/>
              <w:contextualSpacing/>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trPr>
        <w:tc>
          <w:tcPr>
            <w:tcW w:w="8296" w:type="dxa"/>
            <w:shd w:val="clear" w:color="auto" w:fill="auto"/>
          </w:tcPr>
          <w:p>
            <w:pPr>
              <w:spacing w:line="360" w:lineRule="auto"/>
              <w:contextualSpacing/>
              <w:rPr>
                <w:b/>
                <w:color w:val="000000"/>
                <w:kern w:val="0"/>
                <w:sz w:val="28"/>
              </w:rPr>
            </w:pPr>
            <w:r>
              <w:rPr>
                <w:b/>
                <w:color w:val="000000"/>
                <w:kern w:val="0"/>
                <w:sz w:val="28"/>
              </w:rPr>
              <w:t>社会环境简况(社会经济结构、教育、文化、文物保护等)：</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威县地处华北平原南部</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属冀南低平原区。威县总面积1011.8k</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辖8镇8乡</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522个行政村。总人口60万</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耕地面积103.2万亩</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国民生产总值29.95亿元</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人均生产总值5305元。第一产业生产总值13.58亿元</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第二产业生产总值8.05亿元</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第三产业生产总值8.32亿元</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产业结构比例为45.4</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26.9</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27.7。威县农业较发达</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是河北省粮、棉、油主要产区之一</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素有“冀南棉海”之称。威县工业基础良好</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形成了棉花深加工、毛皮加工、橡胶制品、建材装饰、食品加工等为主的骨干企业。乡镇企业突飞猛进</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形成了皮毛皮革、毛毡、橡胶制品、汽摩配件、造纸、建筑陶瓷等八大行业。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全县共有普通高中2所</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在校生6235人；初中28所</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在校生30351人</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小学211所</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在校生39732人</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儿童入学率达100%。 现有职教中心1所</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在校生121人。全县有电影院、剧场、文化馆、图书馆、县级广播台、电视台等</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广播电视人口覆盖率100%。</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全县各类医疗卫生机构803所</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卫生技术人员160人</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全县已形成了比较健全的医疗预防保健网络。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威县地理环境优越</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交通发达</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106国道及大广高速穿县而过</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纵贯南北、青银、邢临高速公路在县内横穿而过</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邢清、邢临公路与山东省相通</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交通条件便利。106国道威县境内全长48.45km；青银、邢临高速公路在县内横穿而过</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境内全长33.38km</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县道全长52.52km。</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威县生活垃圾卫生填埋场位于洺州镇皇神庙西北</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县城西北面4km处</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该工程设计日处理生活垃圾150t</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占地面积120亩</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总库容104.95万m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总投资3150万元。该垃圾填埋场已于2010年投入使用</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设计使用年限15年。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项目产生的生活垃圾由环卫部门送该垃圾填埋场卫生填埋处理。</w:t>
            </w:r>
          </w:p>
          <w:p>
            <w:pPr>
              <w:spacing w:line="360" w:lineRule="auto"/>
              <w:ind w:firstLine="480" w:firstLineChars="200"/>
              <w:rPr>
                <w:kern w:val="0"/>
                <w:sz w:val="24"/>
              </w:rPr>
            </w:pPr>
          </w:p>
        </w:tc>
      </w:tr>
    </w:tbl>
    <w:p>
      <w:pPr>
        <w:outlineLvl w:val="0"/>
        <w:rPr>
          <w:b/>
          <w:color w:val="000000"/>
          <w:sz w:val="30"/>
          <w:szCs w:val="30"/>
        </w:rPr>
      </w:pPr>
      <w:r>
        <w:rPr>
          <w:rFonts w:hint="eastAsia"/>
          <w:b/>
          <w:color w:val="000000"/>
          <w:sz w:val="30"/>
          <w:szCs w:val="30"/>
        </w:rPr>
        <w:t>环境</w:t>
      </w:r>
      <w:r>
        <w:rPr>
          <w:b/>
          <w:color w:val="000000"/>
          <w:sz w:val="30"/>
          <w:szCs w:val="30"/>
        </w:rPr>
        <w:t>质量状况</w:t>
      </w:r>
    </w:p>
    <w:tbl>
      <w:tblPr>
        <w:tblStyle w:val="4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8" w:hRule="atLeast"/>
          <w:jc w:val="center"/>
        </w:trPr>
        <w:tc>
          <w:tcPr>
            <w:tcW w:w="8296" w:type="dxa"/>
          </w:tcPr>
          <w:p>
            <w:pPr>
              <w:spacing w:line="360" w:lineRule="auto"/>
              <w:contextualSpacing/>
              <w:rPr>
                <w:b/>
                <w:bCs/>
                <w:color w:val="auto"/>
                <w:sz w:val="28"/>
              </w:rPr>
            </w:pPr>
            <w:r>
              <w:rPr>
                <w:b/>
                <w:bCs/>
                <w:color w:val="auto"/>
                <w:sz w:val="28"/>
              </w:rPr>
              <w:t>建设项目所在区域环境质量现状及主要环境问题（环境空气、地面水、地下水、声环境、生态环境等）</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1、大气环境质量现状</w:t>
            </w:r>
          </w:p>
          <w:p>
            <w:pPr>
              <w:adjustRightInd w:val="0"/>
              <w:snapToGri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环境空气质量达标情况判定</w:t>
            </w:r>
            <w:r>
              <w:rPr>
                <w:rFonts w:hint="default" w:ascii="Times New Roman" w:hAnsi="Times New Roman" w:eastAsia="宋体" w:cs="Times New Roman"/>
                <w:color w:val="auto"/>
                <w:kern w:val="2"/>
                <w:sz w:val="24"/>
                <w:szCs w:val="24"/>
                <w:highlight w:val="none"/>
                <w:lang w:val="en-US" w:eastAsia="zh-CN" w:bidi="ar-SA"/>
              </w:rPr>
              <w:t>：根据《2019年邢</w:t>
            </w:r>
            <w:r>
              <w:rPr>
                <w:rFonts w:hint="default" w:ascii="Times New Roman" w:hAnsi="Times New Roman" w:eastAsia="宋体" w:cs="Times New Roman"/>
                <w:color w:val="auto"/>
                <w:kern w:val="2"/>
                <w:sz w:val="24"/>
                <w:szCs w:val="24"/>
                <w:lang w:val="en-US" w:eastAsia="zh-CN" w:bidi="ar-SA"/>
              </w:rPr>
              <w:t>台市生态环境状况公报》中相关数据，邢台地区201</w:t>
            </w:r>
            <w:r>
              <w:rPr>
                <w:rFonts w:hint="eastAsia" w:cs="Times New Roman"/>
                <w:color w:val="auto"/>
                <w:kern w:val="2"/>
                <w:sz w:val="24"/>
                <w:szCs w:val="24"/>
                <w:lang w:val="en-US" w:eastAsia="zh-CN" w:bidi="ar-SA"/>
              </w:rPr>
              <w:t>9</w:t>
            </w:r>
            <w:r>
              <w:rPr>
                <w:rFonts w:hint="default" w:ascii="Times New Roman" w:hAnsi="Times New Roman" w:eastAsia="宋体" w:cs="Times New Roman"/>
                <w:color w:val="auto"/>
                <w:kern w:val="2"/>
                <w:sz w:val="24"/>
                <w:szCs w:val="24"/>
                <w:lang w:val="en-US" w:eastAsia="zh-CN" w:bidi="ar-SA"/>
              </w:rPr>
              <w:t>年环境空气六项污染物年平均浓度详见表10。</w:t>
            </w:r>
          </w:p>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rPr>
              <w:t xml:space="preserve">  201</w:t>
            </w: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年邢台市环境空气六项污染物年平均浓度值一览表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222"/>
              <w:gridCol w:w="2841"/>
              <w:gridCol w:w="1548"/>
              <w:gridCol w:w="1314"/>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95" w:hRule="atLeast"/>
                <w:jc w:val="center"/>
              </w:trPr>
              <w:tc>
                <w:tcPr>
                  <w:tcW w:w="7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污染物项目</w:t>
                  </w:r>
                </w:p>
              </w:tc>
              <w:tc>
                <w:tcPr>
                  <w:tcW w:w="17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年评价指标</w:t>
                  </w:r>
                </w:p>
              </w:tc>
              <w:tc>
                <w:tcPr>
                  <w:tcW w:w="9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年平均浓度值</w:t>
                  </w:r>
                  <w:r>
                    <w:rPr>
                      <w:rFonts w:hint="default" w:ascii="Times New Roman" w:hAnsi="Times New Roman" w:eastAsia="宋体" w:cs="Times New Roman"/>
                      <w:color w:val="auto"/>
                      <w:sz w:val="21"/>
                      <w:szCs w:val="21"/>
                      <w:highlight w:val="none"/>
                      <w:lang w:val="en-US" w:eastAsia="zh-CN"/>
                    </w:rPr>
                    <w:t>/</w:t>
                  </w:r>
                </w:p>
              </w:tc>
              <w:tc>
                <w:tcPr>
                  <w:tcW w:w="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标准限值</w:t>
                  </w:r>
                  <w:r>
                    <w:rPr>
                      <w:rFonts w:hint="default" w:ascii="Times New Roman" w:hAnsi="Times New Roman" w:eastAsia="宋体" w:cs="Times New Roman"/>
                      <w:color w:val="auto"/>
                      <w:sz w:val="21"/>
                      <w:szCs w:val="21"/>
                      <w:highlight w:val="none"/>
                      <w:lang w:val="en-US" w:eastAsia="zh-CN"/>
                    </w:rPr>
                    <w:t>/</w:t>
                  </w:r>
                </w:p>
              </w:tc>
              <w:tc>
                <w:tcPr>
                  <w:tcW w:w="70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95" w:hRule="atLeast"/>
                <w:jc w:val="center"/>
              </w:trPr>
              <w:tc>
                <w:tcPr>
                  <w:tcW w:w="7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rPr>
                  </w:pPr>
                </w:p>
              </w:tc>
              <w:tc>
                <w:tcPr>
                  <w:tcW w:w="17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rPr>
                  </w:pPr>
                </w:p>
              </w:tc>
              <w:tc>
                <w:tcPr>
                  <w:tcW w:w="9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lang w:val="en-US" w:eastAsia="zh-CN"/>
                    </w:rPr>
                    <w:t>/m³</w:t>
                  </w:r>
                  <w:r>
                    <w:rPr>
                      <w:rFonts w:hint="default" w:ascii="Times New Roman" w:hAnsi="Times New Roman" w:eastAsia="宋体" w:cs="Times New Roman"/>
                      <w:color w:val="auto"/>
                      <w:sz w:val="21"/>
                      <w:szCs w:val="21"/>
                      <w:highlight w:val="none"/>
                      <w:lang w:eastAsia="zh-CN"/>
                    </w:rPr>
                    <w:t>）</w:t>
                  </w:r>
                </w:p>
              </w:tc>
              <w:tc>
                <w:tcPr>
                  <w:tcW w:w="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lang w:val="en-US" w:eastAsia="zh-CN"/>
                    </w:rPr>
                    <w:t>/m³）</w:t>
                  </w:r>
                </w:p>
              </w:tc>
              <w:tc>
                <w:tcPr>
                  <w:tcW w:w="7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36" w:hRule="atLeast"/>
                <w:jc w:val="center"/>
              </w:trPr>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17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年平均</w:t>
                  </w:r>
                </w:p>
              </w:tc>
              <w:tc>
                <w:tcPr>
                  <w:tcW w:w="9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19</w:t>
                  </w:r>
                </w:p>
              </w:tc>
              <w:tc>
                <w:tcPr>
                  <w:tcW w:w="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70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36" w:hRule="atLeast"/>
                <w:jc w:val="center"/>
              </w:trPr>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2</w:t>
                  </w:r>
                </w:p>
              </w:tc>
              <w:tc>
                <w:tcPr>
                  <w:tcW w:w="17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年平均</w:t>
                  </w:r>
                </w:p>
              </w:tc>
              <w:tc>
                <w:tcPr>
                  <w:tcW w:w="9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70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36" w:hRule="atLeast"/>
                <w:jc w:val="center"/>
              </w:trPr>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2.5</w:t>
                  </w:r>
                </w:p>
              </w:tc>
              <w:tc>
                <w:tcPr>
                  <w:tcW w:w="17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年平均</w:t>
                  </w:r>
                </w:p>
              </w:tc>
              <w:tc>
                <w:tcPr>
                  <w:tcW w:w="9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70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36" w:hRule="atLeast"/>
                <w:jc w:val="center"/>
              </w:trPr>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10</w:t>
                  </w:r>
                </w:p>
              </w:tc>
              <w:tc>
                <w:tcPr>
                  <w:tcW w:w="17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年平均</w:t>
                  </w:r>
                </w:p>
              </w:tc>
              <w:tc>
                <w:tcPr>
                  <w:tcW w:w="9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115</w:t>
                  </w:r>
                </w:p>
              </w:tc>
              <w:tc>
                <w:tcPr>
                  <w:tcW w:w="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70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36" w:hRule="atLeast"/>
                <w:jc w:val="center"/>
              </w:trPr>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O</w:t>
                  </w:r>
                  <w:r>
                    <w:rPr>
                      <w:rFonts w:hint="default" w:ascii="Times New Roman" w:hAnsi="Times New Roman" w:eastAsia="宋体" w:cs="Times New Roman"/>
                      <w:color w:val="auto"/>
                      <w:sz w:val="21"/>
                      <w:szCs w:val="21"/>
                      <w:highlight w:val="none"/>
                      <w:vertAlign w:val="subscript"/>
                      <w:lang w:val="en-US" w:eastAsia="zh-CN"/>
                    </w:rPr>
                    <w:t>3</w:t>
                  </w:r>
                </w:p>
              </w:tc>
              <w:tc>
                <w:tcPr>
                  <w:tcW w:w="17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日最大8h平均第90百分位数</w:t>
                  </w:r>
                </w:p>
              </w:tc>
              <w:tc>
                <w:tcPr>
                  <w:tcW w:w="9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209</w:t>
                  </w:r>
                </w:p>
              </w:tc>
              <w:tc>
                <w:tcPr>
                  <w:tcW w:w="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160</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49" w:hRule="atLeast"/>
                <w:jc w:val="center"/>
              </w:trPr>
              <w:tc>
                <w:tcPr>
                  <w:tcW w:w="7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w:t>
                  </w:r>
                </w:p>
              </w:tc>
              <w:tc>
                <w:tcPr>
                  <w:tcW w:w="17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24小时平均第95百分位数</w:t>
                  </w:r>
                </w:p>
              </w:tc>
              <w:tc>
                <w:tcPr>
                  <w:tcW w:w="9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2.4mg/m³</w:t>
                  </w:r>
                </w:p>
              </w:tc>
              <w:tc>
                <w:tcPr>
                  <w:tcW w:w="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4mg/m³</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w:t>
                  </w:r>
                </w:p>
              </w:tc>
            </w:tr>
          </w:tbl>
          <w:p>
            <w:pPr>
              <w:pStyle w:val="294"/>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rPr>
              <w:t>根据表</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显示，</w:t>
            </w:r>
            <w:r>
              <w:rPr>
                <w:rFonts w:hint="default" w:ascii="Times New Roman" w:hAnsi="Times New Roman" w:eastAsia="宋体" w:cs="Times New Roman"/>
                <w:b w:val="0"/>
                <w:bCs w:val="0"/>
                <w:color w:val="auto"/>
                <w:sz w:val="25"/>
                <w:szCs w:val="24"/>
                <w:highlight w:val="none"/>
                <w:lang w:val="en-US" w:eastAsia="zh-CN"/>
              </w:rPr>
              <w:t>2019年邢台地区NO</w:t>
            </w:r>
            <w:r>
              <w:rPr>
                <w:rFonts w:hint="default" w:ascii="Times New Roman" w:hAnsi="Times New Roman" w:eastAsia="宋体" w:cs="Times New Roman"/>
                <w:b w:val="0"/>
                <w:bCs w:val="0"/>
                <w:color w:val="auto"/>
                <w:sz w:val="25"/>
                <w:szCs w:val="24"/>
                <w:highlight w:val="none"/>
                <w:vertAlign w:val="subscript"/>
                <w:lang w:val="en-US" w:eastAsia="zh-CN"/>
              </w:rPr>
              <w:t>2</w:t>
            </w:r>
            <w:r>
              <w:rPr>
                <w:rFonts w:hint="default" w:ascii="Times New Roman" w:hAnsi="Times New Roman" w:eastAsia="宋体" w:cs="Times New Roman"/>
                <w:b w:val="0"/>
                <w:bCs w:val="0"/>
                <w:color w:val="auto"/>
                <w:sz w:val="25"/>
                <w:szCs w:val="24"/>
                <w:highlight w:val="none"/>
                <w:lang w:val="en-US" w:eastAsia="zh-CN"/>
              </w:rPr>
              <w:t>、PM</w:t>
            </w:r>
            <w:r>
              <w:rPr>
                <w:rFonts w:hint="default" w:ascii="Times New Roman" w:hAnsi="Times New Roman" w:eastAsia="宋体" w:cs="Times New Roman"/>
                <w:b w:val="0"/>
                <w:bCs w:val="0"/>
                <w:color w:val="auto"/>
                <w:sz w:val="25"/>
                <w:szCs w:val="24"/>
                <w:highlight w:val="none"/>
                <w:vertAlign w:val="subscript"/>
                <w:lang w:val="en-US" w:eastAsia="zh-CN"/>
              </w:rPr>
              <w:t>2.5</w:t>
            </w:r>
            <w:r>
              <w:rPr>
                <w:rFonts w:hint="default" w:ascii="Times New Roman" w:hAnsi="Times New Roman" w:eastAsia="宋体" w:cs="Times New Roman"/>
                <w:b w:val="0"/>
                <w:bCs w:val="0"/>
                <w:color w:val="auto"/>
                <w:sz w:val="25"/>
                <w:szCs w:val="24"/>
                <w:highlight w:val="none"/>
                <w:lang w:val="en-US" w:eastAsia="zh-CN"/>
              </w:rPr>
              <w:t>、PM</w:t>
            </w:r>
            <w:r>
              <w:rPr>
                <w:rFonts w:hint="default" w:ascii="Times New Roman" w:hAnsi="Times New Roman" w:eastAsia="宋体" w:cs="Times New Roman"/>
                <w:b w:val="0"/>
                <w:bCs w:val="0"/>
                <w:color w:val="auto"/>
                <w:sz w:val="25"/>
                <w:szCs w:val="24"/>
                <w:highlight w:val="none"/>
                <w:vertAlign w:val="subscript"/>
                <w:lang w:val="en-US" w:eastAsia="zh-CN"/>
              </w:rPr>
              <w:t>10</w:t>
            </w:r>
            <w:r>
              <w:rPr>
                <w:rFonts w:hint="default" w:ascii="Times New Roman" w:hAnsi="Times New Roman" w:eastAsia="宋体" w:cs="Times New Roman"/>
                <w:b w:val="0"/>
                <w:bCs w:val="0"/>
                <w:color w:val="auto"/>
                <w:sz w:val="25"/>
                <w:szCs w:val="24"/>
                <w:highlight w:val="none"/>
                <w:lang w:val="en-US" w:eastAsia="zh-CN"/>
              </w:rPr>
              <w:t>、O</w:t>
            </w:r>
            <w:r>
              <w:rPr>
                <w:rFonts w:hint="default" w:ascii="Times New Roman" w:hAnsi="Times New Roman" w:eastAsia="宋体" w:cs="Times New Roman"/>
                <w:b w:val="0"/>
                <w:bCs w:val="0"/>
                <w:color w:val="auto"/>
                <w:sz w:val="25"/>
                <w:szCs w:val="24"/>
                <w:highlight w:val="none"/>
                <w:vertAlign w:val="subscript"/>
                <w:lang w:val="en-US" w:eastAsia="zh-CN"/>
              </w:rPr>
              <w:t>3</w:t>
            </w:r>
            <w:r>
              <w:rPr>
                <w:rFonts w:hint="default" w:ascii="Times New Roman" w:hAnsi="Times New Roman" w:eastAsia="宋体" w:cs="Times New Roman"/>
                <w:b w:val="0"/>
                <w:bCs w:val="0"/>
                <w:color w:val="auto"/>
                <w:sz w:val="25"/>
                <w:szCs w:val="24"/>
                <w:highlight w:val="none"/>
                <w:vertAlign w:val="baseline"/>
                <w:lang w:val="en-US" w:eastAsia="zh-CN"/>
              </w:rPr>
              <w:t>均出现超标，</w:t>
            </w:r>
            <w:r>
              <w:rPr>
                <w:rFonts w:hint="default" w:ascii="Times New Roman" w:hAnsi="Times New Roman" w:eastAsia="宋体" w:cs="Times New Roman"/>
                <w:b w:val="0"/>
                <w:bCs w:val="0"/>
                <w:color w:val="auto"/>
                <w:sz w:val="25"/>
                <w:szCs w:val="24"/>
                <w:highlight w:val="none"/>
                <w:lang w:val="en-US" w:eastAsia="zh-CN"/>
              </w:rPr>
              <w:t>NO</w:t>
            </w:r>
            <w:r>
              <w:rPr>
                <w:rFonts w:hint="default" w:ascii="Times New Roman" w:hAnsi="Times New Roman" w:eastAsia="宋体" w:cs="Times New Roman"/>
                <w:b w:val="0"/>
                <w:bCs w:val="0"/>
                <w:color w:val="auto"/>
                <w:sz w:val="25"/>
                <w:szCs w:val="24"/>
                <w:highlight w:val="none"/>
                <w:vertAlign w:val="subscript"/>
                <w:lang w:val="en-US" w:eastAsia="zh-CN"/>
              </w:rPr>
              <w:t>2</w:t>
            </w:r>
            <w:r>
              <w:rPr>
                <w:rFonts w:hint="default" w:ascii="Times New Roman" w:hAnsi="Times New Roman" w:eastAsia="宋体" w:cs="Times New Roman"/>
                <w:b w:val="0"/>
                <w:bCs w:val="0"/>
                <w:color w:val="auto"/>
                <w:sz w:val="25"/>
                <w:szCs w:val="24"/>
                <w:highlight w:val="none"/>
                <w:vertAlign w:val="baseline"/>
                <w:lang w:val="en-US" w:eastAsia="zh-CN"/>
              </w:rPr>
              <w:t>超标倍数为0.125倍，</w:t>
            </w:r>
            <w:r>
              <w:rPr>
                <w:rFonts w:hint="default" w:ascii="Times New Roman" w:hAnsi="Times New Roman" w:eastAsia="宋体" w:cs="Times New Roman"/>
                <w:b w:val="0"/>
                <w:bCs w:val="0"/>
                <w:color w:val="auto"/>
                <w:sz w:val="25"/>
                <w:szCs w:val="24"/>
                <w:highlight w:val="none"/>
                <w:lang w:val="en-US" w:eastAsia="zh-CN"/>
              </w:rPr>
              <w:t>PM</w:t>
            </w:r>
            <w:r>
              <w:rPr>
                <w:rFonts w:hint="default" w:ascii="Times New Roman" w:hAnsi="Times New Roman" w:eastAsia="宋体" w:cs="Times New Roman"/>
                <w:b w:val="0"/>
                <w:bCs w:val="0"/>
                <w:color w:val="auto"/>
                <w:sz w:val="25"/>
                <w:szCs w:val="24"/>
                <w:highlight w:val="none"/>
                <w:vertAlign w:val="subscript"/>
                <w:lang w:val="en-US" w:eastAsia="zh-CN"/>
              </w:rPr>
              <w:t>2.5</w:t>
            </w:r>
            <w:r>
              <w:rPr>
                <w:rFonts w:hint="default" w:ascii="Times New Roman" w:hAnsi="Times New Roman" w:eastAsia="宋体" w:cs="Times New Roman"/>
                <w:b w:val="0"/>
                <w:bCs w:val="0"/>
                <w:color w:val="auto"/>
                <w:sz w:val="25"/>
                <w:szCs w:val="24"/>
                <w:highlight w:val="none"/>
                <w:vertAlign w:val="baseline"/>
                <w:lang w:val="en-US" w:eastAsia="zh-CN"/>
              </w:rPr>
              <w:t>超标倍数为0.857倍，</w:t>
            </w:r>
            <w:r>
              <w:rPr>
                <w:rFonts w:hint="default" w:ascii="Times New Roman" w:hAnsi="Times New Roman" w:eastAsia="宋体" w:cs="Times New Roman"/>
                <w:b w:val="0"/>
                <w:bCs w:val="0"/>
                <w:color w:val="auto"/>
                <w:sz w:val="25"/>
                <w:szCs w:val="24"/>
                <w:highlight w:val="none"/>
                <w:lang w:val="en-US" w:eastAsia="zh-CN"/>
              </w:rPr>
              <w:t>PM</w:t>
            </w:r>
            <w:r>
              <w:rPr>
                <w:rFonts w:hint="default" w:ascii="Times New Roman" w:hAnsi="Times New Roman" w:eastAsia="宋体" w:cs="Times New Roman"/>
                <w:b w:val="0"/>
                <w:bCs w:val="0"/>
                <w:color w:val="auto"/>
                <w:sz w:val="25"/>
                <w:szCs w:val="24"/>
                <w:highlight w:val="none"/>
                <w:vertAlign w:val="subscript"/>
                <w:lang w:val="en-US" w:eastAsia="zh-CN"/>
              </w:rPr>
              <w:t>10</w:t>
            </w:r>
            <w:r>
              <w:rPr>
                <w:rFonts w:hint="default" w:ascii="Times New Roman" w:hAnsi="Times New Roman" w:eastAsia="宋体" w:cs="Times New Roman"/>
                <w:b w:val="0"/>
                <w:bCs w:val="0"/>
                <w:color w:val="auto"/>
                <w:sz w:val="25"/>
                <w:szCs w:val="24"/>
                <w:highlight w:val="none"/>
                <w:vertAlign w:val="baseline"/>
                <w:lang w:val="en-US" w:eastAsia="zh-CN"/>
              </w:rPr>
              <w:t>超标倍数为0.643倍，</w:t>
            </w:r>
            <w:r>
              <w:rPr>
                <w:rFonts w:hint="default" w:ascii="Times New Roman" w:hAnsi="Times New Roman" w:eastAsia="宋体" w:cs="Times New Roman"/>
                <w:b w:val="0"/>
                <w:bCs w:val="0"/>
                <w:color w:val="auto"/>
                <w:sz w:val="25"/>
                <w:szCs w:val="24"/>
                <w:highlight w:val="none"/>
                <w:lang w:val="en-US" w:eastAsia="zh-CN"/>
              </w:rPr>
              <w:t>O</w:t>
            </w:r>
            <w:r>
              <w:rPr>
                <w:rFonts w:hint="default" w:ascii="Times New Roman" w:hAnsi="Times New Roman" w:eastAsia="宋体" w:cs="Times New Roman"/>
                <w:b w:val="0"/>
                <w:bCs w:val="0"/>
                <w:color w:val="auto"/>
                <w:sz w:val="25"/>
                <w:szCs w:val="24"/>
                <w:highlight w:val="none"/>
                <w:vertAlign w:val="subscript"/>
                <w:lang w:val="en-US" w:eastAsia="zh-CN"/>
              </w:rPr>
              <w:t>3</w:t>
            </w:r>
            <w:r>
              <w:rPr>
                <w:rFonts w:hint="default" w:ascii="Times New Roman" w:hAnsi="Times New Roman" w:eastAsia="宋体" w:cs="Times New Roman"/>
                <w:b w:val="0"/>
                <w:bCs w:val="0"/>
                <w:color w:val="auto"/>
                <w:sz w:val="25"/>
                <w:szCs w:val="24"/>
                <w:highlight w:val="none"/>
                <w:vertAlign w:val="baseline"/>
                <w:lang w:val="en-US" w:eastAsia="zh-CN"/>
              </w:rPr>
              <w:t>超标倍数为0.306倍。因此，邢台市环境空气质量属于未达标</w:t>
            </w:r>
            <w:r>
              <w:rPr>
                <w:rFonts w:hint="default" w:ascii="Times New Roman" w:hAnsi="Times New Roman" w:eastAsia="宋体" w:cs="Times New Roman"/>
                <w:b w:val="0"/>
                <w:bCs w:val="0"/>
                <w:color w:val="auto"/>
                <w:sz w:val="25"/>
                <w:szCs w:val="24"/>
                <w:lang w:val="en-US" w:eastAsia="zh-CN"/>
              </w:rPr>
              <w:t>区，主要污染是以</w:t>
            </w:r>
            <w:r>
              <w:rPr>
                <w:rFonts w:hint="default" w:ascii="Times New Roman" w:hAnsi="Times New Roman" w:eastAsia="宋体" w:cs="Times New Roman"/>
                <w:b w:val="0"/>
                <w:bCs w:val="0"/>
                <w:color w:val="auto"/>
                <w:sz w:val="25"/>
                <w:szCs w:val="24"/>
                <w:highlight w:val="none"/>
                <w:lang w:val="en-US" w:eastAsia="zh-CN"/>
              </w:rPr>
              <w:t>NO</w:t>
            </w:r>
            <w:r>
              <w:rPr>
                <w:rFonts w:hint="default" w:ascii="Times New Roman" w:hAnsi="Times New Roman" w:eastAsia="宋体" w:cs="Times New Roman"/>
                <w:b w:val="0"/>
                <w:bCs w:val="0"/>
                <w:color w:val="auto"/>
                <w:sz w:val="25"/>
                <w:szCs w:val="24"/>
                <w:highlight w:val="none"/>
                <w:vertAlign w:val="subscript"/>
                <w:lang w:val="en-US" w:eastAsia="zh-CN"/>
              </w:rPr>
              <w:t>2</w:t>
            </w:r>
            <w:r>
              <w:rPr>
                <w:rFonts w:hint="default" w:ascii="Times New Roman" w:hAnsi="Times New Roman" w:eastAsia="宋体" w:cs="Times New Roman"/>
                <w:b w:val="0"/>
                <w:bCs w:val="0"/>
                <w:color w:val="auto"/>
                <w:sz w:val="25"/>
                <w:szCs w:val="24"/>
                <w:highlight w:val="none"/>
                <w:lang w:val="en-US" w:eastAsia="zh-CN"/>
              </w:rPr>
              <w:t>、</w:t>
            </w:r>
            <w:r>
              <w:rPr>
                <w:rFonts w:hint="default" w:ascii="Times New Roman" w:hAnsi="Times New Roman" w:eastAsia="宋体" w:cs="Times New Roman"/>
                <w:b w:val="0"/>
                <w:bCs w:val="0"/>
                <w:color w:val="auto"/>
                <w:sz w:val="25"/>
                <w:szCs w:val="24"/>
                <w:lang w:val="en-US" w:eastAsia="zh-CN"/>
              </w:rPr>
              <w:t>PM</w:t>
            </w:r>
            <w:r>
              <w:rPr>
                <w:rFonts w:hint="default" w:ascii="Times New Roman" w:hAnsi="Times New Roman" w:eastAsia="宋体" w:cs="Times New Roman"/>
                <w:b w:val="0"/>
                <w:bCs w:val="0"/>
                <w:color w:val="auto"/>
                <w:sz w:val="25"/>
                <w:szCs w:val="24"/>
                <w:vertAlign w:val="subscript"/>
                <w:lang w:val="en-US" w:eastAsia="zh-CN"/>
              </w:rPr>
              <w:t>2.5</w:t>
            </w:r>
            <w:r>
              <w:rPr>
                <w:rFonts w:hint="default" w:ascii="Times New Roman" w:hAnsi="Times New Roman" w:eastAsia="宋体" w:cs="Times New Roman"/>
                <w:b w:val="0"/>
                <w:bCs w:val="0"/>
                <w:color w:val="auto"/>
                <w:sz w:val="25"/>
                <w:szCs w:val="24"/>
                <w:lang w:val="en-US" w:eastAsia="zh-CN"/>
              </w:rPr>
              <w:t>、PM</w:t>
            </w:r>
            <w:r>
              <w:rPr>
                <w:rFonts w:hint="default" w:ascii="Times New Roman" w:hAnsi="Times New Roman" w:eastAsia="宋体" w:cs="Times New Roman"/>
                <w:b w:val="0"/>
                <w:bCs w:val="0"/>
                <w:color w:val="auto"/>
                <w:sz w:val="25"/>
                <w:szCs w:val="24"/>
                <w:vertAlign w:val="subscript"/>
                <w:lang w:val="en-US" w:eastAsia="zh-CN"/>
              </w:rPr>
              <w:t>10</w:t>
            </w:r>
            <w:r>
              <w:rPr>
                <w:rFonts w:hint="default" w:ascii="Times New Roman" w:hAnsi="Times New Roman" w:eastAsia="宋体" w:cs="Times New Roman"/>
                <w:b w:val="0"/>
                <w:bCs w:val="0"/>
                <w:color w:val="auto"/>
                <w:sz w:val="25"/>
                <w:szCs w:val="24"/>
                <w:highlight w:val="none"/>
                <w:lang w:val="en-US" w:eastAsia="zh-CN"/>
              </w:rPr>
              <w:t>、O</w:t>
            </w:r>
            <w:r>
              <w:rPr>
                <w:rFonts w:hint="default" w:ascii="Times New Roman" w:hAnsi="Times New Roman" w:eastAsia="宋体" w:cs="Times New Roman"/>
                <w:b w:val="0"/>
                <w:bCs w:val="0"/>
                <w:color w:val="auto"/>
                <w:sz w:val="25"/>
                <w:szCs w:val="24"/>
                <w:highlight w:val="none"/>
                <w:vertAlign w:val="subscript"/>
                <w:lang w:val="en-US" w:eastAsia="zh-CN"/>
              </w:rPr>
              <w:t>3</w:t>
            </w:r>
            <w:r>
              <w:rPr>
                <w:rFonts w:hint="default" w:ascii="Times New Roman" w:hAnsi="Times New Roman" w:eastAsia="宋体" w:cs="Times New Roman"/>
                <w:b w:val="0"/>
                <w:bCs w:val="0"/>
                <w:color w:val="auto"/>
                <w:sz w:val="25"/>
                <w:szCs w:val="24"/>
                <w:lang w:val="en-US" w:eastAsia="zh-CN"/>
              </w:rPr>
              <w:t>为主。</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00" w:firstLineChars="200"/>
              <w:jc w:val="both"/>
              <w:textAlignment w:val="auto"/>
              <w:outlineLvl w:val="9"/>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b w:val="0"/>
                <w:bCs w:val="0"/>
                <w:color w:val="auto"/>
                <w:sz w:val="25"/>
                <w:szCs w:val="24"/>
                <w:lang w:val="en-US" w:eastAsia="zh-CN"/>
              </w:rPr>
              <w:t>2019年</w:t>
            </w:r>
            <w:r>
              <w:rPr>
                <w:rFonts w:hint="default" w:ascii="Times New Roman" w:hAnsi="Times New Roman" w:eastAsia="宋体" w:cs="Times New Roman"/>
                <w:b w:val="0"/>
                <w:bCs w:val="0"/>
                <w:color w:val="auto"/>
                <w:sz w:val="25"/>
                <w:szCs w:val="24"/>
                <w:lang w:eastAsia="zh-CN"/>
              </w:rPr>
              <w:t>邢台地区</w:t>
            </w:r>
            <w:r>
              <w:rPr>
                <w:rFonts w:hint="default" w:ascii="Times New Roman" w:hAnsi="Times New Roman" w:eastAsia="宋体" w:cs="Times New Roman"/>
                <w:b w:val="0"/>
                <w:bCs w:val="0"/>
                <w:color w:val="auto"/>
                <w:sz w:val="25"/>
                <w:szCs w:val="24"/>
              </w:rPr>
              <w:t>空气质量综合指数</w:t>
            </w:r>
            <w:r>
              <w:rPr>
                <w:rFonts w:hint="default" w:ascii="Times New Roman" w:hAnsi="Times New Roman" w:eastAsia="宋体" w:cs="Times New Roman"/>
                <w:b w:val="0"/>
                <w:bCs w:val="0"/>
                <w:color w:val="auto"/>
                <w:sz w:val="25"/>
                <w:szCs w:val="24"/>
                <w:lang w:eastAsia="zh-CN"/>
              </w:rPr>
              <w:t>同比</w:t>
            </w:r>
            <w:r>
              <w:rPr>
                <w:rFonts w:hint="default" w:ascii="Times New Roman" w:hAnsi="Times New Roman" w:eastAsia="宋体" w:cs="Times New Roman"/>
                <w:b w:val="0"/>
                <w:bCs w:val="0"/>
                <w:color w:val="auto"/>
                <w:sz w:val="25"/>
                <w:szCs w:val="24"/>
              </w:rPr>
              <w:t>下降</w:t>
            </w:r>
            <w:r>
              <w:rPr>
                <w:rFonts w:hint="default" w:ascii="Times New Roman" w:hAnsi="Times New Roman" w:eastAsia="宋体" w:cs="Times New Roman"/>
                <w:b w:val="0"/>
                <w:bCs w:val="0"/>
                <w:color w:val="auto"/>
                <w:sz w:val="25"/>
                <w:szCs w:val="24"/>
                <w:lang w:val="en-US" w:eastAsia="zh-CN"/>
              </w:rPr>
              <w:t>2.7</w:t>
            </w:r>
            <w:r>
              <w:rPr>
                <w:rFonts w:hint="default" w:ascii="Times New Roman" w:hAnsi="Times New Roman" w:eastAsia="宋体" w:cs="Times New Roman"/>
                <w:b w:val="0"/>
                <w:bCs w:val="0"/>
                <w:color w:val="auto"/>
                <w:sz w:val="25"/>
                <w:szCs w:val="24"/>
              </w:rPr>
              <w:t>%，PM</w:t>
            </w:r>
            <w:r>
              <w:rPr>
                <w:rFonts w:hint="default" w:ascii="Times New Roman" w:hAnsi="Times New Roman" w:eastAsia="宋体" w:cs="Times New Roman"/>
                <w:b w:val="0"/>
                <w:bCs w:val="0"/>
                <w:color w:val="auto"/>
                <w:sz w:val="25"/>
                <w:szCs w:val="24"/>
                <w:vertAlign w:val="subscript"/>
              </w:rPr>
              <w:t>2.5</w:t>
            </w:r>
            <w:r>
              <w:rPr>
                <w:rFonts w:hint="default" w:ascii="Times New Roman" w:hAnsi="Times New Roman" w:eastAsia="宋体" w:cs="Times New Roman"/>
                <w:b w:val="0"/>
                <w:bCs w:val="0"/>
                <w:color w:val="auto"/>
                <w:sz w:val="25"/>
                <w:szCs w:val="24"/>
              </w:rPr>
              <w:t>平均浓度</w:t>
            </w:r>
            <w:r>
              <w:rPr>
                <w:rFonts w:hint="default" w:ascii="Times New Roman" w:hAnsi="Times New Roman" w:eastAsia="宋体" w:cs="Times New Roman"/>
                <w:b w:val="0"/>
                <w:bCs w:val="0"/>
                <w:color w:val="auto"/>
                <w:sz w:val="25"/>
                <w:szCs w:val="24"/>
                <w:lang w:eastAsia="zh-CN"/>
              </w:rPr>
              <w:t>同比下降</w:t>
            </w:r>
            <w:r>
              <w:rPr>
                <w:rFonts w:hint="default" w:ascii="Times New Roman" w:hAnsi="Times New Roman" w:eastAsia="宋体" w:cs="Times New Roman"/>
                <w:b w:val="0"/>
                <w:bCs w:val="0"/>
                <w:color w:val="auto"/>
                <w:sz w:val="25"/>
                <w:szCs w:val="24"/>
                <w:lang w:val="en-US" w:eastAsia="zh-CN"/>
              </w:rPr>
              <w:t>2.48</w:t>
            </w:r>
            <w:r>
              <w:rPr>
                <w:rFonts w:hint="default" w:ascii="Times New Roman" w:hAnsi="Times New Roman" w:eastAsia="宋体" w:cs="Times New Roman"/>
                <w:b w:val="0"/>
                <w:bCs w:val="0"/>
                <w:color w:val="auto"/>
                <w:sz w:val="25"/>
                <w:szCs w:val="24"/>
              </w:rPr>
              <w:t>%</w:t>
            </w:r>
            <w:r>
              <w:rPr>
                <w:rFonts w:hint="default" w:ascii="Times New Roman" w:hAnsi="Times New Roman" w:eastAsia="宋体" w:cs="Times New Roman"/>
                <w:b w:val="0"/>
                <w:bCs w:val="0"/>
                <w:color w:val="auto"/>
                <w:sz w:val="25"/>
                <w:szCs w:val="24"/>
                <w:lang w:eastAsia="zh-CN"/>
              </w:rPr>
              <w:t>，</w:t>
            </w:r>
            <w:r>
              <w:rPr>
                <w:rFonts w:hint="default" w:ascii="Times New Roman" w:hAnsi="Times New Roman" w:eastAsia="宋体" w:cs="Times New Roman"/>
                <w:b w:val="0"/>
                <w:bCs w:val="0"/>
                <w:color w:val="auto"/>
                <w:sz w:val="25"/>
                <w:szCs w:val="24"/>
              </w:rPr>
              <w:t>PM</w:t>
            </w:r>
            <w:r>
              <w:rPr>
                <w:rFonts w:hint="default" w:ascii="Times New Roman" w:hAnsi="Times New Roman" w:eastAsia="宋体" w:cs="Times New Roman"/>
                <w:b w:val="0"/>
                <w:bCs w:val="0"/>
                <w:color w:val="auto"/>
                <w:sz w:val="25"/>
                <w:szCs w:val="24"/>
                <w:vertAlign w:val="subscript"/>
                <w:lang w:val="en-US" w:eastAsia="zh-CN"/>
              </w:rPr>
              <w:t>10</w:t>
            </w:r>
            <w:r>
              <w:rPr>
                <w:rFonts w:hint="default" w:ascii="Times New Roman" w:hAnsi="Times New Roman" w:eastAsia="宋体" w:cs="Times New Roman"/>
                <w:b w:val="0"/>
                <w:bCs w:val="0"/>
                <w:color w:val="auto"/>
                <w:sz w:val="25"/>
                <w:szCs w:val="24"/>
              </w:rPr>
              <w:t>平均浓度</w:t>
            </w:r>
            <w:r>
              <w:rPr>
                <w:rFonts w:hint="default" w:ascii="Times New Roman" w:hAnsi="Times New Roman" w:eastAsia="宋体" w:cs="Times New Roman"/>
                <w:b w:val="0"/>
                <w:bCs w:val="0"/>
                <w:color w:val="auto"/>
                <w:sz w:val="25"/>
                <w:szCs w:val="24"/>
                <w:lang w:eastAsia="zh-CN"/>
              </w:rPr>
              <w:t>同比</w:t>
            </w:r>
            <w:r>
              <w:rPr>
                <w:rFonts w:hint="default" w:ascii="Times New Roman" w:hAnsi="Times New Roman" w:eastAsia="宋体" w:cs="Times New Roman"/>
                <w:b w:val="0"/>
                <w:bCs w:val="0"/>
                <w:color w:val="auto"/>
                <w:sz w:val="25"/>
                <w:szCs w:val="24"/>
              </w:rPr>
              <w:t>下降</w:t>
            </w:r>
            <w:r>
              <w:rPr>
                <w:rFonts w:hint="default" w:ascii="Times New Roman" w:hAnsi="Times New Roman" w:eastAsia="宋体" w:cs="Times New Roman"/>
                <w:b w:val="0"/>
                <w:bCs w:val="0"/>
                <w:color w:val="auto"/>
                <w:sz w:val="25"/>
                <w:szCs w:val="24"/>
                <w:lang w:val="en-US" w:eastAsia="zh-CN"/>
              </w:rPr>
              <w:t>8</w:t>
            </w:r>
            <w:r>
              <w:rPr>
                <w:rFonts w:hint="default" w:ascii="Times New Roman" w:hAnsi="Times New Roman" w:eastAsia="宋体" w:cs="Times New Roman"/>
                <w:b w:val="0"/>
                <w:bCs w:val="0"/>
                <w:color w:val="auto"/>
                <w:sz w:val="25"/>
                <w:szCs w:val="24"/>
              </w:rPr>
              <w:t>%</w:t>
            </w:r>
            <w:r>
              <w:rPr>
                <w:rFonts w:hint="default" w:ascii="Times New Roman" w:hAnsi="Times New Roman" w:eastAsia="宋体" w:cs="Times New Roman"/>
                <w:b w:val="0"/>
                <w:bCs w:val="0"/>
                <w:color w:val="auto"/>
                <w:sz w:val="25"/>
                <w:szCs w:val="24"/>
                <w:lang w:eastAsia="zh-CN"/>
              </w:rPr>
              <w:t>，</w:t>
            </w:r>
            <w:r>
              <w:rPr>
                <w:rFonts w:hint="default" w:ascii="Times New Roman" w:hAnsi="Times New Roman" w:eastAsia="宋体" w:cs="Times New Roman"/>
                <w:b w:val="0"/>
                <w:bCs w:val="0"/>
                <w:color w:val="auto"/>
                <w:spacing w:val="6"/>
                <w:sz w:val="25"/>
                <w:szCs w:val="21"/>
                <w:highlight w:val="none"/>
                <w:lang w:val="en-US" w:eastAsia="zh-CN"/>
              </w:rPr>
              <w:t>SO</w:t>
            </w:r>
            <w:r>
              <w:rPr>
                <w:rFonts w:hint="default" w:ascii="Times New Roman" w:hAnsi="Times New Roman" w:eastAsia="宋体" w:cs="Times New Roman"/>
                <w:b w:val="0"/>
                <w:bCs w:val="0"/>
                <w:color w:val="auto"/>
                <w:spacing w:val="6"/>
                <w:sz w:val="25"/>
                <w:szCs w:val="21"/>
                <w:highlight w:val="none"/>
                <w:vertAlign w:val="subscript"/>
                <w:lang w:val="en-US" w:eastAsia="zh-CN"/>
              </w:rPr>
              <w:t>2</w:t>
            </w:r>
            <w:r>
              <w:rPr>
                <w:rFonts w:hint="default" w:ascii="Times New Roman" w:hAnsi="Times New Roman" w:eastAsia="宋体" w:cs="Times New Roman"/>
                <w:b w:val="0"/>
                <w:bCs w:val="0"/>
                <w:color w:val="auto"/>
                <w:spacing w:val="6"/>
                <w:sz w:val="25"/>
                <w:szCs w:val="24"/>
              </w:rPr>
              <w:t>平</w:t>
            </w:r>
            <w:r>
              <w:rPr>
                <w:rFonts w:hint="default" w:ascii="Times New Roman" w:hAnsi="Times New Roman" w:eastAsia="宋体" w:cs="Times New Roman"/>
                <w:b w:val="0"/>
                <w:bCs w:val="0"/>
                <w:color w:val="auto"/>
                <w:sz w:val="25"/>
                <w:szCs w:val="24"/>
              </w:rPr>
              <w:t>均浓度</w:t>
            </w:r>
            <w:r>
              <w:rPr>
                <w:rFonts w:hint="default" w:ascii="Times New Roman" w:hAnsi="Times New Roman" w:eastAsia="宋体" w:cs="Times New Roman"/>
                <w:b w:val="0"/>
                <w:bCs w:val="0"/>
                <w:color w:val="auto"/>
                <w:sz w:val="25"/>
                <w:szCs w:val="24"/>
                <w:lang w:eastAsia="zh-CN"/>
              </w:rPr>
              <w:t>同比下降</w:t>
            </w:r>
            <w:r>
              <w:rPr>
                <w:rFonts w:hint="default" w:ascii="Times New Roman" w:hAnsi="Times New Roman" w:eastAsia="宋体" w:cs="Times New Roman"/>
                <w:b w:val="0"/>
                <w:bCs w:val="0"/>
                <w:color w:val="auto"/>
                <w:sz w:val="25"/>
                <w:szCs w:val="24"/>
                <w:lang w:val="en-US" w:eastAsia="zh-CN"/>
              </w:rPr>
              <w:t>20.8</w:t>
            </w:r>
            <w:r>
              <w:rPr>
                <w:rFonts w:hint="default" w:ascii="Times New Roman" w:hAnsi="Times New Roman" w:eastAsia="宋体" w:cs="Times New Roman"/>
                <w:b w:val="0"/>
                <w:bCs w:val="0"/>
                <w:color w:val="auto"/>
                <w:sz w:val="25"/>
                <w:szCs w:val="24"/>
              </w:rPr>
              <w:t>%</w:t>
            </w:r>
            <w:r>
              <w:rPr>
                <w:rFonts w:hint="default" w:ascii="Times New Roman" w:hAnsi="Times New Roman" w:eastAsia="宋体" w:cs="Times New Roman"/>
                <w:b w:val="0"/>
                <w:bCs w:val="0"/>
                <w:color w:val="auto"/>
                <w:sz w:val="25"/>
                <w:szCs w:val="24"/>
                <w:lang w:eastAsia="zh-CN"/>
              </w:rPr>
              <w:t>，</w:t>
            </w:r>
            <w:r>
              <w:rPr>
                <w:rFonts w:hint="default" w:ascii="Times New Roman" w:hAnsi="Times New Roman" w:eastAsia="宋体" w:cs="Times New Roman"/>
                <w:b w:val="0"/>
                <w:bCs w:val="0"/>
                <w:color w:val="auto"/>
                <w:sz w:val="25"/>
                <w:szCs w:val="21"/>
                <w:highlight w:val="none"/>
                <w:lang w:val="en-US" w:eastAsia="zh-CN"/>
              </w:rPr>
              <w:t>CO</w:t>
            </w:r>
            <w:r>
              <w:rPr>
                <w:rFonts w:hint="default" w:ascii="Times New Roman" w:hAnsi="Times New Roman" w:eastAsia="宋体" w:cs="Times New Roman"/>
                <w:b w:val="0"/>
                <w:bCs w:val="0"/>
                <w:color w:val="auto"/>
                <w:spacing w:val="6"/>
                <w:sz w:val="25"/>
                <w:szCs w:val="24"/>
              </w:rPr>
              <w:t>平</w:t>
            </w:r>
            <w:r>
              <w:rPr>
                <w:rFonts w:hint="default" w:ascii="Times New Roman" w:hAnsi="Times New Roman" w:eastAsia="宋体" w:cs="Times New Roman"/>
                <w:b w:val="0"/>
                <w:bCs w:val="0"/>
                <w:color w:val="auto"/>
                <w:sz w:val="25"/>
                <w:szCs w:val="24"/>
              </w:rPr>
              <w:t>均浓度</w:t>
            </w:r>
            <w:r>
              <w:rPr>
                <w:rFonts w:hint="default" w:ascii="Times New Roman" w:hAnsi="Times New Roman" w:eastAsia="宋体" w:cs="Times New Roman"/>
                <w:b w:val="0"/>
                <w:bCs w:val="0"/>
                <w:color w:val="auto"/>
                <w:sz w:val="25"/>
                <w:szCs w:val="24"/>
                <w:lang w:eastAsia="zh-CN"/>
              </w:rPr>
              <w:t>同比下降</w:t>
            </w:r>
            <w:r>
              <w:rPr>
                <w:rFonts w:hint="default" w:ascii="Times New Roman" w:hAnsi="Times New Roman" w:eastAsia="宋体" w:cs="Times New Roman"/>
                <w:b w:val="0"/>
                <w:bCs w:val="0"/>
                <w:color w:val="auto"/>
                <w:sz w:val="25"/>
                <w:szCs w:val="24"/>
                <w:lang w:val="en-US" w:eastAsia="zh-CN"/>
              </w:rPr>
              <w:t>7.7</w:t>
            </w:r>
            <w:r>
              <w:rPr>
                <w:rFonts w:hint="default" w:ascii="Times New Roman" w:hAnsi="Times New Roman" w:eastAsia="宋体" w:cs="Times New Roman"/>
                <w:b w:val="0"/>
                <w:bCs w:val="0"/>
                <w:color w:val="auto"/>
                <w:sz w:val="25"/>
                <w:szCs w:val="24"/>
              </w:rPr>
              <w:t>%</w:t>
            </w:r>
            <w:r>
              <w:rPr>
                <w:rFonts w:hint="default" w:ascii="Times New Roman" w:hAnsi="Times New Roman" w:eastAsia="宋体" w:cs="Times New Roman"/>
                <w:b w:val="0"/>
                <w:bCs w:val="0"/>
                <w:color w:val="auto"/>
                <w:sz w:val="25"/>
                <w:szCs w:val="24"/>
                <w:lang w:eastAsia="zh-CN"/>
              </w:rPr>
              <w:t>，</w:t>
            </w:r>
            <w:r>
              <w:rPr>
                <w:rFonts w:hint="default" w:ascii="Times New Roman" w:hAnsi="Times New Roman" w:eastAsia="宋体" w:cs="Times New Roman"/>
                <w:b w:val="0"/>
                <w:bCs w:val="0"/>
                <w:color w:val="auto"/>
                <w:sz w:val="25"/>
                <w:szCs w:val="24"/>
              </w:rPr>
              <w:t>空气质量达到二级</w:t>
            </w:r>
            <w:r>
              <w:rPr>
                <w:rFonts w:hint="default" w:ascii="Times New Roman" w:hAnsi="Times New Roman" w:eastAsia="宋体" w:cs="Times New Roman"/>
                <w:b w:val="0"/>
                <w:bCs w:val="0"/>
                <w:color w:val="auto"/>
                <w:sz w:val="25"/>
                <w:szCs w:val="24"/>
                <w:lang w:eastAsia="zh-CN"/>
              </w:rPr>
              <w:t>及以上</w:t>
            </w:r>
            <w:r>
              <w:rPr>
                <w:rFonts w:hint="default" w:ascii="Times New Roman" w:hAnsi="Times New Roman" w:eastAsia="宋体" w:cs="Times New Roman"/>
                <w:b w:val="0"/>
                <w:bCs w:val="0"/>
                <w:color w:val="auto"/>
                <w:sz w:val="25"/>
                <w:szCs w:val="24"/>
              </w:rPr>
              <w:t>天数</w:t>
            </w:r>
            <w:r>
              <w:rPr>
                <w:rFonts w:hint="default" w:ascii="Times New Roman" w:hAnsi="Times New Roman" w:eastAsia="宋体" w:cs="Times New Roman"/>
                <w:b w:val="0"/>
                <w:bCs w:val="0"/>
                <w:color w:val="auto"/>
                <w:sz w:val="25"/>
                <w:szCs w:val="24"/>
                <w:lang w:val="en-US" w:eastAsia="zh-CN"/>
              </w:rPr>
              <w:t>175</w:t>
            </w:r>
            <w:r>
              <w:rPr>
                <w:rFonts w:hint="default" w:ascii="Times New Roman" w:hAnsi="Times New Roman" w:eastAsia="宋体" w:cs="Times New Roman"/>
                <w:b w:val="0"/>
                <w:bCs w:val="0"/>
                <w:color w:val="auto"/>
                <w:sz w:val="25"/>
                <w:szCs w:val="24"/>
              </w:rPr>
              <w:t>天，</w:t>
            </w:r>
            <w:r>
              <w:rPr>
                <w:rFonts w:hint="default" w:ascii="Times New Roman" w:hAnsi="Times New Roman" w:eastAsia="宋体" w:cs="Times New Roman"/>
                <w:b w:val="0"/>
                <w:bCs w:val="0"/>
                <w:color w:val="auto"/>
                <w:sz w:val="25"/>
                <w:szCs w:val="24"/>
                <w:lang w:eastAsia="zh-CN"/>
              </w:rPr>
              <w:t>较好的完成了相关污染源削减工作，大气环境质量持续改善。</w:t>
            </w:r>
          </w:p>
          <w:p>
            <w:pPr>
              <w:pStyle w:val="29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2、地表水环境质量现状：项目所在区地表水满足《地表水环境质量标准》（GB3838-2002）表1中Ⅳ类标准(除总氮外)。</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地表水质量监测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（1）监测点位</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索泸河与九支渠交汇处上游</w:t>
            </w:r>
            <w:r>
              <w:rPr>
                <w:rFonts w:hint="default" w:ascii="Times New Roman" w:hAnsi="Times New Roman" w:eastAsia="宋体" w:cs="Times New Roman"/>
                <w:color w:val="auto"/>
                <w:sz w:val="24"/>
                <w:lang w:val="en-US" w:eastAsia="zh-CN"/>
              </w:rPr>
              <w:t>500米处、索泸河</w:t>
            </w:r>
            <w:r>
              <w:rPr>
                <w:rFonts w:hint="default" w:ascii="Times New Roman" w:hAnsi="Times New Roman" w:eastAsia="宋体" w:cs="Times New Roman"/>
                <w:color w:val="auto"/>
                <w:sz w:val="24"/>
                <w:lang w:eastAsia="zh-CN"/>
              </w:rPr>
              <w:t>与九支渠交汇处下游</w:t>
            </w:r>
            <w:r>
              <w:rPr>
                <w:rFonts w:hint="default" w:ascii="Times New Roman" w:hAnsi="Times New Roman" w:eastAsia="宋体" w:cs="Times New Roman"/>
                <w:color w:val="auto"/>
                <w:sz w:val="24"/>
                <w:lang w:val="en-US" w:eastAsia="zh-CN"/>
              </w:rPr>
              <w:t>1000米处、索泸河与清西干渠交汇处。</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（2）监测因子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8"/>
                <w:sz w:val="24"/>
                <w:szCs w:val="24"/>
              </w:rPr>
            </w:pPr>
            <w:r>
              <w:rPr>
                <w:rFonts w:hint="default" w:ascii="Times New Roman" w:hAnsi="Times New Roman" w:eastAsia="宋体" w:cs="Times New Roman"/>
                <w:color w:val="auto"/>
                <w:kern w:val="28"/>
                <w:sz w:val="24"/>
                <w:lang w:eastAsia="zh-CN"/>
              </w:rPr>
              <w:t>pH、化学需氧量、氨氮、总氮、总磷、</w:t>
            </w:r>
            <w:r>
              <w:rPr>
                <w:rFonts w:hint="default" w:ascii="Times New Roman" w:hAnsi="Times New Roman" w:eastAsia="宋体" w:cs="Times New Roman"/>
                <w:color w:val="auto"/>
                <w:kern w:val="28"/>
                <w:sz w:val="24"/>
                <w:highlight w:val="none"/>
                <w:lang w:eastAsia="zh-CN"/>
              </w:rPr>
              <w:t>BOD</w:t>
            </w:r>
            <w:r>
              <w:rPr>
                <w:rFonts w:hint="default" w:ascii="Times New Roman" w:hAnsi="Times New Roman" w:eastAsia="宋体" w:cs="Times New Roman"/>
                <w:color w:val="auto"/>
                <w:kern w:val="28"/>
                <w:sz w:val="24"/>
                <w:highlight w:val="none"/>
                <w:vertAlign w:val="subscript"/>
                <w:lang w:eastAsia="zh-CN"/>
              </w:rPr>
              <w:t>5</w:t>
            </w:r>
            <w:r>
              <w:rPr>
                <w:rFonts w:hint="default" w:ascii="Times New Roman" w:hAnsi="Times New Roman" w:eastAsia="宋体" w:cs="Times New Roman"/>
                <w:color w:val="auto"/>
                <w:kern w:val="28"/>
                <w:sz w:val="24"/>
                <w:highlight w:val="none"/>
                <w:lang w:eastAsia="zh-CN"/>
              </w:rPr>
              <w:t>、悬浮物、溶解氧、高锰酸盐指数、铜、锌、硒、汞、镉、六价铬、氰化物、挥发酚、粪大肠菌群、石油类、阴离子表面活性剂、硫化物、砷、氟化物、水温</w:t>
            </w:r>
            <w:r>
              <w:rPr>
                <w:rFonts w:hint="default" w:ascii="Times New Roman" w:hAnsi="Times New Roman" w:eastAsia="宋体" w:cs="Times New Roman"/>
                <w:color w:val="auto"/>
                <w:kern w:val="28"/>
                <w:sz w:val="24"/>
                <w:highlight w:val="none"/>
              </w:rPr>
              <w:t>；</w:t>
            </w:r>
            <w:r>
              <w:rPr>
                <w:rFonts w:hint="default" w:ascii="Times New Roman" w:hAnsi="Times New Roman" w:eastAsia="宋体" w:cs="Times New Roman"/>
                <w:color w:val="auto"/>
                <w:kern w:val="28"/>
                <w:sz w:val="24"/>
                <w:szCs w:val="24"/>
                <w:vertAlign w:val="baseline"/>
                <w:lang w:val="en-US" w:eastAsia="zh-CN"/>
              </w:rPr>
              <w:t>同时监测断面流量、断面水位、断面水深、断面宽度、断面流速。</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（3）监测频次</w:t>
            </w:r>
            <w:r>
              <w:rPr>
                <w:rFonts w:hint="default" w:ascii="Times New Roman" w:hAnsi="Times New Roman" w:eastAsia="宋体" w:cs="Times New Roman"/>
                <w:color w:val="auto"/>
                <w:kern w:val="28"/>
                <w:sz w:val="24"/>
                <w:highlight w:val="none"/>
              </w:rPr>
              <w:t>：</w:t>
            </w:r>
            <w:r>
              <w:rPr>
                <w:rFonts w:hint="default" w:ascii="Times New Roman" w:hAnsi="Times New Roman" w:eastAsia="宋体" w:cs="Times New Roman"/>
                <w:color w:val="auto"/>
                <w:kern w:val="28"/>
                <w:sz w:val="24"/>
              </w:rPr>
              <w:t>连续监测3天，每天监测1次。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（4）监测分析方法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采样方法按《地表水和污水监测技术规范》（HJ/T91-2002）执行，分析方法按《地表水环境质量标准》（GB3838-2002）中的有关规定执行。</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（5）执行标准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28"/>
                <w:sz w:val="24"/>
              </w:rPr>
              <w:t>《地表水环境质量标准》（GB3838-2002）中Ⅴ类</w:t>
            </w:r>
            <w:r>
              <w:rPr>
                <w:rFonts w:hint="default" w:ascii="Times New Roman" w:hAnsi="Times New Roman" w:eastAsia="宋体" w:cs="Times New Roman"/>
                <w:color w:val="auto"/>
                <w:sz w:val="24"/>
              </w:rPr>
              <w: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监测结果</w:t>
            </w:r>
          </w:p>
          <w:p>
            <w:pPr>
              <w:pStyle w:val="2"/>
              <w:numPr>
                <w:ilvl w:val="0"/>
                <w:numId w:val="0"/>
              </w:numPr>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sz w:val="24"/>
                <w:szCs w:val="24"/>
                <w:lang w:val="en-US" w:eastAsia="zh-CN"/>
              </w:rPr>
              <w:t>表11 监测结果一览表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285"/>
              <w:gridCol w:w="1853"/>
              <w:gridCol w:w="1874"/>
              <w:gridCol w:w="23"/>
              <w:gridCol w:w="1540"/>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检测项目</w:t>
                  </w:r>
                </w:p>
              </w:tc>
              <w:tc>
                <w:tcPr>
                  <w:tcW w:w="796"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采样日期</w:t>
                  </w:r>
                </w:p>
              </w:tc>
              <w:tc>
                <w:tcPr>
                  <w:tcW w:w="3281" w:type="pct"/>
                  <w:gridSpan w:val="5"/>
                  <w:tcBorders>
                    <w:tl2br w:val="nil"/>
                    <w:tr2bl w:val="nil"/>
                  </w:tcBorders>
                  <w:noWrap w:val="0"/>
                  <w:vAlign w:val="center"/>
                </w:tcPr>
                <w:p>
                  <w:pPr>
                    <w:pStyle w:val="21"/>
                    <w:spacing w:after="0"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采样点位及</w:t>
                  </w:r>
                  <w:r>
                    <w:rPr>
                      <w:rFonts w:hint="default" w:ascii="Times New Roman" w:hAnsi="Times New Roman" w:eastAsia="宋体" w:cs="Times New Roman"/>
                      <w:b/>
                      <w:color w:val="auto"/>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color w:val="auto"/>
                      <w:sz w:val="21"/>
                      <w:szCs w:val="21"/>
                    </w:rPr>
                  </w:pPr>
                </w:p>
              </w:tc>
              <w:tc>
                <w:tcPr>
                  <w:tcW w:w="796"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color w:val="auto"/>
                      <w:sz w:val="21"/>
                      <w:szCs w:val="21"/>
                      <w:lang w:eastAsia="zh-CN"/>
                    </w:rPr>
                  </w:pPr>
                </w:p>
              </w:tc>
              <w:tc>
                <w:tcPr>
                  <w:tcW w:w="1148"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color w:val="auto"/>
                      <w:kern w:val="2"/>
                      <w:sz w:val="21"/>
                      <w:szCs w:val="21"/>
                      <w:lang w:val="en-US" w:eastAsia="zh-CN" w:bidi="ar-SA"/>
                    </w:rPr>
                    <w:t>索泸河与九支渠</w:t>
                  </w:r>
                  <w:r>
                    <w:rPr>
                      <w:rFonts w:hint="default" w:ascii="Times New Roman" w:hAnsi="Times New Roman" w:eastAsia="宋体" w:cs="Times New Roman"/>
                      <w:color w:val="auto"/>
                      <w:spacing w:val="-20"/>
                      <w:kern w:val="2"/>
                      <w:sz w:val="21"/>
                      <w:szCs w:val="21"/>
                      <w:lang w:val="en-US" w:eastAsia="zh-CN" w:bidi="ar-SA"/>
                    </w:rPr>
                    <w:t>交汇处上游500米处</w:t>
                  </w:r>
                </w:p>
              </w:tc>
              <w:tc>
                <w:tcPr>
                  <w:tcW w:w="1175" w:type="pct"/>
                  <w:gridSpan w:val="2"/>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color w:val="auto"/>
                      <w:sz w:val="21"/>
                      <w:szCs w:val="21"/>
                      <w:lang w:val="en-US" w:eastAsia="zh-CN"/>
                    </w:rPr>
                    <w:t>索泸河</w:t>
                  </w:r>
                  <w:r>
                    <w:rPr>
                      <w:rFonts w:hint="default" w:ascii="Times New Roman" w:hAnsi="Times New Roman" w:eastAsia="宋体" w:cs="Times New Roman"/>
                      <w:color w:val="auto"/>
                      <w:sz w:val="21"/>
                      <w:szCs w:val="21"/>
                      <w:lang w:eastAsia="zh-CN"/>
                    </w:rPr>
                    <w:t>与九支渠交</w:t>
                  </w:r>
                  <w:r>
                    <w:rPr>
                      <w:rFonts w:hint="default" w:ascii="Times New Roman" w:hAnsi="Times New Roman" w:eastAsia="宋体" w:cs="Times New Roman"/>
                      <w:color w:val="auto"/>
                      <w:spacing w:val="-20"/>
                      <w:sz w:val="21"/>
                      <w:szCs w:val="21"/>
                      <w:lang w:eastAsia="zh-CN"/>
                    </w:rPr>
                    <w:t>汇处下游</w:t>
                  </w:r>
                  <w:r>
                    <w:rPr>
                      <w:rFonts w:hint="default" w:ascii="Times New Roman" w:hAnsi="Times New Roman" w:eastAsia="宋体" w:cs="Times New Roman"/>
                      <w:color w:val="auto"/>
                      <w:spacing w:val="-20"/>
                      <w:sz w:val="21"/>
                      <w:szCs w:val="21"/>
                      <w:lang w:val="en-US" w:eastAsia="zh-CN"/>
                    </w:rPr>
                    <w:t>1000米处</w:t>
                  </w:r>
                </w:p>
              </w:tc>
              <w:tc>
                <w:tcPr>
                  <w:tcW w:w="957" w:type="pct"/>
                  <w:gridSpan w:val="2"/>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color w:val="auto"/>
                      <w:kern w:val="2"/>
                      <w:sz w:val="21"/>
                      <w:szCs w:val="21"/>
                      <w:highlight w:val="none"/>
                      <w:lang w:val="en-US" w:eastAsia="zh-CN" w:bidi="ar-SA"/>
                    </w:rPr>
                    <w:t>索泸河与清西干渠交汇处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21"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pH</w:t>
                  </w:r>
                </w:p>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(无量纲）</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8.85</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8.45</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8.79</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8.28</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8.70</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8.55</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21"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化学需氧量</w:t>
                  </w:r>
                </w:p>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26</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23</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27</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24</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27</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921"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氨氮（以N计）（mg/L）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0.753</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0.911</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0.804</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0.754</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0.873</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0.792</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21"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总磷（以P计）（mg/L）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0.17</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0.18</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921"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总氮（以N计）(mg/L)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1.28</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1.25</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1.30</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1.32</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1.30</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1.34</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BOD</w:t>
                  </w:r>
                  <w:r>
                    <w:rPr>
                      <w:rFonts w:hint="default" w:ascii="Times New Roman" w:hAnsi="Times New Roman" w:eastAsia="宋体" w:cs="Times New Roman"/>
                      <w:b w:val="0"/>
                      <w:bCs/>
                      <w:color w:val="auto"/>
                      <w:sz w:val="21"/>
                      <w:szCs w:val="21"/>
                      <w:vertAlign w:val="subscript"/>
                      <w:lang w:val="en-US" w:eastAsia="zh-CN"/>
                    </w:rPr>
                    <w:t>5</w:t>
                  </w:r>
                </w:p>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5.8</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7.2</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6.2</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7.5</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5.4</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921"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溶解氧（mg/L）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7.69</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7.75</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7.71</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7.71</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7.74</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7.79</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21"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高锰酸盐指数（mg/L）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5.46</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6.06</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5.84</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6.68</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921"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5.64</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5.21</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铜</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锌</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镉</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（μg/L）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汞</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（μg/L）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六价铬（mg/L）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氰化物</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挥发酚（mg/L）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粪大肠菌群</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（MPN/L）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5.4×102</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6.2×102</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5.6×102</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6.4×102</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6.4×102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4.8×102</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6.4×102</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5.9×102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硫化物</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1175"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957"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41"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阴离子表面活性剂（mg/L）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0.055</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0.060</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92"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0.064</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0.068</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25"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0.067</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0.062</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砷</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91"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水温</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21.4</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22.5</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20.9</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22.1</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20.1</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23.2</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75"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氟化物（mg/L）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0.54</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0.47</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0.48</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0.44</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25"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0.47</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0.51</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25"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硒*</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（μg/L）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42"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921"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石油类*</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（mg/L）</w:t>
                  </w: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0.47</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0.08</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25"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0.42</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0.07</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921"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7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148"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0.45</w:t>
                  </w:r>
                </w:p>
              </w:tc>
              <w:tc>
                <w:tcPr>
                  <w:tcW w:w="1161"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0.07</w:t>
                  </w:r>
                </w:p>
              </w:tc>
              <w:tc>
                <w:tcPr>
                  <w:tcW w:w="968" w:type="pct"/>
                  <w:gridSpan w:val="2"/>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0.03</w:t>
                  </w:r>
                </w:p>
              </w:tc>
            </w:tr>
          </w:tbl>
          <w:p>
            <w:pPr>
              <w:spacing w:line="480" w:lineRule="exact"/>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2、评价因子</w:t>
            </w:r>
          </w:p>
          <w:p>
            <w:pPr>
              <w:spacing w:line="480" w:lineRule="exact"/>
              <w:ind w:firstLine="480" w:firstLineChars="200"/>
              <w:rPr>
                <w:rFonts w:hint="default" w:ascii="Times New Roman" w:hAnsi="Times New Roman" w:eastAsia="宋体" w:cs="Times New Roman"/>
                <w:color w:val="auto"/>
                <w:kern w:val="28"/>
                <w:sz w:val="24"/>
                <w:szCs w:val="24"/>
                <w:vertAlign w:val="baseline"/>
                <w:lang w:val="en-US" w:eastAsia="zh-CN"/>
              </w:rPr>
            </w:pPr>
            <w:r>
              <w:rPr>
                <w:rFonts w:hint="default" w:ascii="Times New Roman" w:hAnsi="Times New Roman" w:eastAsia="宋体" w:cs="Times New Roman"/>
                <w:color w:val="auto"/>
                <w:kern w:val="28"/>
                <w:sz w:val="24"/>
                <w:szCs w:val="24"/>
                <w:vertAlign w:val="baseline"/>
                <w:lang w:eastAsia="zh-CN"/>
              </w:rPr>
              <w:t>水温、</w:t>
            </w:r>
            <w:r>
              <w:rPr>
                <w:rFonts w:hint="default" w:ascii="Times New Roman" w:hAnsi="Times New Roman" w:eastAsia="宋体" w:cs="Times New Roman"/>
                <w:color w:val="auto"/>
                <w:kern w:val="28"/>
                <w:sz w:val="24"/>
                <w:szCs w:val="24"/>
                <w:vertAlign w:val="baseline"/>
              </w:rPr>
              <w:t>pH、C</w:t>
            </w:r>
            <w:r>
              <w:rPr>
                <w:rFonts w:hint="default" w:ascii="Times New Roman" w:hAnsi="Times New Roman" w:eastAsia="宋体" w:cs="Times New Roman"/>
                <w:color w:val="auto"/>
                <w:kern w:val="28"/>
                <w:sz w:val="24"/>
                <w:szCs w:val="24"/>
                <w:highlight w:val="none"/>
                <w:vertAlign w:val="baseline"/>
              </w:rPr>
              <w:t>OD</w:t>
            </w:r>
            <w:r>
              <w:rPr>
                <w:rFonts w:hint="default" w:ascii="Times New Roman" w:hAnsi="Times New Roman" w:eastAsia="宋体" w:cs="Times New Roman"/>
                <w:color w:val="auto"/>
                <w:kern w:val="28"/>
                <w:sz w:val="24"/>
                <w:szCs w:val="24"/>
                <w:highlight w:val="none"/>
                <w:vertAlign w:val="subscript"/>
              </w:rPr>
              <w:t>Cr</w:t>
            </w:r>
            <w:r>
              <w:rPr>
                <w:rFonts w:hint="default" w:ascii="Times New Roman" w:hAnsi="Times New Roman" w:eastAsia="宋体" w:cs="Times New Roman"/>
                <w:color w:val="auto"/>
                <w:kern w:val="28"/>
                <w:sz w:val="24"/>
                <w:szCs w:val="24"/>
                <w:highlight w:val="none"/>
                <w:vertAlign w:val="baseline"/>
              </w:rPr>
              <w:t>、氨氮、总氮、总磷、BOD</w:t>
            </w:r>
            <w:r>
              <w:rPr>
                <w:rFonts w:hint="default" w:ascii="Times New Roman" w:hAnsi="Times New Roman" w:eastAsia="宋体" w:cs="Times New Roman"/>
                <w:color w:val="auto"/>
                <w:kern w:val="28"/>
                <w:sz w:val="24"/>
                <w:szCs w:val="24"/>
                <w:highlight w:val="none"/>
                <w:vertAlign w:val="subscript"/>
              </w:rPr>
              <w:t>5</w:t>
            </w:r>
            <w:r>
              <w:rPr>
                <w:rFonts w:hint="default" w:ascii="Times New Roman" w:hAnsi="Times New Roman" w:eastAsia="宋体" w:cs="Times New Roman"/>
                <w:color w:val="auto"/>
                <w:kern w:val="28"/>
                <w:sz w:val="24"/>
                <w:szCs w:val="24"/>
                <w:vertAlign w:val="baseline"/>
              </w:rPr>
              <w:t>、SS</w:t>
            </w:r>
            <w:r>
              <w:rPr>
                <w:rFonts w:hint="default" w:ascii="Times New Roman" w:hAnsi="Times New Roman" w:eastAsia="宋体" w:cs="Times New Roman"/>
                <w:color w:val="auto"/>
                <w:kern w:val="28"/>
                <w:sz w:val="24"/>
                <w:szCs w:val="24"/>
                <w:vertAlign w:val="baseline"/>
                <w:lang w:eastAsia="zh-CN"/>
              </w:rPr>
              <w:t>、溶解氧、高锰酸盐指数、铜、锌、氟化物、砷、硒、汞、镉、六价铬、氰化物、挥发酚、粪大肠菌数、石油类、阴离子表面活性剂、硫化物。</w:t>
            </w:r>
          </w:p>
          <w:p>
            <w:pPr>
              <w:spacing w:line="480" w:lineRule="exact"/>
              <w:ind w:firstLine="480" w:firstLineChars="200"/>
              <w:rPr>
                <w:rFonts w:hint="default" w:ascii="Times New Roman" w:hAnsi="Times New Roman" w:eastAsia="宋体" w:cs="Times New Roman"/>
                <w:snapToGrid w:val="0"/>
                <w:color w:val="auto"/>
                <w:sz w:val="24"/>
                <w:lang w:val="en-US"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snapToGrid w:val="0"/>
                <w:color w:val="auto"/>
                <w:sz w:val="24"/>
              </w:rPr>
              <w:t>评价方法</w:t>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一般性水质因子（随着浓度增加而水质变差的水质因子）的指数计算公式：</w:t>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drawing>
                <wp:inline distT="0" distB="0" distL="114300" distR="114300">
                  <wp:extent cx="1190625" cy="50482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1190625" cy="504825"/>
                          </a:xfrm>
                          <a:prstGeom prst="rect">
                            <a:avLst/>
                          </a:prstGeom>
                          <a:noFill/>
                          <a:ln>
                            <a:noFill/>
                          </a:ln>
                        </pic:spPr>
                      </pic:pic>
                    </a:graphicData>
                  </a:graphic>
                </wp:inline>
              </w:drawing>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式中：S</w:t>
            </w:r>
            <w:r>
              <w:rPr>
                <w:rFonts w:hint="default" w:ascii="Times New Roman" w:hAnsi="Times New Roman" w:eastAsia="宋体" w:cs="Times New Roman"/>
                <w:snapToGrid w:val="0"/>
                <w:color w:val="auto"/>
                <w:sz w:val="24"/>
                <w:vertAlign w:val="subscript"/>
              </w:rPr>
              <w:t>i,j</w:t>
            </w:r>
            <w:r>
              <w:rPr>
                <w:rFonts w:hint="default" w:ascii="Times New Roman" w:hAnsi="Times New Roman" w:eastAsia="宋体" w:cs="Times New Roman"/>
                <w:snapToGrid w:val="0"/>
                <w:color w:val="auto"/>
                <w:sz w:val="24"/>
              </w:rPr>
              <w:t>—评价因子i的水质指数，大于1表明该水质因子超标；</w:t>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C</w:t>
            </w:r>
            <w:r>
              <w:rPr>
                <w:rFonts w:hint="default" w:ascii="Times New Roman" w:hAnsi="Times New Roman" w:eastAsia="宋体" w:cs="Times New Roman"/>
                <w:snapToGrid w:val="0"/>
                <w:color w:val="auto"/>
                <w:sz w:val="24"/>
                <w:vertAlign w:val="subscript"/>
              </w:rPr>
              <w:t>i,j</w:t>
            </w:r>
            <w:r>
              <w:rPr>
                <w:rFonts w:hint="default" w:ascii="Times New Roman" w:hAnsi="Times New Roman" w:eastAsia="宋体" w:cs="Times New Roman"/>
                <w:snapToGrid w:val="0"/>
                <w:color w:val="auto"/>
                <w:sz w:val="24"/>
              </w:rPr>
              <w:t>—评价因子i在j点的实测统计代表值，mg/L；</w:t>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C</w:t>
            </w:r>
            <w:r>
              <w:rPr>
                <w:rFonts w:hint="default" w:ascii="Times New Roman" w:hAnsi="Times New Roman" w:eastAsia="宋体" w:cs="Times New Roman"/>
                <w:snapToGrid w:val="0"/>
                <w:color w:val="auto"/>
                <w:sz w:val="24"/>
                <w:vertAlign w:val="subscript"/>
              </w:rPr>
              <w:t>si</w:t>
            </w:r>
            <w:r>
              <w:rPr>
                <w:rFonts w:hint="default" w:ascii="Times New Roman" w:hAnsi="Times New Roman" w:eastAsia="宋体" w:cs="Times New Roman"/>
                <w:snapToGrid w:val="0"/>
                <w:color w:val="auto"/>
                <w:sz w:val="24"/>
              </w:rPr>
              <w:t>—评价因子i的水质评价标准限值，mg/L。</w:t>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pH值的指数计算公式：</w:t>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drawing>
                <wp:inline distT="0" distB="0" distL="114300" distR="114300">
                  <wp:extent cx="3342640" cy="733425"/>
                  <wp:effectExtent l="0" t="0" r="10160"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3342640" cy="733425"/>
                          </a:xfrm>
                          <a:prstGeom prst="rect">
                            <a:avLst/>
                          </a:prstGeom>
                          <a:noFill/>
                          <a:ln>
                            <a:noFill/>
                          </a:ln>
                        </pic:spPr>
                      </pic:pic>
                    </a:graphicData>
                  </a:graphic>
                </wp:inline>
              </w:drawing>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drawing>
                <wp:inline distT="0" distB="0" distL="114300" distR="114300">
                  <wp:extent cx="3323590" cy="771525"/>
                  <wp:effectExtent l="0" t="0" r="10160"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9"/>
                          <a:stretch>
                            <a:fillRect/>
                          </a:stretch>
                        </pic:blipFill>
                        <pic:spPr>
                          <a:xfrm>
                            <a:off x="0" y="0"/>
                            <a:ext cx="3323590" cy="771525"/>
                          </a:xfrm>
                          <a:prstGeom prst="rect">
                            <a:avLst/>
                          </a:prstGeom>
                          <a:noFill/>
                          <a:ln>
                            <a:noFill/>
                          </a:ln>
                        </pic:spPr>
                      </pic:pic>
                    </a:graphicData>
                  </a:graphic>
                </wp:inline>
              </w:drawing>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式中：S</w:t>
            </w:r>
            <w:r>
              <w:rPr>
                <w:rFonts w:hint="default" w:ascii="Times New Roman" w:hAnsi="Times New Roman" w:eastAsia="宋体" w:cs="Times New Roman"/>
                <w:snapToGrid w:val="0"/>
                <w:color w:val="auto"/>
                <w:sz w:val="24"/>
                <w:vertAlign w:val="subscript"/>
              </w:rPr>
              <w:t>pH,j</w:t>
            </w:r>
            <w:r>
              <w:rPr>
                <w:rFonts w:hint="default" w:ascii="Times New Roman" w:hAnsi="Times New Roman" w:eastAsia="宋体" w:cs="Times New Roman"/>
                <w:snapToGrid w:val="0"/>
                <w:color w:val="auto"/>
                <w:sz w:val="24"/>
              </w:rPr>
              <w:t>—pH值的指数，大于1表明该水质因子超标；</w:t>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pH</w:t>
            </w:r>
            <w:r>
              <w:rPr>
                <w:rFonts w:hint="default" w:ascii="Times New Roman" w:hAnsi="Times New Roman" w:eastAsia="宋体" w:cs="Times New Roman"/>
                <w:snapToGrid w:val="0"/>
                <w:color w:val="auto"/>
                <w:sz w:val="24"/>
                <w:vertAlign w:val="subscript"/>
              </w:rPr>
              <w:t>j</w:t>
            </w:r>
            <w:r>
              <w:rPr>
                <w:rFonts w:hint="default" w:ascii="Times New Roman" w:hAnsi="Times New Roman" w:eastAsia="宋体" w:cs="Times New Roman"/>
                <w:snapToGrid w:val="0"/>
                <w:color w:val="auto"/>
                <w:sz w:val="24"/>
              </w:rPr>
              <w:t>—pH值实测统计代表值；</w:t>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pH</w:t>
            </w:r>
            <w:r>
              <w:rPr>
                <w:rFonts w:hint="default" w:ascii="Times New Roman" w:hAnsi="Times New Roman" w:eastAsia="宋体" w:cs="Times New Roman"/>
                <w:snapToGrid w:val="0"/>
                <w:color w:val="auto"/>
                <w:sz w:val="24"/>
                <w:vertAlign w:val="subscript"/>
              </w:rPr>
              <w:t>sd</w:t>
            </w:r>
            <w:r>
              <w:rPr>
                <w:rFonts w:hint="default" w:ascii="Times New Roman" w:hAnsi="Times New Roman" w:eastAsia="宋体" w:cs="Times New Roman"/>
                <w:snapToGrid w:val="0"/>
                <w:color w:val="auto"/>
                <w:sz w:val="24"/>
              </w:rPr>
              <w:t>—评价标准中pH值的下限值；</w:t>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pH</w:t>
            </w:r>
            <w:r>
              <w:rPr>
                <w:rFonts w:hint="default" w:ascii="Times New Roman" w:hAnsi="Times New Roman" w:eastAsia="宋体" w:cs="Times New Roman"/>
                <w:snapToGrid w:val="0"/>
                <w:color w:val="auto"/>
                <w:sz w:val="24"/>
                <w:vertAlign w:val="subscript"/>
              </w:rPr>
              <w:t>su</w:t>
            </w:r>
            <w:r>
              <w:rPr>
                <w:rFonts w:hint="default" w:ascii="Times New Roman" w:hAnsi="Times New Roman" w:eastAsia="宋体" w:cs="Times New Roman"/>
                <w:snapToGrid w:val="0"/>
                <w:color w:val="auto"/>
                <w:sz w:val="24"/>
              </w:rPr>
              <w:t>—评价标准中pH值的上限值；</w:t>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lang w:val="en-US" w:eastAsia="zh-CN"/>
              </w:rPr>
              <w:t>4</w:t>
            </w:r>
            <w:r>
              <w:rPr>
                <w:rFonts w:hint="default" w:ascii="Times New Roman" w:hAnsi="Times New Roman" w:eastAsia="宋体" w:cs="Times New Roman"/>
                <w:snapToGrid w:val="0"/>
                <w:color w:val="auto"/>
                <w:sz w:val="24"/>
              </w:rPr>
              <w:t>、评价标准及结果分析</w:t>
            </w:r>
          </w:p>
          <w:p>
            <w:pPr>
              <w:spacing w:line="480" w:lineRule="atLeast"/>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地</w:t>
            </w:r>
            <w:r>
              <w:rPr>
                <w:rFonts w:hint="default" w:ascii="Times New Roman" w:hAnsi="Times New Roman" w:eastAsia="宋体" w:cs="Times New Roman"/>
                <w:snapToGrid w:val="0"/>
                <w:color w:val="auto"/>
                <w:sz w:val="24"/>
                <w:lang w:eastAsia="zh-CN"/>
              </w:rPr>
              <w:t>表</w:t>
            </w:r>
            <w:r>
              <w:rPr>
                <w:rFonts w:hint="default" w:ascii="Times New Roman" w:hAnsi="Times New Roman" w:eastAsia="宋体" w:cs="Times New Roman"/>
                <w:snapToGrid w:val="0"/>
                <w:color w:val="auto"/>
                <w:sz w:val="24"/>
              </w:rPr>
              <w:t>水质量现状评价采用</w:t>
            </w:r>
            <w:r>
              <w:rPr>
                <w:rFonts w:hint="default" w:ascii="Times New Roman" w:hAnsi="Times New Roman" w:eastAsia="宋体" w:cs="Times New Roman"/>
                <w:color w:val="auto"/>
                <w:kern w:val="28"/>
                <w:sz w:val="24"/>
              </w:rPr>
              <w:t>《地表水环境质量标准》（GB3838-2002）中Ⅴ类</w:t>
            </w:r>
            <w:r>
              <w:rPr>
                <w:rFonts w:hint="default" w:ascii="Times New Roman" w:hAnsi="Times New Roman" w:eastAsia="宋体" w:cs="Times New Roman"/>
                <w:snapToGrid w:val="0"/>
                <w:color w:val="auto"/>
                <w:sz w:val="24"/>
              </w:rPr>
              <w:t>标准。地</w:t>
            </w:r>
            <w:r>
              <w:rPr>
                <w:rFonts w:hint="default" w:ascii="Times New Roman" w:hAnsi="Times New Roman" w:eastAsia="宋体" w:cs="Times New Roman"/>
                <w:snapToGrid w:val="0"/>
                <w:color w:val="auto"/>
                <w:sz w:val="24"/>
                <w:lang w:eastAsia="zh-CN"/>
              </w:rPr>
              <w:t>表</w:t>
            </w:r>
            <w:r>
              <w:rPr>
                <w:rFonts w:hint="default" w:ascii="Times New Roman" w:hAnsi="Times New Roman" w:eastAsia="宋体" w:cs="Times New Roman"/>
                <w:snapToGrid w:val="0"/>
                <w:color w:val="auto"/>
                <w:sz w:val="24"/>
              </w:rPr>
              <w:t>水现状监测评价结果见表。</w:t>
            </w:r>
          </w:p>
          <w:p>
            <w:pPr>
              <w:spacing w:line="480" w:lineRule="atLeast"/>
              <w:ind w:firstLine="482" w:firstLineChars="20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eastAsia="zh-CN"/>
              </w:rPr>
              <w:t>表</w:t>
            </w:r>
            <w:r>
              <w:rPr>
                <w:rFonts w:hint="default" w:ascii="Times New Roman" w:hAnsi="Times New Roman" w:eastAsia="宋体" w:cs="Times New Roman"/>
                <w:b/>
                <w:bCs/>
                <w:color w:val="auto"/>
                <w:kern w:val="0"/>
                <w:sz w:val="24"/>
                <w:lang w:val="en-US" w:eastAsia="zh-CN"/>
              </w:rPr>
              <w:t xml:space="preserve">12 </w:t>
            </w:r>
            <w:r>
              <w:rPr>
                <w:rFonts w:hint="default" w:ascii="Times New Roman" w:hAnsi="Times New Roman" w:eastAsia="宋体" w:cs="Times New Roman"/>
                <w:b/>
                <w:bCs/>
                <w:color w:val="auto"/>
                <w:kern w:val="0"/>
                <w:sz w:val="24"/>
              </w:rPr>
              <w:t>地表水现状监测评价结果</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597"/>
              <w:gridCol w:w="1074"/>
              <w:gridCol w:w="1001"/>
              <w:gridCol w:w="1620"/>
              <w:gridCol w:w="1608"/>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检测项目</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标准值</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采样日期</w:t>
                  </w:r>
                </w:p>
              </w:tc>
              <w:tc>
                <w:tcPr>
                  <w:tcW w:w="3380" w:type="pct"/>
                  <w:gridSpan w:val="4"/>
                  <w:tcBorders>
                    <w:tl2br w:val="nil"/>
                    <w:tr2bl w:val="nil"/>
                  </w:tcBorders>
                  <w:noWrap w:val="0"/>
                  <w:vAlign w:val="center"/>
                </w:tcPr>
                <w:p>
                  <w:pPr>
                    <w:pStyle w:val="21"/>
                    <w:spacing w:after="0"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采样点位及</w:t>
                  </w:r>
                  <w:r>
                    <w:rPr>
                      <w:rFonts w:hint="default" w:ascii="Times New Roman" w:hAnsi="Times New Roman" w:eastAsia="宋体" w:cs="Times New Roman"/>
                      <w:b/>
                      <w:color w:val="auto"/>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color w:val="auto"/>
                      <w:sz w:val="21"/>
                      <w:szCs w:val="21"/>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color w:val="auto"/>
                      <w:sz w:val="21"/>
                      <w:szCs w:val="21"/>
                      <w:lang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color w:val="auto"/>
                      <w:sz w:val="21"/>
                      <w:szCs w:val="21"/>
                      <w:lang w:eastAsia="zh-CN"/>
                    </w:rPr>
                  </w:pPr>
                </w:p>
              </w:tc>
              <w:tc>
                <w:tcPr>
                  <w:tcW w:w="620"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003"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color w:val="auto"/>
                      <w:kern w:val="2"/>
                      <w:sz w:val="21"/>
                      <w:szCs w:val="21"/>
                      <w:lang w:val="en-US" w:eastAsia="zh-CN" w:bidi="ar-SA"/>
                    </w:rPr>
                    <w:t>索泸河与九支渠交汇处上游500米处</w:t>
                  </w:r>
                </w:p>
              </w:tc>
              <w:tc>
                <w:tcPr>
                  <w:tcW w:w="996"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color w:val="auto"/>
                      <w:sz w:val="21"/>
                      <w:szCs w:val="21"/>
                      <w:lang w:val="en-US" w:eastAsia="zh-CN"/>
                    </w:rPr>
                    <w:t>索泸河</w:t>
                  </w:r>
                  <w:r>
                    <w:rPr>
                      <w:rFonts w:hint="default" w:ascii="Times New Roman" w:hAnsi="Times New Roman" w:eastAsia="宋体" w:cs="Times New Roman"/>
                      <w:color w:val="auto"/>
                      <w:sz w:val="21"/>
                      <w:szCs w:val="21"/>
                      <w:lang w:eastAsia="zh-CN"/>
                    </w:rPr>
                    <w:t>与九支渠交汇处下游</w:t>
                  </w:r>
                  <w:r>
                    <w:rPr>
                      <w:rFonts w:hint="default" w:ascii="Times New Roman" w:hAnsi="Times New Roman" w:eastAsia="宋体" w:cs="Times New Roman"/>
                      <w:color w:val="auto"/>
                      <w:sz w:val="21"/>
                      <w:szCs w:val="21"/>
                      <w:lang w:val="en-US" w:eastAsia="zh-CN"/>
                    </w:rPr>
                    <w:t>1000米处</w:t>
                  </w:r>
                </w:p>
              </w:tc>
              <w:tc>
                <w:tcPr>
                  <w:tcW w:w="759" w:type="pc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color w:val="auto"/>
                      <w:kern w:val="2"/>
                      <w:sz w:val="21"/>
                      <w:szCs w:val="21"/>
                      <w:highlight w:val="none"/>
                      <w:lang w:val="en-US" w:eastAsia="zh-CN" w:bidi="ar-SA"/>
                    </w:rPr>
                    <w:t>索泸河与清西干渠交汇处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pH</w:t>
                  </w:r>
                </w:p>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20"/>
                      <w:sz w:val="21"/>
                      <w:szCs w:val="21"/>
                      <w:lang w:val="en-US" w:eastAsia="zh-CN"/>
                    </w:rPr>
                    <w:t>(无量纲）</w:t>
                  </w:r>
                </w:p>
              </w:tc>
              <w:tc>
                <w:tcPr>
                  <w:tcW w:w="370" w:type="pct"/>
                  <w:vMerge w:val="restart"/>
                  <w:tcBorders>
                    <w:tl2br w:val="nil"/>
                    <w:tr2bl w:val="nil"/>
                  </w:tcBorders>
                  <w:noWrap w:val="0"/>
                  <w:vAlign w:val="center"/>
                </w:tcPr>
                <w:p>
                  <w:pPr>
                    <w:pStyle w:val="281"/>
                    <w:spacing w:before="0" w:line="320" w:lineRule="atLeas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Cs w:val="21"/>
                    </w:rPr>
                    <w:t>6-9</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8.85</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8.45</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81"/>
                    <w:spacing w:before="0" w:line="320" w:lineRule="atLeast"/>
                    <w:rPr>
                      <w:rFonts w:hint="default" w:ascii="Times New Roman" w:hAnsi="Times New Roman" w:eastAsia="宋体" w:cs="Times New Roman"/>
                      <w:color w:val="auto"/>
                      <w:szCs w:val="21"/>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0.925</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0.725</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8.79</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8.28</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0.895</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0.64</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8.70</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8.55</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0.85</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0.775</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8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化学需氧量</w:t>
                  </w:r>
                </w:p>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81"/>
                    <w:spacing w:before="0" w:line="320" w:lineRule="atLeas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Cs w:val="21"/>
                      <w:lang w:val="en-US" w:eastAsia="zh-CN"/>
                    </w:rPr>
                    <w:t>30</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81"/>
                    <w:spacing w:before="0" w:line="320" w:lineRule="atLeast"/>
                    <w:rPr>
                      <w:rFonts w:hint="default" w:ascii="Times New Roman" w:hAnsi="Times New Roman" w:eastAsia="宋体" w:cs="Times New Roman"/>
                      <w:color w:val="auto"/>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0.83</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23</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27</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27</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8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氨氮（以N计）</w:t>
                  </w: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81"/>
                    <w:spacing w:before="0" w:line="320" w:lineRule="atLeast"/>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Cs w:val="21"/>
                      <w:lang w:val="en-US" w:eastAsia="zh-CN"/>
                    </w:rPr>
                    <w:t>1.5</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0.753</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0.911</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81"/>
                    <w:spacing w:before="0" w:line="320" w:lineRule="atLeast"/>
                    <w:rPr>
                      <w:rFonts w:hint="default" w:ascii="Times New Roman" w:hAnsi="Times New Roman" w:eastAsia="宋体" w:cs="Times New Roman"/>
                      <w:color w:val="auto"/>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0.502</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0.607</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0.804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0.754</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0.536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0.502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0.873</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0.792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0.582</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0.528</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8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总磷（以P计）</w:t>
                  </w: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0.17</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0.53</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0.56</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0.18</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0.53</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0.53</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0.53</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8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总氮（以N计）(mg/L)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1.5</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1.28</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1.25</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0.85</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0.83</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1.30</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0.88</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1.30</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1.34</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0.89</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BOD</w:t>
                  </w:r>
                  <w:r>
                    <w:rPr>
                      <w:rFonts w:hint="default" w:ascii="Times New Roman" w:hAnsi="Times New Roman" w:eastAsia="宋体" w:cs="Times New Roman"/>
                      <w:b w:val="0"/>
                      <w:bCs/>
                      <w:color w:val="auto"/>
                      <w:sz w:val="21"/>
                      <w:szCs w:val="21"/>
                      <w:vertAlign w:val="subscript"/>
                      <w:lang w:val="en-US" w:eastAsia="zh-CN"/>
                    </w:rPr>
                    <w:t>5</w:t>
                  </w:r>
                </w:p>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5.8</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1.2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6.2</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7.5</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1.03</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1.25</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5.4</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bCs w:val="0"/>
                      <w:color w:val="auto"/>
                      <w:sz w:val="21"/>
                      <w:szCs w:val="21"/>
                      <w:lang w:val="en-US" w:eastAsia="zh-CN"/>
                    </w:rPr>
                    <w:t>1.6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bCs w:val="0"/>
                      <w:color w:val="auto"/>
                      <w:sz w:val="21"/>
                      <w:szCs w:val="21"/>
                      <w:lang w:val="en-US" w:eastAsia="zh-C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8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溶解氧</w:t>
                  </w: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7.69</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7.75</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2.58</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7.71</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7.71</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2.57</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2.57</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7.79</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2.58</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2.59</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583" w:type="pct"/>
                  <w:vMerge w:val="restart"/>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高锰酸盐指数</w:t>
                  </w: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5.46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6.06</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0.546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0.606</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5.84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6.68</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0.584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0.668</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5.64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5.21</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83" w:type="pct"/>
                  <w:vMerge w:val="continue"/>
                  <w:tcBorders>
                    <w:tl2br w:val="nil"/>
                    <w:tr2bl w:val="nil"/>
                  </w:tcBorders>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0.564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0.521</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铜</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pacing w:val="-20"/>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锌</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(mg/L)</w:t>
                  </w:r>
                </w:p>
                <w:p>
                  <w:pPr>
                    <w:pStyle w:val="21"/>
                    <w:spacing w:after="0" w:line="240" w:lineRule="auto"/>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镉</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（μg/L）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汞</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（μg/L）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0.001</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六价铬</w:t>
                  </w: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氰化物</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23"/>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pacing w:val="-23"/>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挥发酚</w:t>
                  </w: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0.01</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粪大肠菌群</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（MPN/L）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20000</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5.4×10</w:t>
                  </w:r>
                  <w:r>
                    <w:rPr>
                      <w:rFonts w:hint="default" w:ascii="Times New Roman" w:hAnsi="Times New Roman" w:eastAsia="宋体" w:cs="Times New Roman"/>
                      <w:b w:val="0"/>
                      <w:bCs/>
                      <w:color w:val="auto"/>
                      <w:sz w:val="21"/>
                      <w:szCs w:val="21"/>
                      <w:vertAlign w:val="superscript"/>
                      <w:lang w:val="en-US" w:eastAsia="zh-CN"/>
                    </w:rPr>
                    <w:t>2</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6.2×10</w:t>
                  </w:r>
                  <w:r>
                    <w:rPr>
                      <w:rFonts w:hint="default" w:ascii="Times New Roman" w:hAnsi="Times New Roman" w:eastAsia="宋体" w:cs="Times New Roman"/>
                      <w:b w:val="0"/>
                      <w:bCs/>
                      <w:color w:val="auto"/>
                      <w:sz w:val="21"/>
                      <w:szCs w:val="21"/>
                      <w:vertAlign w:val="superscript"/>
                      <w:lang w:val="en-US" w:eastAsia="zh-CN"/>
                    </w:rPr>
                    <w:t>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5.6×10</w:t>
                  </w:r>
                  <w:r>
                    <w:rPr>
                      <w:rFonts w:hint="default" w:ascii="Times New Roman" w:hAnsi="Times New Roman" w:eastAsia="宋体" w:cs="Times New Roman"/>
                      <w:b w:val="0"/>
                      <w:bCs/>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0.27</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0.31</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5.6×10</w:t>
                  </w:r>
                  <w:r>
                    <w:rPr>
                      <w:rFonts w:hint="default" w:ascii="Times New Roman" w:hAnsi="Times New Roman" w:eastAsia="宋体" w:cs="Times New Roman"/>
                      <w:b w:val="0"/>
                      <w:bCs/>
                      <w:color w:val="auto"/>
                      <w:sz w:val="21"/>
                      <w:szCs w:val="21"/>
                      <w:vertAlign w:val="superscript"/>
                      <w:lang w:val="en-US" w:eastAsia="zh-CN"/>
                    </w:rPr>
                    <w:t>2</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6.4×10</w:t>
                  </w:r>
                  <w:r>
                    <w:rPr>
                      <w:rFonts w:hint="default" w:ascii="Times New Roman" w:hAnsi="Times New Roman" w:eastAsia="宋体" w:cs="Times New Roman"/>
                      <w:b w:val="0"/>
                      <w:bCs/>
                      <w:color w:val="auto"/>
                      <w:sz w:val="21"/>
                      <w:szCs w:val="21"/>
                      <w:vertAlign w:val="superscript"/>
                      <w:lang w:val="en-US" w:eastAsia="zh-CN"/>
                    </w:rPr>
                    <w:t>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6.4×10</w:t>
                  </w:r>
                  <w:r>
                    <w:rPr>
                      <w:rFonts w:hint="default" w:ascii="Times New Roman" w:hAnsi="Times New Roman" w:eastAsia="宋体" w:cs="Times New Roman"/>
                      <w:b w:val="0"/>
                      <w:bCs/>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0.28</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4.8×10</w:t>
                  </w:r>
                  <w:r>
                    <w:rPr>
                      <w:rFonts w:hint="default" w:ascii="Times New Roman" w:hAnsi="Times New Roman" w:eastAsia="宋体" w:cs="Times New Roman"/>
                      <w:b w:val="0"/>
                      <w:bCs/>
                      <w:color w:val="auto"/>
                      <w:sz w:val="21"/>
                      <w:szCs w:val="21"/>
                      <w:vertAlign w:val="superscript"/>
                      <w:lang w:val="en-US" w:eastAsia="zh-CN"/>
                    </w:rPr>
                    <w:t>2</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6.4×10</w:t>
                  </w:r>
                  <w:r>
                    <w:rPr>
                      <w:rFonts w:hint="default" w:ascii="Times New Roman" w:hAnsi="Times New Roman" w:eastAsia="宋体" w:cs="Times New Roman"/>
                      <w:b w:val="0"/>
                      <w:bCs/>
                      <w:color w:val="auto"/>
                      <w:sz w:val="21"/>
                      <w:szCs w:val="21"/>
                      <w:vertAlign w:val="superscript"/>
                      <w:lang w:val="en-US" w:eastAsia="zh-CN"/>
                    </w:rPr>
                    <w:t>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5.9×10</w:t>
                  </w:r>
                  <w:r>
                    <w:rPr>
                      <w:rFonts w:hint="default" w:ascii="Times New Roman" w:hAnsi="Times New Roman" w:eastAsia="宋体" w:cs="Times New Roman"/>
                      <w:b w:val="0"/>
                      <w:bCs/>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硫化物</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996"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759" w:type="pct"/>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阴离子表面活性剂</w:t>
                  </w: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0.055</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0.060</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0.18</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0.068</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0.21</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0.226</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0.067</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20"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0.223</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0.207</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砷</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pacing w:val="-20"/>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665"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653"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260"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665"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653"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260"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0.007L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665"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653"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260"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水温</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21.4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22.5</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665"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653"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260"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20.9</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22.1</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665"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653"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260"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20.1</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23.2</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665"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653"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260"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氟化物</w:t>
                  </w: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1.5</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0.47</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0.36</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0.31</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0.48</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0.44</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0.32</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0.29</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0.47</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0.51</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0.31</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0.34</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硒*</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（μg/L）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665"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653"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260"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665"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653"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260"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665"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653"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c>
                <w:tcPr>
                  <w:tcW w:w="1260" w:type="dxa"/>
                  <w:tcBorders>
                    <w:tl2br w:val="nil"/>
                    <w:tr2bl w:val="nil"/>
                  </w:tcBorders>
                  <w:noWrap w:val="0"/>
                  <w:vAlign w:val="center"/>
                </w:tcPr>
                <w:p>
                  <w:pPr>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83"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石油类*</w:t>
                  </w:r>
                </w:p>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pacing w:val="-20"/>
                      <w:sz w:val="21"/>
                      <w:szCs w:val="21"/>
                      <w:lang w:val="en-US" w:eastAsia="zh-CN"/>
                    </w:rPr>
                    <w:t>（mg/L）</w:t>
                  </w:r>
                </w:p>
              </w:tc>
              <w:tc>
                <w:tcPr>
                  <w:tcW w:w="370"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w:t>
                  </w: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2020.7.13</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0.47</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0.08</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0.16</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2020.7.14</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0.42</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0.07</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0.84</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0.14</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restar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2020.7.15</w:t>
                  </w: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浓度</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0.45</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0.07</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83"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370"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665" w:type="pct"/>
                  <w:vMerge w:val="continue"/>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p>
              </w:tc>
              <w:tc>
                <w:tcPr>
                  <w:tcW w:w="1029" w:type="dxa"/>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pacing w:val="-20"/>
                      <w:sz w:val="21"/>
                      <w:szCs w:val="21"/>
                      <w:lang w:val="en-US" w:eastAsia="zh-CN"/>
                    </w:rPr>
                    <w:t>标准指数</w:t>
                  </w:r>
                </w:p>
              </w:tc>
              <w:tc>
                <w:tcPr>
                  <w:tcW w:w="1003"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996"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0.14</w:t>
                  </w:r>
                </w:p>
              </w:tc>
              <w:tc>
                <w:tcPr>
                  <w:tcW w:w="759" w:type="pct"/>
                  <w:tcBorders>
                    <w:tl2br w:val="nil"/>
                    <w:tr2bl w:val="nil"/>
                  </w:tcBorders>
                  <w:noWrap w:val="0"/>
                  <w:vAlign w:val="center"/>
                </w:tcPr>
                <w:p>
                  <w:pPr>
                    <w:pStyle w:val="21"/>
                    <w:spacing w:after="0"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w:t>
                  </w:r>
                </w:p>
              </w:tc>
            </w:tr>
          </w:tbl>
          <w:p>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评价结果表明：地表水中</w:t>
            </w:r>
            <w:r>
              <w:rPr>
                <w:rFonts w:hint="default" w:ascii="Times New Roman" w:hAnsi="Times New Roman" w:eastAsia="宋体" w:cs="Times New Roman"/>
                <w:color w:val="auto"/>
                <w:kern w:val="28"/>
                <w:sz w:val="24"/>
              </w:rPr>
              <w:t>pH、COD</w:t>
            </w:r>
            <w:r>
              <w:rPr>
                <w:rFonts w:hint="default" w:ascii="Times New Roman" w:hAnsi="Times New Roman" w:eastAsia="宋体" w:cs="Times New Roman"/>
                <w:color w:val="auto"/>
                <w:kern w:val="28"/>
                <w:sz w:val="24"/>
                <w:vertAlign w:val="subscript"/>
              </w:rPr>
              <w:t>Cr</w:t>
            </w:r>
            <w:r>
              <w:rPr>
                <w:rFonts w:hint="default" w:ascii="Times New Roman" w:hAnsi="Times New Roman" w:eastAsia="宋体" w:cs="Times New Roman"/>
                <w:color w:val="auto"/>
                <w:kern w:val="28"/>
                <w:sz w:val="24"/>
              </w:rPr>
              <w:t>、氨氮、总磷</w:t>
            </w:r>
            <w:r>
              <w:rPr>
                <w:rFonts w:hint="default" w:ascii="Times New Roman" w:hAnsi="Times New Roman" w:eastAsia="宋体" w:cs="Times New Roman"/>
                <w:color w:val="auto"/>
                <w:kern w:val="28"/>
                <w:sz w:val="24"/>
                <w:lang w:eastAsia="zh-CN"/>
              </w:rPr>
              <w:t>等</w:t>
            </w:r>
            <w:r>
              <w:rPr>
                <w:rFonts w:hint="default" w:ascii="Times New Roman" w:hAnsi="Times New Roman" w:eastAsia="宋体" w:cs="Times New Roman"/>
                <w:color w:val="auto"/>
                <w:kern w:val="28"/>
                <w:sz w:val="24"/>
              </w:rPr>
              <w:t>均</w:t>
            </w:r>
            <w:r>
              <w:rPr>
                <w:rFonts w:hint="default" w:ascii="Times New Roman" w:hAnsi="Times New Roman" w:eastAsia="宋体" w:cs="Times New Roman"/>
                <w:color w:val="auto"/>
                <w:sz w:val="24"/>
              </w:rPr>
              <w:t>满足</w:t>
            </w:r>
            <w:r>
              <w:rPr>
                <w:rFonts w:hint="default" w:ascii="Times New Roman" w:hAnsi="Times New Roman" w:eastAsia="宋体" w:cs="Times New Roman"/>
                <w:color w:val="auto"/>
                <w:kern w:val="28"/>
                <w:sz w:val="24"/>
              </w:rPr>
              <w:t>《地表水环境质量</w:t>
            </w:r>
            <w:r>
              <w:rPr>
                <w:rFonts w:hint="default" w:ascii="Times New Roman" w:hAnsi="Times New Roman" w:eastAsia="宋体" w:cs="Times New Roman"/>
                <w:color w:val="auto"/>
                <w:kern w:val="28"/>
                <w:sz w:val="24"/>
                <w:highlight w:val="none"/>
              </w:rPr>
              <w:t>标准》（GB3838-2002）中Ⅳ类</w:t>
            </w:r>
            <w:r>
              <w:rPr>
                <w:rFonts w:hint="default" w:ascii="Times New Roman" w:hAnsi="Times New Roman" w:eastAsia="宋体" w:cs="Times New Roman"/>
                <w:color w:val="auto"/>
                <w:sz w:val="24"/>
                <w:highlight w:val="none"/>
              </w:rPr>
              <w:t>标准；</w:t>
            </w:r>
            <w:r>
              <w:rPr>
                <w:rFonts w:hint="default" w:ascii="Times New Roman" w:hAnsi="Times New Roman" w:eastAsia="宋体" w:cs="Times New Roman"/>
                <w:color w:val="auto"/>
                <w:sz w:val="24"/>
                <w:highlight w:val="none"/>
                <w:lang w:val="en-US" w:eastAsia="zh-CN"/>
              </w:rPr>
              <w:t>BOD</w:t>
            </w:r>
            <w:r>
              <w:rPr>
                <w:rFonts w:hint="default" w:ascii="Times New Roman" w:hAnsi="Times New Roman" w:eastAsia="宋体" w:cs="Times New Roman"/>
                <w:color w:val="auto"/>
                <w:sz w:val="24"/>
                <w:highlight w:val="none"/>
                <w:vertAlign w:val="subscript"/>
                <w:lang w:val="en-US" w:eastAsia="zh-CN"/>
              </w:rPr>
              <w:t>5</w:t>
            </w:r>
            <w:r>
              <w:rPr>
                <w:rFonts w:hint="default" w:ascii="Times New Roman" w:hAnsi="Times New Roman" w:eastAsia="宋体" w:cs="Times New Roman"/>
                <w:color w:val="auto"/>
                <w:sz w:val="24"/>
                <w:highlight w:val="none"/>
              </w:rPr>
              <w:t>最大超标倍数为1.</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lang w:eastAsia="zh-CN"/>
              </w:rPr>
              <w:t>九支渠为灌溉渠，非灌溉季节常年无水，本项目外排废水通过九支渠进入索泸河，外排水质达到</w:t>
            </w:r>
            <w:r>
              <w:rPr>
                <w:rFonts w:hint="default" w:ascii="Times New Roman" w:hAnsi="Times New Roman" w:eastAsia="宋体" w:cs="Times New Roman"/>
                <w:color w:val="auto"/>
                <w:sz w:val="24"/>
                <w:szCs w:val="24"/>
              </w:rPr>
              <w:t>《黑龙港及运东流域水污染物排放标准》（DB13/2792-2018）表1中</w:t>
            </w:r>
            <w:r>
              <w:rPr>
                <w:rFonts w:hint="default" w:ascii="Times New Roman" w:hAnsi="Times New Roman" w:eastAsia="宋体" w:cs="Times New Roman"/>
                <w:color w:val="auto"/>
                <w:sz w:val="24"/>
                <w:szCs w:val="24"/>
                <w:lang w:eastAsia="zh-CN"/>
              </w:rPr>
              <w:t>重点</w:t>
            </w:r>
            <w:r>
              <w:rPr>
                <w:rFonts w:hint="default" w:ascii="Times New Roman" w:hAnsi="Times New Roman" w:eastAsia="宋体" w:cs="Times New Roman"/>
                <w:color w:val="auto"/>
                <w:sz w:val="24"/>
                <w:szCs w:val="24"/>
              </w:rPr>
              <w:t>排放限值及</w:t>
            </w:r>
            <w:r>
              <w:rPr>
                <w:rFonts w:hint="default" w:ascii="Times New Roman" w:hAnsi="Times New Roman" w:eastAsia="宋体" w:cs="Times New Roman"/>
                <w:color w:val="auto"/>
                <w:kern w:val="28"/>
                <w:sz w:val="24"/>
                <w:szCs w:val="24"/>
              </w:rPr>
              <w:t>《地表水环境质量标准》（GB3838-2002）中</w:t>
            </w:r>
            <w:r>
              <w:rPr>
                <w:rFonts w:hint="default" w:ascii="Times New Roman" w:hAnsi="Times New Roman" w:eastAsia="宋体" w:cs="Times New Roman"/>
                <w:color w:val="auto"/>
                <w:kern w:val="28"/>
                <w:sz w:val="24"/>
                <w:szCs w:val="24"/>
                <w:lang w:val="en-US" w:eastAsia="zh-CN"/>
              </w:rPr>
              <w:t>I</w:t>
            </w:r>
            <w:r>
              <w:rPr>
                <w:rFonts w:hint="default" w:ascii="Times New Roman" w:hAnsi="Times New Roman" w:eastAsia="宋体" w:cs="Times New Roman"/>
                <w:color w:val="auto"/>
                <w:kern w:val="28"/>
                <w:sz w:val="24"/>
                <w:szCs w:val="24"/>
              </w:rPr>
              <w:t>Ⅴ类</w:t>
            </w:r>
            <w:r>
              <w:rPr>
                <w:rFonts w:hint="default" w:ascii="Times New Roman" w:hAnsi="Times New Roman" w:eastAsia="宋体" w:cs="Times New Roman"/>
                <w:color w:val="auto"/>
                <w:sz w:val="24"/>
                <w:szCs w:val="24"/>
              </w:rPr>
              <w:t>标</w:t>
            </w:r>
            <w:r>
              <w:rPr>
                <w:rFonts w:hint="default" w:ascii="Times New Roman" w:hAnsi="Times New Roman" w:eastAsia="宋体" w:cs="Times New Roman"/>
                <w:color w:val="auto"/>
                <w:sz w:val="24"/>
                <w:szCs w:val="24"/>
                <w:lang w:eastAsia="zh-CN"/>
              </w:rPr>
              <w:t>，不会对九支渠和索泸河产生明显不利影响</w:t>
            </w:r>
            <w:r>
              <w:rPr>
                <w:rFonts w:hint="default" w:ascii="Times New Roman" w:hAnsi="Times New Roman" w:eastAsia="宋体" w:cs="Times New Roman"/>
                <w:color w:val="auto"/>
                <w:sz w:val="24"/>
                <w:szCs w:val="24"/>
              </w:rPr>
              <w:t>。</w:t>
            </w:r>
          </w:p>
          <w:p>
            <w:pPr>
              <w:pStyle w:val="294"/>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地下水环境质量现状：</w:t>
            </w:r>
            <w:r>
              <w:rPr>
                <w:rFonts w:hint="default" w:ascii="Times New Roman" w:hAnsi="Times New Roman" w:eastAsia="宋体" w:cs="Times New Roman"/>
                <w:color w:val="auto"/>
                <w:lang w:eastAsia="zh-CN"/>
              </w:rPr>
              <w:t>项目</w:t>
            </w:r>
            <w:r>
              <w:rPr>
                <w:rFonts w:hint="default" w:ascii="Times New Roman" w:hAnsi="Times New Roman" w:eastAsia="宋体" w:cs="Times New Roman"/>
                <w:color w:val="auto"/>
              </w:rPr>
              <w:t>区域地下水环境质量较好，满足《地下水质量标准》（GB/T14848-2017）</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3 \* ROMAN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III</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类标准。</w:t>
            </w:r>
          </w:p>
          <w:p>
            <w:pPr>
              <w:pStyle w:val="294"/>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声环境质量现状：区域声环境质量较好，满足《声环境质量标准》（GB3096-2008）</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类标准要求。</w:t>
            </w:r>
          </w:p>
          <w:p>
            <w:pPr>
              <w:pStyle w:val="294"/>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土壤环境现状：</w:t>
            </w:r>
            <w:r>
              <w:rPr>
                <w:rFonts w:hint="default" w:ascii="Times New Roman" w:hAnsi="Times New Roman" w:eastAsia="宋体" w:cs="Times New Roman"/>
                <w:color w:val="auto"/>
                <w:lang w:eastAsia="zh-CN"/>
              </w:rPr>
              <w:t>项目</w:t>
            </w:r>
            <w:r>
              <w:rPr>
                <w:rFonts w:hint="default" w:ascii="Times New Roman" w:hAnsi="Times New Roman" w:eastAsia="宋体" w:cs="Times New Roman"/>
                <w:color w:val="auto"/>
              </w:rPr>
              <w:t>区域土壤环境质量较好，满足《土壤环境质量 建设用地土壤污染风险管控标准》（GB36600-2018）第二类用地筛选值要求。</w:t>
            </w:r>
          </w:p>
          <w:p>
            <w:pPr>
              <w:pStyle w:val="294"/>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default" w:ascii="Times New Roman" w:hAnsi="Times New Roman" w:eastAsia="宋体" w:cs="Times New Roman"/>
                <w:color w:val="auto"/>
              </w:rPr>
            </w:pPr>
          </w:p>
          <w:p>
            <w:pPr>
              <w:pStyle w:val="294"/>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default" w:ascii="Times New Roman" w:hAnsi="Times New Roman" w:eastAsia="宋体" w:cs="Times New Roman"/>
                <w:color w:val="auto"/>
              </w:rPr>
            </w:pPr>
          </w:p>
          <w:p>
            <w:pPr>
              <w:pStyle w:val="294"/>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default" w:ascii="Times New Roman" w:hAnsi="Times New Roman" w:eastAsia="宋体" w:cs="Times New Roman"/>
                <w:color w:val="auto"/>
              </w:rPr>
            </w:pPr>
          </w:p>
          <w:p>
            <w:pPr>
              <w:pStyle w:val="294"/>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default" w:ascii="Times New Roman" w:hAnsi="Times New Roman" w:eastAsia="宋体" w:cs="Times New Roman"/>
                <w:color w:val="auto"/>
              </w:rPr>
            </w:pPr>
          </w:p>
          <w:p>
            <w:pPr>
              <w:pStyle w:val="29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eastAsia="宋体"/>
                <w:bCs/>
                <w:color w:val="auto"/>
                <w:sz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1" w:hRule="atLeast"/>
          <w:jc w:val="center"/>
        </w:trPr>
        <w:tc>
          <w:tcPr>
            <w:tcW w:w="8296" w:type="dxa"/>
          </w:tcPr>
          <w:p>
            <w:pPr>
              <w:spacing w:line="360" w:lineRule="auto"/>
              <w:rPr>
                <w:b/>
                <w:bCs/>
                <w:color w:val="auto"/>
                <w:sz w:val="24"/>
                <w:szCs w:val="24"/>
              </w:rPr>
            </w:pPr>
            <w:r>
              <w:rPr>
                <w:b/>
                <w:bCs/>
                <w:color w:val="auto"/>
                <w:sz w:val="24"/>
                <w:szCs w:val="24"/>
              </w:rPr>
              <w:t>主要环境保护目标（列出名单及保护级别）：</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w:t>
            </w:r>
            <w:r>
              <w:rPr>
                <w:rFonts w:hint="default" w:ascii="Times New Roman" w:hAnsi="Times New Roman" w:eastAsia="宋体" w:cs="Times New Roman"/>
                <w:color w:val="auto"/>
                <w:sz w:val="24"/>
                <w:szCs w:val="24"/>
                <w:lang w:eastAsia="zh-CN"/>
              </w:rPr>
              <w:t>河北省邢台市威县乳业园区迎宾大道6号，威县乐牛乳业有限公司厂内</w:t>
            </w:r>
            <w:r>
              <w:rPr>
                <w:rFonts w:hint="default" w:ascii="Times New Roman" w:hAnsi="Times New Roman" w:eastAsia="宋体" w:cs="Times New Roman"/>
                <w:color w:val="auto"/>
                <w:sz w:val="24"/>
                <w:szCs w:val="24"/>
              </w:rPr>
              <w:t>，该项目环境保护目标见表</w:t>
            </w:r>
            <w:r>
              <w:rPr>
                <w:rFonts w:hint="default"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rPr>
              <w:t>。</w:t>
            </w:r>
          </w:p>
          <w:p>
            <w:pPr>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pacing w:val="5"/>
                <w:sz w:val="24"/>
                <w:szCs w:val="24"/>
                <w:lang w:val="en-US" w:eastAsia="zh-CN"/>
              </w:rPr>
              <w:t>13</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highlight w:val="none"/>
              </w:rPr>
              <w:t xml:space="preserve"> 项目环</w:t>
            </w:r>
            <w:r>
              <w:rPr>
                <w:rFonts w:hint="default" w:ascii="Times New Roman" w:hAnsi="Times New Roman" w:eastAsia="宋体" w:cs="Times New Roman"/>
                <w:b/>
                <w:color w:val="auto"/>
                <w:sz w:val="24"/>
                <w:szCs w:val="24"/>
              </w:rPr>
              <w:t>境保护目标情况</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764"/>
              <w:gridCol w:w="1795"/>
              <w:gridCol w:w="1083"/>
              <w:gridCol w:w="806"/>
              <w:gridCol w:w="2541"/>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02" w:hRule="atLeast"/>
                <w:jc w:val="center"/>
              </w:trPr>
              <w:tc>
                <w:tcPr>
                  <w:tcW w:w="473"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保护目标</w:t>
                  </w:r>
                </w:p>
              </w:tc>
              <w:tc>
                <w:tcPr>
                  <w:tcW w:w="671"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相对方位</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距厂界距离</w:t>
                  </w:r>
                </w:p>
              </w:tc>
              <w:tc>
                <w:tcPr>
                  <w:tcW w:w="1574"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功能要求</w:t>
                  </w:r>
                </w:p>
              </w:tc>
              <w:tc>
                <w:tcPr>
                  <w:tcW w:w="668"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06" w:hRule="atLeast"/>
                <w:jc w:val="center"/>
              </w:trPr>
              <w:tc>
                <w:tcPr>
                  <w:tcW w:w="473"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后南寺庄村居民区</w:t>
                  </w:r>
                </w:p>
              </w:tc>
              <w:tc>
                <w:tcPr>
                  <w:tcW w:w="671"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w:t>
                  </w:r>
                  <w:r>
                    <w:rPr>
                      <w:rFonts w:hint="default" w:ascii="Times New Roman" w:hAnsi="Times New Roman" w:eastAsia="宋体" w:cs="Times New Roman"/>
                      <w:color w:val="auto"/>
                      <w:sz w:val="21"/>
                      <w:szCs w:val="21"/>
                    </w:rPr>
                    <w:t>W</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1560</w:t>
                  </w:r>
                  <w:r>
                    <w:rPr>
                      <w:rFonts w:hint="default" w:ascii="Times New Roman" w:hAnsi="Times New Roman" w:eastAsia="宋体" w:cs="Times New Roman"/>
                      <w:color w:val="auto"/>
                      <w:sz w:val="21"/>
                      <w:szCs w:val="21"/>
                    </w:rPr>
                    <w:t>m</w:t>
                  </w:r>
                </w:p>
              </w:tc>
              <w:tc>
                <w:tcPr>
                  <w:tcW w:w="1574"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《环境空气质量标准》（GB3095-2012）二类区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《环境空气质量 非甲烷总烃限值》(DB13/1577-2012)二级标准</w:t>
                  </w:r>
                  <w:r>
                    <w:rPr>
                      <w:rFonts w:hint="default" w:ascii="Times New Roman" w:hAnsi="Times New Roman" w:eastAsia="宋体" w:cs="Times New Roman"/>
                      <w:color w:val="auto"/>
                      <w:sz w:val="21"/>
                      <w:szCs w:val="21"/>
                      <w:highlight w:val="none"/>
                      <w:lang w:eastAsia="zh-CN"/>
                    </w:rPr>
                    <w:t>和</w:t>
                  </w:r>
                  <w:r>
                    <w:rPr>
                      <w:rFonts w:hint="default" w:ascii="Times New Roman" w:hAnsi="Times New Roman" w:eastAsia="宋体" w:cs="Times New Roman"/>
                      <w:color w:val="auto"/>
                      <w:sz w:val="21"/>
                      <w:szCs w:val="21"/>
                      <w:highlight w:val="none"/>
                    </w:rPr>
                    <w:t>《工业企业设计卫生标准》（TJ36-79）居住区大气中有害物</w:t>
                  </w:r>
                  <w:r>
                    <w:rPr>
                      <w:rFonts w:hint="default" w:ascii="Times New Roman" w:hAnsi="Times New Roman" w:eastAsia="宋体" w:cs="Times New Roman"/>
                      <w:color w:val="auto"/>
                      <w:sz w:val="21"/>
                      <w:szCs w:val="21"/>
                    </w:rPr>
                    <w:t>质的最高允许浓度</w:t>
                  </w:r>
                </w:p>
              </w:tc>
              <w:tc>
                <w:tcPr>
                  <w:tcW w:w="668" w:type="pct"/>
                  <w:vMerge w:val="restar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不改变其</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质量功能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06" w:hRule="atLeast"/>
                <w:jc w:val="center"/>
              </w:trPr>
              <w:tc>
                <w:tcPr>
                  <w:tcW w:w="473"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中南寺庄村居民区</w:t>
                  </w:r>
                </w:p>
              </w:tc>
              <w:tc>
                <w:tcPr>
                  <w:tcW w:w="671" w:type="pct"/>
                  <w:tcBorders>
                    <w:tl2br w:val="nil"/>
                    <w:tr2bl w:val="nil"/>
                  </w:tcBorders>
                  <w:noWrap w:val="0"/>
                  <w:tcMar>
                    <w:top w:w="0" w:type="dxa"/>
                    <w:left w:w="57" w:type="dxa"/>
                    <w:bottom w:w="0" w:type="dxa"/>
                    <w:right w:w="57" w:type="dxa"/>
                  </w:tcMar>
                  <w:vAlign w:val="top"/>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w:t>
                  </w:r>
                  <w:r>
                    <w:rPr>
                      <w:rFonts w:hint="default" w:ascii="Times New Roman" w:hAnsi="Times New Roman" w:eastAsia="宋体" w:cs="Times New Roman"/>
                      <w:color w:val="auto"/>
                      <w:sz w:val="21"/>
                      <w:szCs w:val="21"/>
                    </w:rPr>
                    <w:t>W</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1470</w:t>
                  </w:r>
                  <w:r>
                    <w:rPr>
                      <w:rFonts w:hint="default" w:ascii="Times New Roman" w:hAnsi="Times New Roman" w:eastAsia="宋体" w:cs="Times New Roman"/>
                      <w:color w:val="auto"/>
                      <w:sz w:val="21"/>
                      <w:szCs w:val="21"/>
                    </w:rPr>
                    <w:t>m</w:t>
                  </w:r>
                </w:p>
              </w:tc>
              <w:tc>
                <w:tcPr>
                  <w:tcW w:w="1574"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06" w:hRule="atLeast"/>
                <w:jc w:val="center"/>
              </w:trPr>
              <w:tc>
                <w:tcPr>
                  <w:tcW w:w="473"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前南寺庄村居民区</w:t>
                  </w:r>
                </w:p>
              </w:tc>
              <w:tc>
                <w:tcPr>
                  <w:tcW w:w="671" w:type="pct"/>
                  <w:tcBorders>
                    <w:tl2br w:val="nil"/>
                    <w:tr2bl w:val="nil"/>
                  </w:tcBorders>
                  <w:noWrap w:val="0"/>
                  <w:tcMar>
                    <w:top w:w="0" w:type="dxa"/>
                    <w:left w:w="57" w:type="dxa"/>
                    <w:bottom w:w="0" w:type="dxa"/>
                    <w:right w:w="57" w:type="dxa"/>
                  </w:tcMar>
                  <w:vAlign w:val="top"/>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w:t>
                  </w:r>
                  <w:r>
                    <w:rPr>
                      <w:rFonts w:hint="default" w:ascii="Times New Roman" w:hAnsi="Times New Roman" w:eastAsia="宋体" w:cs="Times New Roman"/>
                      <w:color w:val="auto"/>
                      <w:sz w:val="21"/>
                      <w:szCs w:val="21"/>
                    </w:rPr>
                    <w:t>W</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1510</w:t>
                  </w:r>
                  <w:r>
                    <w:rPr>
                      <w:rFonts w:hint="default" w:ascii="Times New Roman" w:hAnsi="Times New Roman" w:eastAsia="宋体" w:cs="Times New Roman"/>
                      <w:color w:val="auto"/>
                      <w:sz w:val="21"/>
                      <w:szCs w:val="21"/>
                    </w:rPr>
                    <w:t>m</w:t>
                  </w:r>
                </w:p>
              </w:tc>
              <w:tc>
                <w:tcPr>
                  <w:tcW w:w="1574"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06" w:hRule="atLeast"/>
                <w:jc w:val="center"/>
              </w:trPr>
              <w:tc>
                <w:tcPr>
                  <w:tcW w:w="473"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关吴村居民区</w:t>
                  </w:r>
                </w:p>
              </w:tc>
              <w:tc>
                <w:tcPr>
                  <w:tcW w:w="671" w:type="pct"/>
                  <w:tcBorders>
                    <w:tl2br w:val="nil"/>
                    <w:tr2bl w:val="nil"/>
                  </w:tcBorders>
                  <w:noWrap w:val="0"/>
                  <w:tcMar>
                    <w:top w:w="0" w:type="dxa"/>
                    <w:left w:w="57" w:type="dxa"/>
                    <w:bottom w:w="0" w:type="dxa"/>
                    <w:right w:w="57" w:type="dxa"/>
                  </w:tcMar>
                  <w:vAlign w:val="top"/>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SE</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1700</w:t>
                  </w:r>
                  <w:r>
                    <w:rPr>
                      <w:rFonts w:hint="default" w:ascii="Times New Roman" w:hAnsi="Times New Roman" w:eastAsia="宋体" w:cs="Times New Roman"/>
                      <w:color w:val="auto"/>
                      <w:sz w:val="21"/>
                      <w:szCs w:val="21"/>
                    </w:rPr>
                    <w:t>m</w:t>
                  </w:r>
                </w:p>
              </w:tc>
              <w:tc>
                <w:tcPr>
                  <w:tcW w:w="1574"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06" w:hRule="atLeast"/>
                <w:jc w:val="center"/>
              </w:trPr>
              <w:tc>
                <w:tcPr>
                  <w:tcW w:w="473"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国吴村居民区</w:t>
                  </w:r>
                </w:p>
              </w:tc>
              <w:tc>
                <w:tcPr>
                  <w:tcW w:w="671"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SE</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1990</w:t>
                  </w:r>
                  <w:r>
                    <w:rPr>
                      <w:rFonts w:hint="default" w:ascii="Times New Roman" w:hAnsi="Times New Roman" w:eastAsia="宋体" w:cs="Times New Roman"/>
                      <w:color w:val="auto"/>
                      <w:sz w:val="21"/>
                      <w:szCs w:val="21"/>
                    </w:rPr>
                    <w:t>m</w:t>
                  </w:r>
                </w:p>
              </w:tc>
              <w:tc>
                <w:tcPr>
                  <w:tcW w:w="1574"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06" w:hRule="atLeast"/>
                <w:jc w:val="center"/>
              </w:trPr>
              <w:tc>
                <w:tcPr>
                  <w:tcW w:w="473"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薛吴村居民区</w:t>
                  </w:r>
                </w:p>
              </w:tc>
              <w:tc>
                <w:tcPr>
                  <w:tcW w:w="671"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E</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1900</w:t>
                  </w:r>
                  <w:r>
                    <w:rPr>
                      <w:rFonts w:hint="default" w:ascii="Times New Roman" w:hAnsi="Times New Roman" w:eastAsia="宋体" w:cs="Times New Roman"/>
                      <w:color w:val="auto"/>
                      <w:sz w:val="21"/>
                      <w:szCs w:val="21"/>
                    </w:rPr>
                    <w:t>m</w:t>
                  </w:r>
                </w:p>
              </w:tc>
              <w:tc>
                <w:tcPr>
                  <w:tcW w:w="1574"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06" w:hRule="atLeast"/>
                <w:jc w:val="center"/>
              </w:trPr>
              <w:tc>
                <w:tcPr>
                  <w:tcW w:w="473"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前寺庄村居民区</w:t>
                  </w:r>
                </w:p>
              </w:tc>
              <w:tc>
                <w:tcPr>
                  <w:tcW w:w="671"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710</w:t>
                  </w:r>
                  <w:r>
                    <w:rPr>
                      <w:rFonts w:hint="default" w:ascii="Times New Roman" w:hAnsi="Times New Roman" w:eastAsia="宋体" w:cs="Times New Roman"/>
                      <w:color w:val="auto"/>
                      <w:sz w:val="21"/>
                      <w:szCs w:val="21"/>
                    </w:rPr>
                    <w:t>m</w:t>
                  </w:r>
                </w:p>
              </w:tc>
              <w:tc>
                <w:tcPr>
                  <w:tcW w:w="1574"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06" w:hRule="atLeast"/>
                <w:jc w:val="center"/>
              </w:trPr>
              <w:tc>
                <w:tcPr>
                  <w:tcW w:w="473"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西寺庄村居民区</w:t>
                  </w:r>
                </w:p>
              </w:tc>
              <w:tc>
                <w:tcPr>
                  <w:tcW w:w="671" w:type="pct"/>
                  <w:tcBorders>
                    <w:tl2br w:val="nil"/>
                    <w:tr2bl w:val="nil"/>
                  </w:tcBorders>
                  <w:noWrap w:val="0"/>
                  <w:tcMar>
                    <w:top w:w="0" w:type="dxa"/>
                    <w:left w:w="57" w:type="dxa"/>
                    <w:bottom w:w="0" w:type="dxa"/>
                    <w:right w:w="57" w:type="dxa"/>
                  </w:tcMar>
                  <w:vAlign w:val="top"/>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780</w:t>
                  </w:r>
                  <w:r>
                    <w:rPr>
                      <w:rFonts w:hint="default" w:ascii="Times New Roman" w:hAnsi="Times New Roman" w:eastAsia="宋体" w:cs="Times New Roman"/>
                      <w:color w:val="auto"/>
                      <w:sz w:val="21"/>
                      <w:szCs w:val="21"/>
                    </w:rPr>
                    <w:t>m</w:t>
                  </w:r>
                </w:p>
              </w:tc>
              <w:tc>
                <w:tcPr>
                  <w:tcW w:w="1574"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06" w:hRule="atLeast"/>
                <w:jc w:val="center"/>
              </w:trPr>
              <w:tc>
                <w:tcPr>
                  <w:tcW w:w="473"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东寺庄村居民区</w:t>
                  </w:r>
                </w:p>
              </w:tc>
              <w:tc>
                <w:tcPr>
                  <w:tcW w:w="671" w:type="pct"/>
                  <w:tcBorders>
                    <w:tl2br w:val="nil"/>
                    <w:tr2bl w:val="nil"/>
                  </w:tcBorders>
                  <w:noWrap w:val="0"/>
                  <w:tcMar>
                    <w:top w:w="0" w:type="dxa"/>
                    <w:left w:w="57" w:type="dxa"/>
                    <w:bottom w:w="0" w:type="dxa"/>
                    <w:right w:w="57" w:type="dxa"/>
                  </w:tcMar>
                  <w:vAlign w:val="top"/>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1090</w:t>
                  </w:r>
                  <w:r>
                    <w:rPr>
                      <w:rFonts w:hint="default" w:ascii="Times New Roman" w:hAnsi="Times New Roman" w:eastAsia="宋体" w:cs="Times New Roman"/>
                      <w:color w:val="auto"/>
                      <w:sz w:val="21"/>
                      <w:szCs w:val="21"/>
                    </w:rPr>
                    <w:t>m</w:t>
                  </w:r>
                </w:p>
              </w:tc>
              <w:tc>
                <w:tcPr>
                  <w:tcW w:w="1574"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06" w:hRule="atLeast"/>
                <w:jc w:val="center"/>
              </w:trPr>
              <w:tc>
                <w:tcPr>
                  <w:tcW w:w="473"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北寺庄村居民区</w:t>
                  </w:r>
                </w:p>
              </w:tc>
              <w:tc>
                <w:tcPr>
                  <w:tcW w:w="671" w:type="pct"/>
                  <w:tcBorders>
                    <w:tl2br w:val="nil"/>
                    <w:tr2bl w:val="nil"/>
                  </w:tcBorders>
                  <w:noWrap w:val="0"/>
                  <w:tcMar>
                    <w:top w:w="0" w:type="dxa"/>
                    <w:left w:w="57" w:type="dxa"/>
                    <w:bottom w:w="0" w:type="dxa"/>
                    <w:right w:w="57" w:type="dxa"/>
                  </w:tcMar>
                  <w:vAlign w:val="top"/>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1250</w:t>
                  </w:r>
                  <w:r>
                    <w:rPr>
                      <w:rFonts w:hint="default" w:ascii="Times New Roman" w:hAnsi="Times New Roman" w:eastAsia="宋体" w:cs="Times New Roman"/>
                      <w:color w:val="auto"/>
                      <w:sz w:val="21"/>
                      <w:szCs w:val="21"/>
                    </w:rPr>
                    <w:t>m</w:t>
                  </w:r>
                </w:p>
              </w:tc>
              <w:tc>
                <w:tcPr>
                  <w:tcW w:w="1574"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c>
                <w:tcPr>
                  <w:tcW w:w="668" w:type="pct"/>
                  <w:vMerge w:val="continue"/>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598" w:hRule="atLeast"/>
                <w:jc w:val="center"/>
              </w:trPr>
              <w:tc>
                <w:tcPr>
                  <w:tcW w:w="473"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九支渠</w:t>
                  </w:r>
                </w:p>
              </w:tc>
              <w:tc>
                <w:tcPr>
                  <w:tcW w:w="671"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p>
              </w:tc>
              <w:tc>
                <w:tcPr>
                  <w:tcW w:w="1574"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《地表水环境质量标准》（GB3838-2002）Ⅴ类标准</w:t>
                  </w:r>
                </w:p>
              </w:tc>
              <w:tc>
                <w:tcPr>
                  <w:tcW w:w="668"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地表水水质不受影响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890" w:hRule="atLeast"/>
                <w:jc w:val="center"/>
              </w:trPr>
              <w:tc>
                <w:tcPr>
                  <w:tcW w:w="473"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项目所在地有利用价值的地下水层</w:t>
                  </w:r>
                </w:p>
              </w:tc>
              <w:tc>
                <w:tcPr>
                  <w:tcW w:w="671"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74"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《地下水质量标准》</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T14848-</w:t>
                  </w:r>
                  <w:r>
                    <w:rPr>
                      <w:rFonts w:hint="default" w:ascii="Times New Roman" w:hAnsi="Times New Roman" w:eastAsia="宋体" w:cs="Times New Roman"/>
                      <w:color w:val="auto"/>
                      <w:sz w:val="21"/>
                      <w:szCs w:val="21"/>
                      <w:lang w:val="en-US" w:eastAsia="zh-CN"/>
                    </w:rPr>
                    <w:t>2017</w:t>
                  </w:r>
                  <w:r>
                    <w:rPr>
                      <w:rFonts w:hint="default" w:ascii="Times New Roman" w:hAnsi="Times New Roman" w:eastAsia="宋体" w:cs="Times New Roman"/>
                      <w:color w:val="auto"/>
                      <w:sz w:val="21"/>
                      <w:szCs w:val="21"/>
                    </w:rPr>
                    <w:t>）Ⅲ类标准</w:t>
                  </w:r>
                </w:p>
              </w:tc>
              <w:tc>
                <w:tcPr>
                  <w:tcW w:w="668"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地下水水质</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608" w:hRule="atLeast"/>
                <w:jc w:val="center"/>
              </w:trPr>
              <w:tc>
                <w:tcPr>
                  <w:tcW w:w="473"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112"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厂界外200m</w:t>
                  </w:r>
                </w:p>
              </w:tc>
              <w:tc>
                <w:tcPr>
                  <w:tcW w:w="671"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9"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74"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（GB3096 -2008）2类标准</w:t>
                  </w:r>
                </w:p>
              </w:tc>
              <w:tc>
                <w:tcPr>
                  <w:tcW w:w="668"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不改变声环境质量功能</w:t>
                  </w:r>
                </w:p>
              </w:tc>
            </w:tr>
          </w:tbl>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default" w:ascii="Times New Roman" w:hAnsi="Times New Roman" w:eastAsia="宋体" w:cs="Times New Roman"/>
                <w:color w:val="auto"/>
                <w:lang w:val="en-US" w:eastAsia="zh-CN"/>
              </w:rPr>
            </w:pPr>
          </w:p>
        </w:tc>
      </w:tr>
    </w:tbl>
    <w:p>
      <w:pPr>
        <w:sectPr>
          <w:footerReference r:id="rId3" w:type="default"/>
          <w:pgSz w:w="11906" w:h="16838"/>
          <w:pgMar w:top="1440" w:right="1800" w:bottom="1440" w:left="1800" w:header="851" w:footer="992" w:gutter="0"/>
          <w:pgNumType w:fmt="decimal" w:start="1"/>
          <w:cols w:space="425" w:num="1"/>
          <w:docGrid w:type="lines" w:linePitch="312" w:charSpace="0"/>
        </w:sectPr>
      </w:pPr>
    </w:p>
    <w:p>
      <w:pPr>
        <w:outlineLvl w:val="0"/>
        <w:rPr>
          <w:b/>
          <w:color w:val="000000"/>
          <w:sz w:val="30"/>
          <w:szCs w:val="30"/>
        </w:rPr>
      </w:pPr>
      <w:r>
        <w:rPr>
          <w:b/>
          <w:color w:val="000000"/>
          <w:sz w:val="30"/>
          <w:szCs w:val="30"/>
        </w:rPr>
        <w:t>评价适用标准</w:t>
      </w:r>
    </w:p>
    <w:tbl>
      <w:tblPr>
        <w:tblStyle w:val="47"/>
        <w:tblW w:w="8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4" w:hRule="atLeast"/>
        </w:trPr>
        <w:tc>
          <w:tcPr>
            <w:tcW w:w="457" w:type="dxa"/>
            <w:shd w:val="clear" w:color="auto" w:fill="auto"/>
            <w:vAlign w:val="center"/>
          </w:tcPr>
          <w:p>
            <w:pPr>
              <w:pStyle w:val="21"/>
              <w:contextualSpacing/>
              <w:jc w:val="center"/>
              <w:rPr>
                <w:b/>
                <w:bCs/>
                <w:color w:val="000000"/>
                <w:kern w:val="0"/>
                <w:sz w:val="24"/>
                <w:szCs w:val="24"/>
              </w:rPr>
            </w:pPr>
            <w:r>
              <w:rPr>
                <w:b/>
                <w:bCs/>
                <w:color w:val="000000"/>
                <w:kern w:val="0"/>
                <w:sz w:val="24"/>
                <w:szCs w:val="24"/>
              </w:rPr>
              <w:t>环</w:t>
            </w:r>
          </w:p>
          <w:p>
            <w:pPr>
              <w:pStyle w:val="21"/>
              <w:contextualSpacing/>
              <w:jc w:val="center"/>
              <w:rPr>
                <w:b/>
                <w:bCs/>
                <w:color w:val="000000"/>
                <w:kern w:val="0"/>
                <w:sz w:val="24"/>
                <w:szCs w:val="24"/>
              </w:rPr>
            </w:pPr>
            <w:r>
              <w:rPr>
                <w:b/>
                <w:bCs/>
                <w:color w:val="000000"/>
                <w:kern w:val="0"/>
                <w:sz w:val="24"/>
                <w:szCs w:val="24"/>
              </w:rPr>
              <w:t>境</w:t>
            </w:r>
          </w:p>
          <w:p>
            <w:pPr>
              <w:pStyle w:val="21"/>
              <w:contextualSpacing/>
              <w:jc w:val="center"/>
              <w:rPr>
                <w:b/>
                <w:bCs/>
                <w:color w:val="000000"/>
                <w:kern w:val="0"/>
                <w:sz w:val="24"/>
                <w:szCs w:val="24"/>
              </w:rPr>
            </w:pPr>
            <w:r>
              <w:rPr>
                <w:b/>
                <w:bCs/>
                <w:color w:val="000000"/>
                <w:kern w:val="0"/>
                <w:sz w:val="24"/>
                <w:szCs w:val="24"/>
              </w:rPr>
              <w:t>质</w:t>
            </w:r>
          </w:p>
          <w:p>
            <w:pPr>
              <w:pStyle w:val="21"/>
              <w:contextualSpacing/>
              <w:jc w:val="center"/>
              <w:rPr>
                <w:b/>
                <w:bCs/>
                <w:color w:val="000000"/>
                <w:kern w:val="0"/>
                <w:sz w:val="24"/>
                <w:szCs w:val="24"/>
              </w:rPr>
            </w:pPr>
            <w:r>
              <w:rPr>
                <w:b/>
                <w:bCs/>
                <w:color w:val="000000"/>
                <w:kern w:val="0"/>
                <w:sz w:val="24"/>
                <w:szCs w:val="24"/>
              </w:rPr>
              <w:t>量</w:t>
            </w:r>
          </w:p>
          <w:p>
            <w:pPr>
              <w:pStyle w:val="21"/>
              <w:contextualSpacing/>
              <w:jc w:val="center"/>
              <w:rPr>
                <w:b/>
                <w:bCs/>
                <w:color w:val="000000"/>
                <w:kern w:val="0"/>
                <w:sz w:val="24"/>
                <w:szCs w:val="24"/>
              </w:rPr>
            </w:pPr>
            <w:r>
              <w:rPr>
                <w:b/>
                <w:bCs/>
                <w:color w:val="000000"/>
                <w:kern w:val="0"/>
                <w:sz w:val="24"/>
                <w:szCs w:val="24"/>
              </w:rPr>
              <w:t>标</w:t>
            </w:r>
          </w:p>
          <w:p>
            <w:pPr>
              <w:jc w:val="center"/>
              <w:outlineLvl w:val="0"/>
              <w:rPr>
                <w:b/>
                <w:color w:val="000000"/>
                <w:kern w:val="0"/>
                <w:sz w:val="32"/>
              </w:rPr>
            </w:pPr>
            <w:r>
              <w:rPr>
                <w:b/>
                <w:bCs/>
                <w:color w:val="000000"/>
                <w:kern w:val="0"/>
                <w:sz w:val="24"/>
                <w:szCs w:val="24"/>
              </w:rPr>
              <w:t>准</w:t>
            </w:r>
          </w:p>
        </w:tc>
        <w:tc>
          <w:tcPr>
            <w:tcW w:w="8015" w:type="dxa"/>
            <w:shd w:val="clear" w:color="auto" w:fill="auto"/>
          </w:tcPr>
          <w:p>
            <w:pPr>
              <w:spacing w:line="36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根据功能区划原则，项目所在区域相关环境质量标准如下：</w:t>
            </w:r>
          </w:p>
          <w:p>
            <w:pPr>
              <w:spacing w:line="360" w:lineRule="auto"/>
              <w:ind w:firstLine="480" w:firstLineChars="200"/>
              <w:jc w:val="left"/>
              <w:rPr>
                <w:rFonts w:hint="default" w:ascii="Times New Roman" w:hAnsi="Times New Roman" w:eastAsia="宋体" w:cs="Times New Roman"/>
                <w:sz w:val="24"/>
                <w:szCs w:val="22"/>
                <w:lang w:eastAsia="zh-CN"/>
              </w:rPr>
            </w:pPr>
            <w:r>
              <w:rPr>
                <w:rFonts w:hint="default" w:ascii="Times New Roman" w:hAnsi="Times New Roman" w:eastAsia="宋体" w:cs="Times New Roman"/>
                <w:sz w:val="24"/>
                <w:szCs w:val="22"/>
              </w:rPr>
              <w:t>1、环境空气：执行《环境空气质量标准》（GB3095-2012）二级标准</w:t>
            </w:r>
            <w:r>
              <w:rPr>
                <w:rFonts w:hint="default" w:ascii="Times New Roman" w:hAnsi="Times New Roman" w:eastAsia="宋体" w:cs="Times New Roman"/>
                <w:sz w:val="24"/>
                <w:szCs w:val="22"/>
                <w:lang w:eastAsia="zh-CN"/>
              </w:rPr>
              <w:t>及其修改单；</w:t>
            </w:r>
            <w:r>
              <w:rPr>
                <w:rFonts w:hint="default" w:ascii="Times New Roman" w:hAnsi="Times New Roman" w:eastAsia="宋体" w:cs="Times New Roman"/>
                <w:color w:val="auto"/>
                <w:sz w:val="24"/>
                <w:highlight w:val="none"/>
                <w:lang w:eastAsia="zh-CN"/>
              </w:rPr>
              <w:t>氨、硫化氢</w:t>
            </w:r>
            <w:r>
              <w:rPr>
                <w:rFonts w:hint="default" w:ascii="Times New Roman" w:hAnsi="Times New Roman" w:eastAsia="宋体" w:cs="Times New Roman"/>
                <w:color w:val="auto"/>
                <w:sz w:val="24"/>
                <w:highlight w:val="none"/>
              </w:rPr>
              <w:t>参照执行</w:t>
            </w:r>
            <w:r>
              <w:rPr>
                <w:rFonts w:hint="default" w:ascii="Times New Roman" w:hAnsi="Times New Roman" w:eastAsia="宋体" w:cs="Times New Roman"/>
                <w:color w:val="auto"/>
                <w:sz w:val="24"/>
                <w:szCs w:val="24"/>
                <w:highlight w:val="none"/>
                <w:lang w:val="en-US" w:eastAsia="zh-CN"/>
              </w:rPr>
              <w:t>《环境影响评价技术导则  大气环境》（HJ2.2-2018）附录D标准限值</w:t>
            </w:r>
            <w:r>
              <w:rPr>
                <w:rFonts w:hint="default" w:ascii="Times New Roman" w:hAnsi="Times New Roman" w:eastAsia="宋体" w:cs="Times New Roman"/>
                <w:sz w:val="24"/>
                <w:szCs w:val="22"/>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rPr>
              <w:t>表</w:t>
            </w:r>
            <w:r>
              <w:rPr>
                <w:rFonts w:hint="default" w:ascii="Times New Roman" w:hAnsi="Times New Roman" w:eastAsia="宋体" w:cs="Times New Roman"/>
                <w:b/>
                <w:bCs/>
                <w:sz w:val="24"/>
                <w:szCs w:val="22"/>
                <w:lang w:val="en-US" w:eastAsia="zh-CN"/>
              </w:rPr>
              <w:t>14</w:t>
            </w:r>
            <w:r>
              <w:rPr>
                <w:rFonts w:hint="default" w:ascii="Times New Roman" w:hAnsi="Times New Roman" w:eastAsia="宋体" w:cs="Times New Roman"/>
                <w:b/>
                <w:bCs/>
                <w:sz w:val="24"/>
                <w:szCs w:val="22"/>
              </w:rPr>
              <w:t xml:space="preserve">  环境空气污染物基本项目浓度限值 </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851"/>
              <w:gridCol w:w="1882"/>
              <w:gridCol w:w="1020"/>
              <w:gridCol w:w="810"/>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31" w:type="pc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546" w:type="pc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项目</w:t>
                  </w:r>
                </w:p>
              </w:tc>
              <w:tc>
                <w:tcPr>
                  <w:tcW w:w="1208" w:type="pc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平均时间</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浓度限值</w:t>
                  </w:r>
                </w:p>
              </w:tc>
              <w:tc>
                <w:tcPr>
                  <w:tcW w:w="520" w:type="pct"/>
                  <w:noWrap w:val="0"/>
                  <w:vAlign w:val="center"/>
                </w:tcPr>
                <w:p>
                  <w:pPr>
                    <w:pStyle w:val="26"/>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单位</w:t>
                  </w:r>
                </w:p>
              </w:tc>
              <w:tc>
                <w:tcPr>
                  <w:tcW w:w="1638" w:type="pct"/>
                  <w:noWrap w:val="0"/>
                  <w:vAlign w:val="center"/>
                </w:tcPr>
                <w:p>
                  <w:pPr>
                    <w:pStyle w:val="26"/>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54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52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µg/m</w:t>
                  </w:r>
                  <w:r>
                    <w:rPr>
                      <w:rFonts w:hint="default" w:ascii="Times New Roman" w:hAnsi="Times New Roman" w:eastAsia="宋体" w:cs="Times New Roman"/>
                      <w:szCs w:val="21"/>
                      <w:vertAlign w:val="superscript"/>
                    </w:rPr>
                    <w:t>3</w:t>
                  </w:r>
                </w:p>
              </w:tc>
              <w:tc>
                <w:tcPr>
                  <w:tcW w:w="163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54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10</w:t>
                  </w: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54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2.5</w:t>
                  </w: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54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2</w:t>
                  </w: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54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O</w:t>
                  </w:r>
                  <w:r>
                    <w:rPr>
                      <w:rFonts w:hint="default" w:ascii="Times New Roman" w:hAnsi="Times New Roman" w:eastAsia="宋体" w:cs="Times New Roman"/>
                      <w:szCs w:val="21"/>
                      <w:vertAlign w:val="subscript"/>
                    </w:rPr>
                    <w:t>3</w:t>
                  </w: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日最大8小时平均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w:t>
                  </w:r>
                </w:p>
              </w:tc>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54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CO</w:t>
                  </w: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52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54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208"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noWrap w:val="0"/>
                  <w:vAlign w:val="center"/>
                </w:tcPr>
                <w:p>
                  <w:pPr>
                    <w:keepNext w:val="0"/>
                    <w:keepLines w:val="0"/>
                    <w:pageBreakBefore w:val="0"/>
                    <w:widowControl w:val="0"/>
                    <w:kinsoku/>
                    <w:wordWrap/>
                    <w:overflowPunct/>
                    <w:topLinePunct w:val="0"/>
                    <w:autoSpaceDE/>
                    <w:autoSpaceDN/>
                    <w:bidi w:val="0"/>
                    <w:adjustRightInd/>
                    <w:spacing w:line="288" w:lineRule="auto"/>
                    <w:jc w:val="center"/>
                    <w:textAlignment w:val="auto"/>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7</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szCs w:val="21"/>
                      <w:highlight w:val="yellow"/>
                    </w:rPr>
                  </w:pPr>
                  <w:r>
                    <w:rPr>
                      <w:rFonts w:hint="default" w:ascii="Times New Roman" w:hAnsi="Times New Roman" w:eastAsia="宋体" w:cs="Times New Roman"/>
                      <w:color w:val="auto"/>
                      <w:sz w:val="21"/>
                      <w:szCs w:val="21"/>
                    </w:rPr>
                    <w:t>氨</w:t>
                  </w:r>
                </w:p>
              </w:tc>
              <w:tc>
                <w:tcPr>
                  <w:tcW w:w="120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sz w:val="21"/>
                      <w:szCs w:val="21"/>
                      <w:highlight w:val="yellow"/>
                    </w:rPr>
                  </w:pPr>
                  <w:r>
                    <w:rPr>
                      <w:rFonts w:hint="default" w:ascii="Times New Roman" w:hAnsi="Times New Roman" w:eastAsia="宋体" w:cs="Times New Roman"/>
                      <w:color w:val="auto"/>
                      <w:sz w:val="21"/>
                      <w:szCs w:val="21"/>
                      <w:lang w:val="en-US" w:eastAsia="zh-CN"/>
                    </w:rPr>
                    <w:t>1小时平均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sz w:val="21"/>
                      <w:szCs w:val="21"/>
                      <w:highlight w:val="yellow"/>
                    </w:rPr>
                  </w:pPr>
                  <w:r>
                    <w:rPr>
                      <w:rFonts w:hint="default" w:ascii="Times New Roman" w:hAnsi="Times New Roman" w:eastAsia="宋体" w:cs="Times New Roman"/>
                      <w:color w:val="auto"/>
                      <w:spacing w:val="0"/>
                      <w:kern w:val="0"/>
                      <w:sz w:val="21"/>
                      <w:szCs w:val="21"/>
                      <w:lang w:val="en-US" w:eastAsia="zh-CN"/>
                    </w:rPr>
                    <w:t>200</w:t>
                  </w:r>
                </w:p>
              </w:tc>
              <w:tc>
                <w:tcPr>
                  <w:tcW w:w="520" w:type="pct"/>
                  <w:vMerge w:val="restart"/>
                  <w:noWrap w:val="0"/>
                  <w:vAlign w:val="center"/>
                </w:tcPr>
                <w:p>
                  <w:pPr>
                    <w:keepNext w:val="0"/>
                    <w:keepLines w:val="0"/>
                    <w:pageBreakBefore w:val="0"/>
                    <w:widowControl w:val="0"/>
                    <w:kinsoku/>
                    <w:wordWrap/>
                    <w:overflowPunct/>
                    <w:topLinePunct w:val="0"/>
                    <w:autoSpaceDE/>
                    <w:autoSpaceDN/>
                    <w:bidi w:val="0"/>
                    <w:adjustRightInd/>
                    <w:spacing w:line="288"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63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《环境影响评价技术导则  大气环境》（HJ2.2-2018）附录D标准限值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1" w:type="pct"/>
                  <w:noWrap w:val="0"/>
                  <w:vAlign w:val="center"/>
                </w:tcPr>
                <w:p>
                  <w:pPr>
                    <w:keepNext w:val="0"/>
                    <w:keepLines w:val="0"/>
                    <w:pageBreakBefore w:val="0"/>
                    <w:widowControl w:val="0"/>
                    <w:kinsoku/>
                    <w:wordWrap/>
                    <w:overflowPunct/>
                    <w:topLinePunct w:val="0"/>
                    <w:autoSpaceDE/>
                    <w:autoSpaceDN/>
                    <w:bidi w:val="0"/>
                    <w:adjustRightInd/>
                    <w:spacing w:line="288" w:lineRule="auto"/>
                    <w:jc w:val="center"/>
                    <w:textAlignment w:val="auto"/>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8</w:t>
                  </w:r>
                </w:p>
              </w:tc>
              <w:tc>
                <w:tcPr>
                  <w:tcW w:w="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szCs w:val="21"/>
                      <w:highlight w:val="yellow"/>
                    </w:rPr>
                  </w:pPr>
                  <w:r>
                    <w:rPr>
                      <w:rFonts w:hint="default" w:ascii="Times New Roman" w:hAnsi="Times New Roman" w:eastAsia="宋体" w:cs="Times New Roman"/>
                      <w:color w:val="auto"/>
                      <w:sz w:val="21"/>
                      <w:szCs w:val="21"/>
                    </w:rPr>
                    <w:t>硫化氢</w:t>
                  </w:r>
                </w:p>
              </w:tc>
              <w:tc>
                <w:tcPr>
                  <w:tcW w:w="120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sz w:val="21"/>
                      <w:szCs w:val="21"/>
                      <w:highlight w:val="yellow"/>
                    </w:rPr>
                  </w:pPr>
                  <w:r>
                    <w:rPr>
                      <w:rFonts w:hint="default" w:ascii="Times New Roman" w:hAnsi="Times New Roman" w:eastAsia="宋体" w:cs="Times New Roman"/>
                      <w:color w:val="auto"/>
                      <w:sz w:val="21"/>
                      <w:szCs w:val="21"/>
                      <w:lang w:val="en-US" w:eastAsia="zh-CN"/>
                    </w:rPr>
                    <w:t>1小时平均</w:t>
                  </w:r>
                </w:p>
              </w:tc>
              <w:tc>
                <w:tcPr>
                  <w:tcW w:w="655" w:type="pct"/>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outlineLvl w:val="9"/>
                    <w:rPr>
                      <w:rFonts w:hint="default" w:ascii="Times New Roman" w:hAnsi="Times New Roman" w:eastAsia="宋体" w:cs="Times New Roman"/>
                      <w:sz w:val="21"/>
                      <w:szCs w:val="21"/>
                      <w:highlight w:val="yellow"/>
                    </w:rPr>
                  </w:pPr>
                  <w:r>
                    <w:rPr>
                      <w:rFonts w:hint="default" w:ascii="Times New Roman" w:hAnsi="Times New Roman" w:eastAsia="宋体" w:cs="Times New Roman"/>
                      <w:color w:val="auto"/>
                      <w:spacing w:val="0"/>
                      <w:kern w:val="0"/>
                      <w:sz w:val="21"/>
                      <w:szCs w:val="21"/>
                    </w:rPr>
                    <w:t>1</w:t>
                  </w:r>
                  <w:r>
                    <w:rPr>
                      <w:rFonts w:hint="default" w:ascii="Times New Roman" w:hAnsi="Times New Roman" w:eastAsia="宋体" w:cs="Times New Roman"/>
                      <w:color w:val="auto"/>
                      <w:spacing w:val="0"/>
                      <w:kern w:val="0"/>
                      <w:sz w:val="21"/>
                      <w:szCs w:val="21"/>
                      <w:lang w:val="en-US" w:eastAsia="zh-CN"/>
                    </w:rPr>
                    <w:t>0</w:t>
                  </w:r>
                </w:p>
              </w:tc>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c>
                <w:tcPr>
                  <w:tcW w:w="16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default" w:ascii="Times New Roman" w:hAnsi="Times New Roman" w:eastAsia="宋体" w:cs="Times New Roman"/>
                      <w:szCs w:val="21"/>
                    </w:rPr>
                  </w:pPr>
                </w:p>
              </w:tc>
            </w:tr>
          </w:tbl>
          <w:p>
            <w:pPr>
              <w:pStyle w:val="80"/>
              <w:spacing w:line="360" w:lineRule="auto"/>
              <w:ind w:firstLine="480" w:firstLineChars="200"/>
              <w:jc w:val="left"/>
              <w:rPr>
                <w:rFonts w:hint="default" w:ascii="Times New Roman" w:hAnsi="Times New Roman" w:eastAsia="宋体" w:cs="Times New Roman"/>
                <w:sz w:val="24"/>
                <w:szCs w:val="22"/>
              </w:rPr>
            </w:pPr>
            <w:r>
              <w:rPr>
                <w:rFonts w:hint="default" w:ascii="Times New Roman" w:hAnsi="Times New Roman" w:eastAsia="宋体" w:cs="Times New Roman"/>
                <w:sz w:val="24"/>
                <w:szCs w:val="22"/>
                <w:lang w:val="en-US" w:eastAsia="zh-CN"/>
              </w:rPr>
              <w:t>2</w:t>
            </w:r>
            <w:r>
              <w:rPr>
                <w:rFonts w:hint="default" w:ascii="Times New Roman" w:hAnsi="Times New Roman" w:eastAsia="宋体" w:cs="Times New Roman"/>
                <w:sz w:val="24"/>
                <w:szCs w:val="22"/>
              </w:rPr>
              <w:t>、声环境：厂界噪声执行《声环境质量标准》(GB3096-2008)</w:t>
            </w:r>
            <w:r>
              <w:rPr>
                <w:rFonts w:hint="default" w:ascii="Times New Roman" w:hAnsi="Times New Roman" w:eastAsia="宋体" w:cs="Times New Roman"/>
                <w:sz w:val="24"/>
                <w:szCs w:val="22"/>
                <w:lang w:val="en-US" w:eastAsia="zh-CN"/>
              </w:rPr>
              <w:t>2</w:t>
            </w:r>
            <w:r>
              <w:rPr>
                <w:rFonts w:hint="default" w:ascii="Times New Roman" w:hAnsi="Times New Roman" w:eastAsia="宋体" w:cs="Times New Roman"/>
                <w:sz w:val="24"/>
                <w:szCs w:val="22"/>
              </w:rPr>
              <w:t>类标准。</w:t>
            </w:r>
          </w:p>
          <w:p>
            <w:pPr>
              <w:pStyle w:val="80"/>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表1</w:t>
            </w:r>
            <w:r>
              <w:rPr>
                <w:rFonts w:hint="default" w:ascii="Times New Roman" w:hAnsi="Times New Roman" w:eastAsia="宋体" w:cs="Times New Roman"/>
                <w:b/>
                <w:bCs/>
                <w:sz w:val="24"/>
                <w:szCs w:val="24"/>
                <w:lang w:val="en-US" w:eastAsia="zh-CN"/>
              </w:rPr>
              <w:t xml:space="preserve">5 </w:t>
            </w:r>
            <w:r>
              <w:rPr>
                <w:rFonts w:hint="default" w:ascii="Times New Roman" w:hAnsi="Times New Roman" w:eastAsia="宋体" w:cs="Times New Roman"/>
                <w:b/>
                <w:bCs/>
                <w:sz w:val="24"/>
                <w:szCs w:val="24"/>
              </w:rPr>
              <w:t xml:space="preserve"> 《声环境质量标准》(GB3096-2008)</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3066"/>
              <w:gridCol w:w="1617"/>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声环境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功能区类别</w:t>
                  </w:r>
                </w:p>
              </w:tc>
              <w:tc>
                <w:tcPr>
                  <w:tcW w:w="19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适用区域</w:t>
                  </w:r>
                </w:p>
              </w:tc>
              <w:tc>
                <w:tcPr>
                  <w:tcW w:w="10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昼 间</w:t>
                  </w: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1968" w:type="pct"/>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p>
              </w:tc>
              <w:tc>
                <w:tcPr>
                  <w:tcW w:w="1038"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Leq[dB(A)]</w:t>
                  </w:r>
                </w:p>
              </w:tc>
              <w:tc>
                <w:tcPr>
                  <w:tcW w:w="1122"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2</w:t>
                  </w:r>
                </w:p>
              </w:tc>
              <w:tc>
                <w:tcPr>
                  <w:tcW w:w="1968"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rPr>
                  </w:pPr>
                  <w:r>
                    <w:rPr>
                      <w:rFonts w:hint="default" w:ascii="Times New Roman" w:hAnsi="Times New Roman" w:eastAsia="宋体" w:cs="Times New Roman"/>
                    </w:rPr>
                    <w:t>居住、商业、工业混合区</w:t>
                  </w:r>
                </w:p>
              </w:tc>
              <w:tc>
                <w:tcPr>
                  <w:tcW w:w="1038"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rPr>
                    <w:t>6</w:t>
                  </w:r>
                  <w:r>
                    <w:rPr>
                      <w:rFonts w:hint="default" w:ascii="Times New Roman" w:hAnsi="Times New Roman" w:eastAsia="宋体" w:cs="Times New Roman"/>
                      <w:lang w:val="en-US" w:eastAsia="zh-CN"/>
                    </w:rPr>
                    <w:t>0</w:t>
                  </w:r>
                </w:p>
              </w:tc>
              <w:tc>
                <w:tcPr>
                  <w:tcW w:w="1122"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rPr>
                    <w:t>5</w:t>
                  </w:r>
                  <w:r>
                    <w:rPr>
                      <w:rFonts w:hint="default" w:ascii="Times New Roman" w:hAnsi="Times New Roman" w:eastAsia="宋体" w:cs="Times New Roman"/>
                      <w:lang w:val="en-US" w:eastAsia="zh-CN"/>
                    </w:rPr>
                    <w:t>0</w:t>
                  </w:r>
                </w:p>
              </w:tc>
            </w:tr>
          </w:tbl>
          <w:p>
            <w:pPr>
              <w:spacing w:before="156" w:beforeLines="50" w:line="360" w:lineRule="auto"/>
              <w:ind w:firstLine="480" w:firstLineChars="200"/>
              <w:rPr>
                <w:rFonts w:hint="eastAsia" w:ascii="宋体" w:hAnsi="宋体" w:eastAsia="宋体" w:cs="宋体"/>
                <w:color w:val="auto"/>
                <w:sz w:val="24"/>
                <w:szCs w:val="24"/>
                <w:lang w:val="en-US" w:eastAsia="zh-CN"/>
              </w:rPr>
            </w:pPr>
            <w:r>
              <w:rPr>
                <w:rFonts w:hint="default" w:ascii="Times New Roman" w:hAnsi="Times New Roman" w:eastAsia="宋体" w:cs="Times New Roman"/>
                <w:sz w:val="24"/>
                <w:szCs w:val="22"/>
                <w:lang w:val="en-US" w:eastAsia="zh-CN"/>
              </w:rPr>
              <w:t>3</w:t>
            </w:r>
            <w:r>
              <w:rPr>
                <w:rFonts w:hint="default" w:ascii="Times New Roman" w:hAnsi="Times New Roman" w:eastAsia="宋体" w:cs="Times New Roman"/>
                <w:sz w:val="24"/>
                <w:szCs w:val="22"/>
              </w:rPr>
              <w:t>、</w:t>
            </w:r>
            <w:r>
              <w:rPr>
                <w:rFonts w:hint="default" w:ascii="Times New Roman" w:hAnsi="Times New Roman" w:eastAsia="宋体" w:cs="Times New Roman"/>
                <w:sz w:val="24"/>
                <w:szCs w:val="24"/>
                <w:lang w:val="en-US" w:eastAsia="zh-CN"/>
              </w:rPr>
              <w:t>地表水：九支渠执行</w:t>
            </w:r>
            <w:r>
              <w:rPr>
                <w:rFonts w:hint="default" w:ascii="Times New Roman" w:hAnsi="Times New Roman" w:eastAsia="宋体" w:cs="Times New Roman"/>
                <w:sz w:val="24"/>
                <w:szCs w:val="24"/>
              </w:rPr>
              <w:t>《地表水环境质量标准》（GB3838-2002）Ⅴ类水质</w:t>
            </w:r>
            <w:r>
              <w:rPr>
                <w:rFonts w:hint="default" w:ascii="Times New Roman" w:hAnsi="Times New Roman" w:eastAsia="宋体" w:cs="Times New Roman"/>
                <w:sz w:val="24"/>
                <w:szCs w:val="24"/>
                <w:lang w:eastAsia="zh-CN"/>
              </w:rPr>
              <w:t>标准要求。</w:t>
            </w:r>
          </w:p>
          <w:p>
            <w:pPr>
              <w:spacing w:line="360" w:lineRule="auto"/>
              <w:jc w:val="center"/>
              <w:rPr>
                <w:rFonts w:hint="default" w:ascii="Times New Roman" w:hAnsi="Times New Roman" w:eastAsia="宋体" w:cs="Times New Roman"/>
                <w:b/>
                <w:bCs w:val="0"/>
                <w:color w:val="auto"/>
                <w:sz w:val="24"/>
                <w:szCs w:val="24"/>
                <w:highlight w:val="none"/>
              </w:rPr>
            </w:pPr>
            <w:r>
              <w:rPr>
                <w:rFonts w:hint="eastAsia" w:ascii="宋体" w:hAnsi="宋体" w:eastAsia="宋体" w:cs="宋体"/>
                <w:b/>
                <w:bCs w:val="0"/>
                <w:color w:val="auto"/>
                <w:sz w:val="24"/>
                <w:szCs w:val="24"/>
                <w:highlight w:val="none"/>
              </w:rPr>
              <w:t>表</w:t>
            </w:r>
            <w:r>
              <w:rPr>
                <w:rFonts w:hint="eastAsia" w:ascii="宋体" w:hAnsi="宋体" w:eastAsia="宋体" w:cs="宋体"/>
                <w:b/>
                <w:bCs w:val="0"/>
                <w:color w:val="auto"/>
                <w:sz w:val="24"/>
                <w:szCs w:val="24"/>
                <w:highlight w:val="none"/>
                <w:lang w:val="en-US" w:eastAsia="zh-CN"/>
              </w:rPr>
              <w:t>14</w:t>
            </w:r>
            <w:r>
              <w:rPr>
                <w:rFonts w:hint="eastAsia" w:ascii="宋体" w:hAnsi="宋体" w:eastAsia="宋体" w:cs="宋体"/>
                <w:b/>
                <w:bCs w:val="0"/>
                <w:color w:val="auto"/>
                <w:sz w:val="24"/>
                <w:szCs w:val="24"/>
                <w:highlight w:val="none"/>
              </w:rPr>
              <w:t xml:space="preserve"> </w:t>
            </w:r>
            <w:r>
              <w:rPr>
                <w:rFonts w:hint="default" w:ascii="Times New Roman" w:hAnsi="Times New Roman" w:eastAsia="宋体" w:cs="Times New Roman"/>
                <w:b/>
                <w:bCs w:val="0"/>
                <w:color w:val="auto"/>
                <w:sz w:val="24"/>
                <w:szCs w:val="24"/>
                <w:highlight w:val="none"/>
              </w:rPr>
              <w:t xml:space="preserve"> </w:t>
            </w:r>
            <w:r>
              <w:rPr>
                <w:rFonts w:hint="default" w:ascii="Times New Roman" w:hAnsi="Times New Roman" w:eastAsia="宋体" w:cs="Times New Roman"/>
                <w:b/>
                <w:bCs w:val="0"/>
                <w:color w:val="auto"/>
                <w:sz w:val="24"/>
                <w:szCs w:val="24"/>
                <w:highlight w:val="none"/>
                <w:lang w:val="en-US" w:eastAsia="zh-CN"/>
              </w:rPr>
              <w:t>地表水</w:t>
            </w:r>
            <w:r>
              <w:rPr>
                <w:rFonts w:hint="default" w:ascii="Times New Roman" w:hAnsi="Times New Roman" w:eastAsia="宋体" w:cs="Times New Roman"/>
                <w:b/>
                <w:bCs w:val="0"/>
                <w:color w:val="auto"/>
                <w:sz w:val="24"/>
                <w:szCs w:val="24"/>
                <w:highlight w:val="none"/>
              </w:rPr>
              <w:t>环境质量评价标准</w:t>
            </w:r>
          </w:p>
          <w:tbl>
            <w:tblPr>
              <w:tblStyle w:val="47"/>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6"/>
              <w:gridCol w:w="1800"/>
              <w:gridCol w:w="1972"/>
              <w:gridCol w:w="989"/>
              <w:gridCol w:w="23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4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类别</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标准值</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单位</w:t>
                  </w:r>
                </w:p>
              </w:tc>
              <w:tc>
                <w:tcPr>
                  <w:tcW w:w="15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43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pH</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6~9</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无量纲</w:t>
                  </w:r>
                </w:p>
              </w:tc>
              <w:tc>
                <w:tcPr>
                  <w:tcW w:w="150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《地表水环境质量标准》（GB3838-2002）Ⅴ类水质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4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溶解氧</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6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mg/L</w:t>
                  </w:r>
                </w:p>
              </w:tc>
              <w:tc>
                <w:tcPr>
                  <w:tcW w:w="15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4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高锰酸盐指数</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w:t>
                  </w:r>
                </w:p>
              </w:tc>
              <w:tc>
                <w:tcPr>
                  <w:tcW w:w="6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p>
              </w:tc>
              <w:tc>
                <w:tcPr>
                  <w:tcW w:w="15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4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w:t>
                  </w:r>
                </w:p>
              </w:tc>
              <w:tc>
                <w:tcPr>
                  <w:tcW w:w="6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c>
                <w:tcPr>
                  <w:tcW w:w="15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4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BOD</w:t>
                  </w:r>
                  <w:r>
                    <w:rPr>
                      <w:rFonts w:hint="default" w:ascii="Times New Roman" w:hAnsi="Times New Roman" w:eastAsia="宋体" w:cs="Times New Roman"/>
                      <w:color w:val="auto"/>
                      <w:szCs w:val="21"/>
                      <w:highlight w:val="none"/>
                      <w:vertAlign w:val="subscript"/>
                    </w:rPr>
                    <w:t>5</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6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p>
              </w:tc>
              <w:tc>
                <w:tcPr>
                  <w:tcW w:w="15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4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p>
              </w:tc>
              <w:tc>
                <w:tcPr>
                  <w:tcW w:w="6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p>
              </w:tc>
              <w:tc>
                <w:tcPr>
                  <w:tcW w:w="15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4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总磷</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0.4</w:t>
                  </w:r>
                </w:p>
              </w:tc>
              <w:tc>
                <w:tcPr>
                  <w:tcW w:w="6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p>
              </w:tc>
              <w:tc>
                <w:tcPr>
                  <w:tcW w:w="15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4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总氮</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w:t>
                  </w:r>
                </w:p>
              </w:tc>
              <w:tc>
                <w:tcPr>
                  <w:tcW w:w="6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p>
              </w:tc>
              <w:tc>
                <w:tcPr>
                  <w:tcW w:w="15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4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粪大肠菌群</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40000</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个/L</w:t>
                  </w:r>
                </w:p>
              </w:tc>
              <w:tc>
                <w:tcPr>
                  <w:tcW w:w="15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color w:val="0000FF"/>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lang w:val="en-US" w:eastAsia="zh-CN"/>
              </w:rPr>
              <w:t>4、</w:t>
            </w:r>
            <w:r>
              <w:rPr>
                <w:rFonts w:hint="default" w:ascii="Times New Roman" w:hAnsi="Times New Roman" w:eastAsia="宋体" w:cs="Times New Roman"/>
                <w:sz w:val="24"/>
                <w:szCs w:val="22"/>
              </w:rPr>
              <w:t>地下水：执行《地下水质量标准》（GB/T14848-2017）Ⅲ类标准。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sz w:val="24"/>
                <w:szCs w:val="18"/>
              </w:rPr>
            </w:pPr>
            <w:r>
              <w:rPr>
                <w:rFonts w:hint="default" w:ascii="Times New Roman" w:hAnsi="Times New Roman" w:eastAsia="宋体" w:cs="Times New Roman"/>
                <w:b/>
                <w:bCs/>
                <w:sz w:val="24"/>
                <w:szCs w:val="18"/>
              </w:rPr>
              <w:t>表</w:t>
            </w:r>
            <w:r>
              <w:rPr>
                <w:rFonts w:hint="default" w:ascii="Times New Roman" w:hAnsi="Times New Roman" w:eastAsia="宋体" w:cs="Times New Roman"/>
                <w:b/>
                <w:bCs/>
                <w:sz w:val="24"/>
                <w:szCs w:val="18"/>
                <w:lang w:val="en-US" w:eastAsia="zh-CN"/>
              </w:rPr>
              <w:t>16</w:t>
            </w:r>
            <w:r>
              <w:rPr>
                <w:rFonts w:hint="default" w:ascii="Times New Roman" w:hAnsi="Times New Roman" w:eastAsia="宋体" w:cs="Times New Roman"/>
                <w:b/>
                <w:bCs/>
                <w:sz w:val="24"/>
                <w:szCs w:val="18"/>
              </w:rPr>
              <w:t xml:space="preserve">  地下水环境质量标准</w:t>
            </w:r>
          </w:p>
          <w:tbl>
            <w:tblPr>
              <w:tblStyle w:val="4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2"/>
              <w:gridCol w:w="1684"/>
              <w:gridCol w:w="2142"/>
              <w:gridCol w:w="28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108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项目</w:t>
                  </w:r>
                </w:p>
              </w:tc>
              <w:tc>
                <w:tcPr>
                  <w:tcW w:w="137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标准值</w:t>
                  </w:r>
                </w:p>
              </w:tc>
              <w:tc>
                <w:tcPr>
                  <w:tcW w:w="1858"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082"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pH</w:t>
                  </w:r>
                </w:p>
              </w:tc>
              <w:tc>
                <w:tcPr>
                  <w:tcW w:w="1376"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6.5~8.5</w:t>
                  </w:r>
                </w:p>
              </w:tc>
              <w:tc>
                <w:tcPr>
                  <w:tcW w:w="1858" w:type="pct"/>
                  <w:vMerge w:val="restar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GB/T14848-2017《地下水环境质量标准》</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 3 \* ROMAN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III</w:t>
                  </w:r>
                  <w:r>
                    <w:rPr>
                      <w:rFonts w:hint="default" w:ascii="Times New Roman" w:hAnsi="Times New Roman" w:eastAsia="宋体" w:cs="Times New Roman"/>
                      <w:szCs w:val="21"/>
                    </w:rPr>
                    <w:fldChar w:fldCharType="end"/>
                  </w:r>
                  <w:r>
                    <w:rPr>
                      <w:rFonts w:hint="default" w:ascii="Times New Roman" w:hAnsi="Times New Roman" w:eastAsia="宋体" w:cs="Times New Roman"/>
                      <w:szCs w:val="21"/>
                    </w:rPr>
                    <w:t>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耗氧量</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3.0mg/L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溶解性总固体</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1000mg/L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总硬度</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40mg/L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color w:val="000000"/>
                      <w:szCs w:val="21"/>
                    </w:rPr>
                    <w:t>氨氮</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0.5mg/L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highlight w:val="yellow"/>
                    </w:rPr>
                  </w:pPr>
                  <w:r>
                    <w:rPr>
                      <w:rFonts w:hint="default" w:ascii="Times New Roman" w:hAnsi="Times New Roman" w:eastAsia="宋体" w:cs="Times New Roman"/>
                      <w:color w:val="000000"/>
                      <w:szCs w:val="21"/>
                    </w:rPr>
                    <w:t>硝酸盐氮</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color w:val="000000"/>
                      <w:szCs w:val="21"/>
                    </w:rPr>
                    <w:t>20</w:t>
                  </w:r>
                  <w:r>
                    <w:rPr>
                      <w:rFonts w:hint="default" w:ascii="Times New Roman" w:hAnsi="Times New Roman" w:eastAsia="宋体" w:cs="Times New Roman"/>
                      <w:szCs w:val="21"/>
                    </w:rPr>
                    <w:t>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highlight w:val="yellow"/>
                    </w:rPr>
                  </w:pPr>
                  <w:r>
                    <w:rPr>
                      <w:rFonts w:hint="default" w:ascii="Times New Roman" w:hAnsi="Times New Roman" w:eastAsia="宋体" w:cs="Times New Roman"/>
                      <w:szCs w:val="21"/>
                    </w:rPr>
                    <w:t>亚硝酸盐氮</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color w:val="000000"/>
                      <w:szCs w:val="21"/>
                    </w:rPr>
                    <w:t>1.0</w:t>
                  </w:r>
                  <w:r>
                    <w:rPr>
                      <w:rFonts w:hint="default" w:ascii="Times New Roman" w:hAnsi="Times New Roman" w:eastAsia="宋体" w:cs="Times New Roman"/>
                      <w:szCs w:val="21"/>
                    </w:rPr>
                    <w:t>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highlight w:val="yellow"/>
                    </w:rPr>
                  </w:pPr>
                  <w:r>
                    <w:rPr>
                      <w:rFonts w:hint="default" w:ascii="Times New Roman" w:hAnsi="Times New Roman" w:eastAsia="宋体" w:cs="Times New Roman"/>
                      <w:color w:val="000000"/>
                      <w:szCs w:val="21"/>
                    </w:rPr>
                    <w:t>硫酸盐</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color w:val="000000"/>
                      <w:szCs w:val="21"/>
                    </w:rPr>
                    <w:t>250</w:t>
                  </w:r>
                  <w:r>
                    <w:rPr>
                      <w:rFonts w:hint="default" w:ascii="Times New Roman" w:hAnsi="Times New Roman" w:eastAsia="宋体" w:cs="Times New Roman"/>
                      <w:szCs w:val="21"/>
                    </w:rPr>
                    <w:t>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highlight w:val="yellow"/>
                    </w:rPr>
                  </w:pPr>
                  <w:r>
                    <w:rPr>
                      <w:rFonts w:hint="default" w:ascii="Times New Roman" w:hAnsi="Times New Roman" w:eastAsia="宋体" w:cs="Times New Roman"/>
                      <w:color w:val="000000"/>
                      <w:szCs w:val="21"/>
                    </w:rPr>
                    <w:t>氯化物</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color w:val="000000"/>
                      <w:szCs w:val="21"/>
                    </w:rPr>
                    <w:t>250</w:t>
                  </w:r>
                  <w:r>
                    <w:rPr>
                      <w:rFonts w:hint="default" w:ascii="Times New Roman" w:hAnsi="Times New Roman" w:eastAsia="宋体" w:cs="Times New Roman"/>
                      <w:szCs w:val="21"/>
                    </w:rPr>
                    <w:t>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color w:val="000000"/>
                      <w:szCs w:val="21"/>
                    </w:rPr>
                    <w:t>氟化物</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color w:val="000000"/>
                      <w:szCs w:val="21"/>
                    </w:rPr>
                    <w:t>1.0</w:t>
                  </w:r>
                  <w:r>
                    <w:rPr>
                      <w:rFonts w:hint="default" w:ascii="Times New Roman" w:hAnsi="Times New Roman" w:eastAsia="宋体" w:cs="Times New Roman"/>
                      <w:szCs w:val="21"/>
                    </w:rPr>
                    <w:t>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color w:val="000000"/>
                      <w:szCs w:val="21"/>
                    </w:rPr>
                    <w:t>挥发酚</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color w:val="000000"/>
                      <w:szCs w:val="21"/>
                    </w:rPr>
                    <w:t>0.002</w:t>
                  </w:r>
                  <w:r>
                    <w:rPr>
                      <w:rFonts w:hint="default" w:ascii="Times New Roman" w:hAnsi="Times New Roman" w:eastAsia="宋体" w:cs="Times New Roman"/>
                      <w:szCs w:val="21"/>
                    </w:rPr>
                    <w:t>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氰化物</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0.05mg/L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13</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highlight w:val="yellow"/>
                    </w:rPr>
                  </w:pPr>
                  <w:r>
                    <w:rPr>
                      <w:rFonts w:hint="default" w:ascii="Times New Roman" w:hAnsi="Times New Roman" w:eastAsia="宋体" w:cs="Times New Roman"/>
                      <w:color w:val="000000"/>
                      <w:szCs w:val="21"/>
                    </w:rPr>
                    <w:t>汞</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0.001mg/L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14</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highlight w:val="yellow"/>
                    </w:rPr>
                  </w:pPr>
                  <w:r>
                    <w:rPr>
                      <w:rFonts w:hint="default" w:ascii="Times New Roman" w:hAnsi="Times New Roman" w:eastAsia="宋体" w:cs="Times New Roman"/>
                      <w:color w:val="000000"/>
                      <w:szCs w:val="21"/>
                    </w:rPr>
                    <w:t>镉</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0.005mg/L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15</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highlight w:val="yellow"/>
                    </w:rPr>
                  </w:pPr>
                  <w:r>
                    <w:rPr>
                      <w:rFonts w:hint="default" w:ascii="Times New Roman" w:hAnsi="Times New Roman" w:eastAsia="宋体" w:cs="Times New Roman"/>
                      <w:color w:val="000000"/>
                      <w:szCs w:val="21"/>
                    </w:rPr>
                    <w:t>铅</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0.01mg/L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16</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color w:val="000000"/>
                      <w:szCs w:val="21"/>
                    </w:rPr>
                    <w:t>砷</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0.01mg/L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17</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CO</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vertAlign w:val="superscript"/>
                    </w:rPr>
                    <w:t>2-</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1.0mg/L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18</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HCO</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vertAlign w:val="superscript"/>
                    </w:rPr>
                    <w:t>-</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1.0mg/L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19</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highlight w:val="yellow"/>
                    </w:rPr>
                  </w:pPr>
                  <w:r>
                    <w:rPr>
                      <w:rFonts w:hint="default" w:ascii="Times New Roman" w:hAnsi="Times New Roman" w:eastAsia="宋体" w:cs="Times New Roman"/>
                      <w:color w:val="000000"/>
                      <w:szCs w:val="21"/>
                    </w:rPr>
                    <w:t>钠</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200g/L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六价铬</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0.05mg/L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21</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highlight w:val="yellow"/>
                    </w:rPr>
                  </w:pPr>
                  <w:r>
                    <w:rPr>
                      <w:rFonts w:hint="default" w:ascii="Times New Roman" w:hAnsi="Times New Roman" w:eastAsia="宋体" w:cs="Times New Roman"/>
                      <w:color w:val="000000"/>
                      <w:szCs w:val="21"/>
                    </w:rPr>
                    <w:t>铁</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0.3mg/L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22</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highlight w:val="yellow"/>
                    </w:rPr>
                  </w:pPr>
                  <w:r>
                    <w:rPr>
                      <w:rFonts w:hint="default" w:ascii="Times New Roman" w:hAnsi="Times New Roman" w:eastAsia="宋体" w:cs="Times New Roman"/>
                      <w:color w:val="000000"/>
                      <w:szCs w:val="21"/>
                    </w:rPr>
                    <w:t>锰</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szCs w:val="21"/>
                    </w:rPr>
                  </w:pPr>
                  <w:r>
                    <w:rPr>
                      <w:rFonts w:hint="default" w:ascii="Times New Roman" w:hAnsi="Times New Roman" w:eastAsia="宋体" w:cs="Times New Roman"/>
                      <w:szCs w:val="21"/>
                    </w:rPr>
                    <w:t>0.10mg/L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23</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highlight w:val="yellow"/>
                    </w:rPr>
                  </w:pPr>
                  <w:r>
                    <w:rPr>
                      <w:rFonts w:hint="default" w:ascii="Times New Roman" w:hAnsi="Times New Roman" w:eastAsia="宋体" w:cs="Times New Roman"/>
                      <w:color w:val="000000"/>
                      <w:szCs w:val="21"/>
                    </w:rPr>
                    <w:t>总大肠菌群</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3.0CFU/100mL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24</w:t>
                  </w:r>
                </w:p>
              </w:tc>
              <w:tc>
                <w:tcPr>
                  <w:tcW w:w="1082"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Cs w:val="21"/>
                      <w:highlight w:val="yellow"/>
                    </w:rPr>
                  </w:pPr>
                  <w:r>
                    <w:rPr>
                      <w:rFonts w:hint="default" w:ascii="Times New Roman" w:hAnsi="Times New Roman" w:eastAsia="宋体" w:cs="Times New Roman"/>
                      <w:color w:val="000000"/>
                      <w:szCs w:val="21"/>
                    </w:rPr>
                    <w:t>细菌总数</w:t>
                  </w:r>
                </w:p>
              </w:tc>
              <w:tc>
                <w:tcPr>
                  <w:tcW w:w="1376" w:type="pct"/>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100CFU/mL</w:t>
                  </w:r>
                </w:p>
              </w:tc>
              <w:tc>
                <w:tcPr>
                  <w:tcW w:w="1858"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Cs w:val="21"/>
                    </w:rPr>
                  </w:pPr>
                </w:p>
              </w:tc>
            </w:tr>
          </w:tbl>
          <w:p>
            <w:pPr>
              <w:pStyle w:val="8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、土壤：执行《土壤环境质量 建设用地土壤污染风险管控标准(试行)》(GB36600-2018)中表1第二类用地筛选值。</w:t>
            </w:r>
          </w:p>
          <w:p>
            <w:pPr>
              <w:pStyle w:val="80"/>
              <w:jc w:val="center"/>
              <w:rPr>
                <w:rFonts w:hint="default" w:ascii="Times New Roman" w:hAnsi="Times New Roman" w:eastAsia="宋体" w:cs="Times New Roman"/>
                <w:b/>
                <w:sz w:val="24"/>
              </w:rPr>
            </w:pPr>
          </w:p>
          <w:p>
            <w:pPr>
              <w:pStyle w:val="80"/>
              <w:jc w:val="center"/>
              <w:rPr>
                <w:rFonts w:hint="default" w:ascii="Times New Roman" w:hAnsi="Times New Roman" w:eastAsia="宋体" w:cs="Times New Roman"/>
                <w:b/>
                <w:sz w:val="24"/>
              </w:rPr>
            </w:pPr>
          </w:p>
          <w:p>
            <w:pPr>
              <w:pStyle w:val="80"/>
              <w:jc w:val="center"/>
              <w:rPr>
                <w:rFonts w:hint="default" w:ascii="Times New Roman" w:hAnsi="Times New Roman" w:eastAsia="宋体" w:cs="Times New Roman"/>
                <w:b/>
                <w:sz w:val="24"/>
              </w:rPr>
            </w:pPr>
            <w:r>
              <w:rPr>
                <w:rFonts w:hint="default" w:ascii="Times New Roman" w:hAnsi="Times New Roman" w:eastAsia="宋体" w:cs="Times New Roman"/>
                <w:b/>
                <w:sz w:val="24"/>
              </w:rPr>
              <w:t>表1</w:t>
            </w:r>
            <w:r>
              <w:rPr>
                <w:rFonts w:hint="default" w:ascii="Times New Roman" w:hAnsi="Times New Roman" w:eastAsia="宋体" w:cs="Times New Roman"/>
                <w:b/>
                <w:sz w:val="24"/>
                <w:lang w:val="en-US" w:eastAsia="zh-CN"/>
              </w:rPr>
              <w:t>7</w:t>
            </w:r>
            <w:r>
              <w:rPr>
                <w:rFonts w:hint="default" w:ascii="Times New Roman" w:hAnsi="Times New Roman" w:eastAsia="宋体" w:cs="Times New Roman"/>
                <w:b/>
                <w:sz w:val="24"/>
              </w:rPr>
              <w:t xml:space="preserve"> 土壤环境质量 建设用地土壤污染风险管控标准   单位：mg/kg</w:t>
            </w:r>
          </w:p>
          <w:tbl>
            <w:tblPr>
              <w:tblStyle w:val="4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212"/>
              <w:gridCol w:w="1177"/>
              <w:gridCol w:w="32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142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项目</w:t>
                  </w:r>
                </w:p>
              </w:tc>
              <w:tc>
                <w:tcPr>
                  <w:tcW w:w="756"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筛选值</w:t>
                  </w:r>
                </w:p>
              </w:tc>
              <w:tc>
                <w:tcPr>
                  <w:tcW w:w="2060"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421"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sz w:val="21"/>
                      <w:szCs w:val="21"/>
                    </w:rPr>
                    <w:t>汞</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38</w:t>
                  </w:r>
                </w:p>
              </w:tc>
              <w:tc>
                <w:tcPr>
                  <w:tcW w:w="2060" w:type="pct"/>
                  <w:vMerge w:val="restart"/>
                  <w:noWrap w:val="0"/>
                  <w:vAlign w:val="center"/>
                </w:tcPr>
                <w:p>
                  <w:pPr>
                    <w:adjustRightInd w:val="0"/>
                    <w:snapToGrid w:val="0"/>
                    <w:spacing w:line="240" w:lineRule="atLeast"/>
                    <w:ind w:firstLine="240"/>
                    <w:jc w:val="center"/>
                    <w:rPr>
                      <w:rFonts w:hint="default" w:ascii="Times New Roman" w:hAnsi="Times New Roman" w:eastAsia="宋体" w:cs="Times New Roman"/>
                      <w:szCs w:val="21"/>
                    </w:rPr>
                  </w:pPr>
                  <w:r>
                    <w:rPr>
                      <w:rFonts w:hint="default" w:ascii="Times New Roman" w:hAnsi="Times New Roman" w:eastAsia="宋体" w:cs="Times New Roman"/>
                      <w:szCs w:val="21"/>
                    </w:rPr>
                    <w:t>《土壤环境质量 建设用地土壤污染风险管控标准（试行）》（GB36600-2018）表1二类用地标准限值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421"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60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421"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镉</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65</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421"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铅</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800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421"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铜</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18000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421"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镍</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900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421"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铬（六价）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5.7</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4</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甲苯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1200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乙苯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28</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adjustRightInd w:val="0"/>
                    <w:snapToGrid w:val="0"/>
                    <w:spacing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间&amp;对-二甲苯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570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12</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苯乙烯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1290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13</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邻-二甲苯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640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14</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1，2-二氯丙烷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5</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15</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氯甲烷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37</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16</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氯乙烯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0.43</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17</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1，1-二氯乙烯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66</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18</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二氯甲烷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616</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19</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反-1，2-二氯乙烯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54</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20</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1，1-二氯乙烷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9</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21</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顺-1，2-二氯乙烯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596</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22</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1，1，1-三氯乙烷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840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23</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四氯化碳</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2.8</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24</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1，2-二氯乙烷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5</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25</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三氯乙烯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2.8</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26</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1，1，2-三氯乙烷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2.8</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27</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四氯乙烯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53</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28</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1，1，1，2-四氯乙烷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10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29</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1，1，2，2-四氯乙烷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6.8</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30</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1，2，3-三氯丙烷</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Cs w:val="21"/>
                    </w:rPr>
                  </w:pPr>
                  <w:r>
                    <w:rPr>
                      <w:rFonts w:hint="default" w:ascii="Times New Roman" w:hAnsi="Times New Roman" w:eastAsia="宋体" w:cs="Times New Roman"/>
                      <w:sz w:val="21"/>
                      <w:szCs w:val="21"/>
                    </w:rPr>
                    <w:t>0.5</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31</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氯苯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32</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氯仿</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33</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2-氯酚</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2256</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34</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萘</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35</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苯(a)蒽</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36</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䓛</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1293</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37</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苯并(b)荧蒽</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38</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苯并(k)荧蒽</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151</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39</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苯并(a)芘</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40</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茚并(1，2，3-cd)芘</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41</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硝基苯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76</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42</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1，4-二氯苯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2"/>
                      <w:lang w:bidi="ar"/>
                    </w:rPr>
                    <w:t>43</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1，2-二氯苯</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kern w:val="0"/>
                      <w:szCs w:val="22"/>
                      <w:lang w:bidi="ar"/>
                    </w:rPr>
                  </w:pPr>
                  <w:r>
                    <w:rPr>
                      <w:rFonts w:hint="default" w:ascii="Times New Roman" w:hAnsi="Times New Roman" w:eastAsia="宋体" w:cs="Times New Roman"/>
                      <w:color w:val="000000"/>
                      <w:kern w:val="0"/>
                      <w:szCs w:val="22"/>
                      <w:lang w:bidi="ar"/>
                    </w:rPr>
                    <w:t>44</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苯胺</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260</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76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color w:val="000000"/>
                      <w:kern w:val="0"/>
                      <w:szCs w:val="22"/>
                      <w:lang w:bidi="ar"/>
                    </w:rPr>
                  </w:pPr>
                  <w:r>
                    <w:rPr>
                      <w:rFonts w:hint="default" w:ascii="Times New Roman" w:hAnsi="Times New Roman" w:eastAsia="宋体" w:cs="Times New Roman"/>
                      <w:color w:val="000000"/>
                      <w:kern w:val="0"/>
                      <w:szCs w:val="22"/>
                      <w:lang w:bidi="ar"/>
                    </w:rPr>
                    <w:t>45</w:t>
                  </w:r>
                </w:p>
              </w:tc>
              <w:tc>
                <w:tcPr>
                  <w:tcW w:w="1421" w:type="pct"/>
                  <w:noWrap w:val="0"/>
                  <w:vAlign w:val="center"/>
                </w:tcPr>
                <w:p>
                  <w:pPr>
                    <w:widowControl/>
                    <w:adjustRightInd w:val="0"/>
                    <w:snapToGrid w:val="0"/>
                    <w:spacing w:line="240" w:lineRule="atLeast"/>
                    <w:jc w:val="center"/>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二苯并[a，h]蒽</w:t>
                  </w:r>
                </w:p>
              </w:tc>
              <w:tc>
                <w:tcPr>
                  <w:tcW w:w="756" w:type="pct"/>
                  <w:noWrap w:val="0"/>
                  <w:vAlign w:val="center"/>
                </w:tcPr>
                <w:p>
                  <w:pPr>
                    <w:pStyle w:val="43"/>
                    <w:adjustRightInd w:val="0"/>
                    <w:snapToGrid w:val="0"/>
                    <w:spacing w:before="0" w:beforeAutospacing="0" w:after="0" w:afterAutospacing="0" w:line="24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060" w:type="pct"/>
                  <w:vMerge w:val="continue"/>
                  <w:noWrap w:val="0"/>
                  <w:vAlign w:val="center"/>
                </w:tcPr>
                <w:p>
                  <w:pPr>
                    <w:adjustRightInd w:val="0"/>
                    <w:snapToGrid w:val="0"/>
                    <w:spacing w:line="240" w:lineRule="atLeast"/>
                    <w:jc w:val="center"/>
                    <w:rPr>
                      <w:rFonts w:hint="default" w:ascii="Times New Roman" w:hAnsi="Times New Roman" w:eastAsia="宋体" w:cs="Times New Roman"/>
                      <w:szCs w:val="21"/>
                    </w:rPr>
                  </w:pPr>
                </w:p>
              </w:tc>
            </w:tr>
          </w:tbl>
          <w:p>
            <w:pPr>
              <w:outlineLvl w:val="0"/>
              <w:rPr>
                <w:b/>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5" w:hRule="atLeast"/>
        </w:trPr>
        <w:tc>
          <w:tcPr>
            <w:tcW w:w="457" w:type="dxa"/>
            <w:tcBorders>
              <w:bottom w:val="single" w:color="auto" w:sz="4" w:space="0"/>
            </w:tcBorders>
            <w:shd w:val="clear" w:color="auto" w:fill="auto"/>
            <w:vAlign w:val="center"/>
          </w:tcPr>
          <w:p>
            <w:pPr>
              <w:pStyle w:val="21"/>
              <w:contextualSpacing/>
              <w:rPr>
                <w:b/>
                <w:bCs/>
                <w:color w:val="000000"/>
                <w:kern w:val="0"/>
                <w:sz w:val="24"/>
                <w:szCs w:val="24"/>
              </w:rPr>
            </w:pPr>
            <w:r>
              <w:rPr>
                <w:b/>
                <w:bCs/>
                <w:color w:val="000000"/>
                <w:kern w:val="0"/>
                <w:sz w:val="24"/>
                <w:szCs w:val="24"/>
              </w:rPr>
              <w:t>污</w:t>
            </w:r>
          </w:p>
          <w:p>
            <w:pPr>
              <w:pStyle w:val="21"/>
              <w:contextualSpacing/>
              <w:rPr>
                <w:b/>
                <w:bCs/>
                <w:color w:val="000000"/>
                <w:kern w:val="0"/>
                <w:sz w:val="24"/>
                <w:szCs w:val="24"/>
              </w:rPr>
            </w:pPr>
            <w:r>
              <w:rPr>
                <w:b/>
                <w:bCs/>
                <w:color w:val="000000"/>
                <w:kern w:val="0"/>
                <w:sz w:val="24"/>
                <w:szCs w:val="24"/>
              </w:rPr>
              <w:t>染</w:t>
            </w:r>
          </w:p>
          <w:p>
            <w:pPr>
              <w:pStyle w:val="21"/>
              <w:contextualSpacing/>
              <w:rPr>
                <w:b/>
                <w:bCs/>
                <w:color w:val="000000"/>
                <w:kern w:val="0"/>
                <w:sz w:val="24"/>
                <w:szCs w:val="24"/>
              </w:rPr>
            </w:pPr>
            <w:r>
              <w:rPr>
                <w:b/>
                <w:bCs/>
                <w:color w:val="000000"/>
                <w:kern w:val="0"/>
                <w:sz w:val="24"/>
                <w:szCs w:val="24"/>
              </w:rPr>
              <w:t>物</w:t>
            </w:r>
          </w:p>
          <w:p>
            <w:pPr>
              <w:pStyle w:val="21"/>
              <w:contextualSpacing/>
              <w:rPr>
                <w:b/>
                <w:bCs/>
                <w:color w:val="000000"/>
                <w:kern w:val="0"/>
                <w:sz w:val="24"/>
                <w:szCs w:val="24"/>
              </w:rPr>
            </w:pPr>
            <w:r>
              <w:rPr>
                <w:b/>
                <w:bCs/>
                <w:color w:val="000000"/>
                <w:kern w:val="0"/>
                <w:sz w:val="24"/>
                <w:szCs w:val="24"/>
              </w:rPr>
              <w:t>排</w:t>
            </w:r>
          </w:p>
          <w:p>
            <w:pPr>
              <w:pStyle w:val="21"/>
              <w:contextualSpacing/>
              <w:rPr>
                <w:b/>
                <w:bCs/>
                <w:color w:val="000000"/>
                <w:kern w:val="0"/>
                <w:sz w:val="24"/>
                <w:szCs w:val="24"/>
              </w:rPr>
            </w:pPr>
            <w:r>
              <w:rPr>
                <w:b/>
                <w:bCs/>
                <w:color w:val="000000"/>
                <w:kern w:val="0"/>
                <w:sz w:val="24"/>
                <w:szCs w:val="24"/>
              </w:rPr>
              <w:t>放</w:t>
            </w:r>
          </w:p>
          <w:p>
            <w:pPr>
              <w:pStyle w:val="21"/>
              <w:contextualSpacing/>
              <w:rPr>
                <w:b/>
                <w:bCs/>
                <w:color w:val="000000"/>
                <w:kern w:val="0"/>
                <w:sz w:val="24"/>
                <w:szCs w:val="24"/>
              </w:rPr>
            </w:pPr>
            <w:r>
              <w:rPr>
                <w:b/>
                <w:bCs/>
                <w:color w:val="000000"/>
                <w:kern w:val="0"/>
                <w:sz w:val="24"/>
                <w:szCs w:val="24"/>
              </w:rPr>
              <w:t>标</w:t>
            </w:r>
          </w:p>
          <w:p>
            <w:pPr>
              <w:pStyle w:val="21"/>
              <w:contextualSpacing/>
              <w:jc w:val="center"/>
              <w:rPr>
                <w:b/>
                <w:bCs/>
                <w:color w:val="000000"/>
                <w:kern w:val="0"/>
                <w:sz w:val="24"/>
                <w:szCs w:val="24"/>
              </w:rPr>
            </w:pPr>
            <w:r>
              <w:rPr>
                <w:b/>
                <w:bCs/>
                <w:color w:val="000000"/>
                <w:kern w:val="0"/>
                <w:sz w:val="24"/>
                <w:szCs w:val="24"/>
              </w:rPr>
              <w:t>准</w:t>
            </w:r>
          </w:p>
          <w:p>
            <w:pPr>
              <w:pStyle w:val="21"/>
              <w:contextualSpacing/>
              <w:jc w:val="center"/>
              <w:rPr>
                <w:b/>
                <w:bCs/>
                <w:color w:val="000000"/>
                <w:kern w:val="0"/>
                <w:sz w:val="24"/>
                <w:szCs w:val="24"/>
              </w:rPr>
            </w:pPr>
          </w:p>
          <w:p>
            <w:pPr>
              <w:pStyle w:val="21"/>
              <w:contextualSpacing/>
              <w:jc w:val="center"/>
              <w:rPr>
                <w:b/>
                <w:bCs/>
                <w:color w:val="000000"/>
                <w:kern w:val="0"/>
                <w:sz w:val="24"/>
                <w:szCs w:val="24"/>
              </w:rPr>
            </w:pPr>
          </w:p>
          <w:p>
            <w:pPr>
              <w:pStyle w:val="21"/>
              <w:contextualSpacing/>
              <w:jc w:val="center"/>
              <w:rPr>
                <w:b/>
                <w:bCs/>
                <w:color w:val="000000"/>
                <w:kern w:val="0"/>
                <w:sz w:val="28"/>
              </w:rPr>
            </w:pPr>
          </w:p>
        </w:tc>
        <w:tc>
          <w:tcPr>
            <w:tcW w:w="8015" w:type="dxa"/>
            <w:tcBorders>
              <w:top w:val="single" w:color="auto" w:sz="8" w:space="0"/>
              <w:bottom w:val="single" w:color="auto" w:sz="4" w:space="0"/>
            </w:tcBorders>
            <w:shd w:val="clear" w:color="auto" w:fill="auto"/>
          </w:tcPr>
          <w:p>
            <w:pPr>
              <w:spacing w:line="360" w:lineRule="auto"/>
              <w:ind w:firstLine="480" w:firstLineChars="200"/>
              <w:contextualSpacing/>
              <w:rPr>
                <w:kern w:val="0"/>
                <w:sz w:val="24"/>
                <w:szCs w:val="24"/>
              </w:rPr>
            </w:pPr>
            <w:r>
              <w:rPr>
                <w:rFonts w:hint="eastAsia"/>
                <w:kern w:val="0"/>
                <w:sz w:val="24"/>
                <w:szCs w:val="24"/>
              </w:rPr>
              <w:t>1、</w:t>
            </w:r>
            <w:r>
              <w:rPr>
                <w:kern w:val="0"/>
                <w:sz w:val="24"/>
                <w:szCs w:val="24"/>
              </w:rPr>
              <w:t>施工期</w:t>
            </w:r>
          </w:p>
          <w:p>
            <w:pPr>
              <w:spacing w:line="360" w:lineRule="auto"/>
              <w:ind w:firstLine="480" w:firstLineChars="200"/>
              <w:contextualSpacing/>
              <w:rPr>
                <w:kern w:val="0"/>
                <w:sz w:val="24"/>
                <w:szCs w:val="24"/>
              </w:rPr>
            </w:pPr>
            <w:r>
              <w:rPr>
                <w:rFonts w:hint="eastAsia"/>
                <w:kern w:val="0"/>
                <w:sz w:val="24"/>
                <w:szCs w:val="24"/>
              </w:rPr>
              <w:t>（1）环境空气</w:t>
            </w:r>
          </w:p>
          <w:p>
            <w:pPr>
              <w:spacing w:line="360" w:lineRule="auto"/>
              <w:ind w:firstLine="480" w:firstLineChars="200"/>
              <w:contextualSpacing/>
              <w:rPr>
                <w:kern w:val="0"/>
                <w:sz w:val="24"/>
                <w:szCs w:val="24"/>
              </w:rPr>
            </w:pPr>
            <w:r>
              <w:rPr>
                <w:rFonts w:hint="eastAsia"/>
                <w:kern w:val="0"/>
                <w:sz w:val="24"/>
                <w:szCs w:val="24"/>
              </w:rPr>
              <w:t>施工期</w:t>
            </w:r>
            <w:r>
              <w:rPr>
                <w:kern w:val="0"/>
                <w:sz w:val="24"/>
                <w:szCs w:val="24"/>
              </w:rPr>
              <w:t>主要</w:t>
            </w:r>
            <w:r>
              <w:rPr>
                <w:rFonts w:hint="eastAsia"/>
                <w:kern w:val="0"/>
                <w:sz w:val="24"/>
                <w:szCs w:val="24"/>
              </w:rPr>
              <w:t>大气</w:t>
            </w:r>
            <w:r>
              <w:rPr>
                <w:kern w:val="0"/>
                <w:sz w:val="24"/>
                <w:szCs w:val="24"/>
              </w:rPr>
              <w:t>污染物为</w:t>
            </w:r>
            <w:r>
              <w:rPr>
                <w:rFonts w:hint="eastAsia"/>
                <w:kern w:val="0"/>
                <w:sz w:val="24"/>
                <w:szCs w:val="24"/>
              </w:rPr>
              <w:t>颗粒物</w:t>
            </w:r>
            <w:r>
              <w:rPr>
                <w:kern w:val="0"/>
                <w:sz w:val="24"/>
                <w:szCs w:val="24"/>
              </w:rPr>
              <w:t>，</w:t>
            </w:r>
            <w:r>
              <w:rPr>
                <w:rFonts w:hint="eastAsia"/>
                <w:kern w:val="0"/>
                <w:sz w:val="24"/>
                <w:szCs w:val="24"/>
              </w:rPr>
              <w:t>其</w:t>
            </w:r>
            <w:r>
              <w:rPr>
                <w:kern w:val="0"/>
                <w:sz w:val="24"/>
                <w:szCs w:val="24"/>
              </w:rPr>
              <w:t>排放</w:t>
            </w:r>
            <w:r>
              <w:rPr>
                <w:rFonts w:hint="eastAsia"/>
                <w:kern w:val="0"/>
                <w:sz w:val="24"/>
                <w:szCs w:val="24"/>
              </w:rPr>
              <w:t>执行</w:t>
            </w:r>
            <w:r>
              <w:rPr>
                <w:kern w:val="0"/>
                <w:sz w:val="24"/>
                <w:szCs w:val="24"/>
              </w:rPr>
              <w:t>河北</w:t>
            </w:r>
            <w:r>
              <w:rPr>
                <w:rFonts w:hint="eastAsia"/>
                <w:kern w:val="0"/>
                <w:sz w:val="24"/>
                <w:szCs w:val="24"/>
              </w:rPr>
              <w:t>省</w:t>
            </w:r>
            <w:r>
              <w:rPr>
                <w:kern w:val="0"/>
                <w:sz w:val="24"/>
                <w:szCs w:val="24"/>
              </w:rPr>
              <w:t>地方</w:t>
            </w:r>
            <w:r>
              <w:rPr>
                <w:rFonts w:hint="eastAsia"/>
                <w:kern w:val="0"/>
                <w:sz w:val="24"/>
                <w:szCs w:val="24"/>
              </w:rPr>
              <w:t>标准《施工场地扬尘排放</w:t>
            </w:r>
            <w:r>
              <w:rPr>
                <w:kern w:val="0"/>
                <w:sz w:val="24"/>
                <w:szCs w:val="24"/>
              </w:rPr>
              <w:t>标准</w:t>
            </w:r>
            <w:r>
              <w:rPr>
                <w:rFonts w:hint="eastAsia"/>
                <w:kern w:val="0"/>
                <w:sz w:val="24"/>
                <w:szCs w:val="24"/>
              </w:rPr>
              <w:t>》（DB</w:t>
            </w:r>
            <w:r>
              <w:rPr>
                <w:kern w:val="0"/>
                <w:sz w:val="24"/>
                <w:szCs w:val="24"/>
              </w:rPr>
              <w:t>13/2934-2019</w:t>
            </w:r>
            <w:r>
              <w:rPr>
                <w:rFonts w:hint="eastAsia"/>
                <w:kern w:val="0"/>
                <w:sz w:val="24"/>
                <w:szCs w:val="24"/>
              </w:rPr>
              <w:t>）中要求：监测点浓度</w:t>
            </w:r>
            <w:r>
              <w:rPr>
                <w:kern w:val="0"/>
                <w:sz w:val="24"/>
                <w:szCs w:val="24"/>
              </w:rPr>
              <w:t>限值</w:t>
            </w:r>
            <w:r>
              <w:rPr>
                <w:rFonts w:hint="eastAsia"/>
                <w:kern w:val="0"/>
                <w:sz w:val="24"/>
                <w:szCs w:val="24"/>
              </w:rPr>
              <w:t>80</w:t>
            </w:r>
            <w:r>
              <w:rPr>
                <w:kern w:val="0"/>
                <w:szCs w:val="21"/>
              </w:rPr>
              <w:t>µg/m</w:t>
            </w:r>
            <w:r>
              <w:rPr>
                <w:kern w:val="0"/>
                <w:szCs w:val="21"/>
                <w:vertAlign w:val="superscript"/>
              </w:rPr>
              <w:t>3</w:t>
            </w:r>
            <w:r>
              <w:rPr>
                <w:rFonts w:hint="eastAsia"/>
                <w:kern w:val="0"/>
                <w:sz w:val="24"/>
                <w:szCs w:val="24"/>
              </w:rPr>
              <w:t>（指监测点PM</w:t>
            </w:r>
            <w:r>
              <w:rPr>
                <w:kern w:val="0"/>
                <w:sz w:val="24"/>
                <w:szCs w:val="24"/>
                <w:vertAlign w:val="subscript"/>
              </w:rPr>
              <w:t>10</w:t>
            </w:r>
            <w:r>
              <w:rPr>
                <w:rFonts w:hint="eastAsia"/>
                <w:kern w:val="0"/>
                <w:sz w:val="24"/>
                <w:szCs w:val="24"/>
              </w:rPr>
              <w:t>小时平均浓度实测值与</w:t>
            </w:r>
            <w:r>
              <w:rPr>
                <w:kern w:val="0"/>
                <w:sz w:val="24"/>
                <w:szCs w:val="24"/>
              </w:rPr>
              <w:t>同时段</w:t>
            </w:r>
            <w:r>
              <w:rPr>
                <w:rFonts w:hint="eastAsia"/>
                <w:kern w:val="0"/>
                <w:sz w:val="24"/>
                <w:szCs w:val="24"/>
              </w:rPr>
              <w:t>所属县</w:t>
            </w:r>
            <w:r>
              <w:rPr>
                <w:kern w:val="0"/>
                <w:sz w:val="24"/>
                <w:szCs w:val="24"/>
              </w:rPr>
              <w:t>（</w:t>
            </w:r>
            <w:r>
              <w:rPr>
                <w:rFonts w:hint="eastAsia"/>
                <w:kern w:val="0"/>
                <w:sz w:val="24"/>
                <w:szCs w:val="24"/>
              </w:rPr>
              <w:t>市、</w:t>
            </w:r>
            <w:r>
              <w:rPr>
                <w:kern w:val="0"/>
                <w:sz w:val="24"/>
                <w:szCs w:val="24"/>
              </w:rPr>
              <w:t>区）</w:t>
            </w:r>
            <w:r>
              <w:rPr>
                <w:rFonts w:hint="eastAsia"/>
                <w:kern w:val="0"/>
                <w:sz w:val="24"/>
                <w:szCs w:val="24"/>
              </w:rPr>
              <w:t>PM</w:t>
            </w:r>
            <w:r>
              <w:rPr>
                <w:kern w:val="0"/>
                <w:sz w:val="24"/>
                <w:szCs w:val="24"/>
                <w:vertAlign w:val="subscript"/>
              </w:rPr>
              <w:t>10</w:t>
            </w:r>
            <w:r>
              <w:rPr>
                <w:rFonts w:hint="eastAsia"/>
                <w:kern w:val="0"/>
                <w:sz w:val="24"/>
                <w:szCs w:val="24"/>
              </w:rPr>
              <w:t>小时</w:t>
            </w:r>
            <w:r>
              <w:rPr>
                <w:kern w:val="0"/>
                <w:sz w:val="24"/>
                <w:szCs w:val="24"/>
              </w:rPr>
              <w:t>平均</w:t>
            </w:r>
            <w:r>
              <w:rPr>
                <w:rFonts w:hint="eastAsia"/>
                <w:kern w:val="0"/>
                <w:sz w:val="24"/>
                <w:szCs w:val="24"/>
              </w:rPr>
              <w:t>浓度</w:t>
            </w:r>
            <w:r>
              <w:rPr>
                <w:kern w:val="0"/>
                <w:sz w:val="24"/>
                <w:szCs w:val="24"/>
              </w:rPr>
              <w:t>的差值</w:t>
            </w:r>
            <w:r>
              <w:rPr>
                <w:rFonts w:hint="eastAsia"/>
                <w:kern w:val="0"/>
                <w:sz w:val="24"/>
                <w:szCs w:val="24"/>
              </w:rPr>
              <w:t>）。</w:t>
            </w:r>
          </w:p>
          <w:p>
            <w:pPr>
              <w:spacing w:line="360" w:lineRule="auto"/>
              <w:ind w:firstLine="480" w:firstLineChars="200"/>
              <w:contextualSpacing/>
              <w:rPr>
                <w:kern w:val="0"/>
                <w:sz w:val="24"/>
                <w:szCs w:val="24"/>
              </w:rPr>
            </w:pPr>
            <w:r>
              <w:rPr>
                <w:rFonts w:hint="eastAsia"/>
                <w:kern w:val="0"/>
                <w:sz w:val="24"/>
                <w:szCs w:val="24"/>
              </w:rPr>
              <w:t>（</w:t>
            </w:r>
            <w:r>
              <w:rPr>
                <w:kern w:val="0"/>
                <w:sz w:val="24"/>
                <w:szCs w:val="24"/>
              </w:rPr>
              <w:t>2</w:t>
            </w:r>
            <w:r>
              <w:rPr>
                <w:rFonts w:hint="eastAsia"/>
                <w:kern w:val="0"/>
                <w:sz w:val="24"/>
                <w:szCs w:val="24"/>
              </w:rPr>
              <w:t>）噪声</w:t>
            </w:r>
          </w:p>
          <w:p>
            <w:pPr>
              <w:spacing w:line="360" w:lineRule="auto"/>
              <w:ind w:firstLine="480" w:firstLineChars="200"/>
              <w:contextualSpacing/>
              <w:rPr>
                <w:kern w:val="0"/>
                <w:sz w:val="24"/>
                <w:szCs w:val="24"/>
              </w:rPr>
            </w:pPr>
            <w:r>
              <w:rPr>
                <w:rFonts w:hint="eastAsia"/>
                <w:kern w:val="0"/>
                <w:sz w:val="24"/>
                <w:szCs w:val="24"/>
              </w:rPr>
              <w:t>施工</w:t>
            </w:r>
            <w:r>
              <w:rPr>
                <w:kern w:val="0"/>
                <w:sz w:val="24"/>
                <w:szCs w:val="24"/>
              </w:rPr>
              <w:t>期厂界噪声</w:t>
            </w:r>
            <w:r>
              <w:rPr>
                <w:rFonts w:hint="eastAsia"/>
                <w:kern w:val="0"/>
                <w:sz w:val="24"/>
                <w:szCs w:val="24"/>
              </w:rPr>
              <w:t>执行</w:t>
            </w:r>
            <w:r>
              <w:rPr>
                <w:kern w:val="0"/>
                <w:sz w:val="24"/>
                <w:szCs w:val="24"/>
              </w:rPr>
              <w:t>《建筑施工场界环境噪声排放标准》（GB12523-2011）中噪声排放限值标准</w:t>
            </w:r>
            <w:r>
              <w:rPr>
                <w:rFonts w:hint="eastAsia"/>
                <w:kern w:val="0"/>
                <w:sz w:val="24"/>
                <w:szCs w:val="24"/>
              </w:rPr>
              <w:t>：昼间</w:t>
            </w:r>
            <w:r>
              <w:rPr>
                <w:kern w:val="0"/>
                <w:sz w:val="24"/>
                <w:szCs w:val="24"/>
              </w:rPr>
              <w:t>70dB(A)</w:t>
            </w:r>
            <w:r>
              <w:rPr>
                <w:rFonts w:hint="eastAsia"/>
                <w:kern w:val="0"/>
                <w:sz w:val="24"/>
                <w:szCs w:val="24"/>
              </w:rPr>
              <w:t>，夜间55</w:t>
            </w:r>
            <w:r>
              <w:rPr>
                <w:kern w:val="0"/>
                <w:sz w:val="24"/>
                <w:szCs w:val="24"/>
              </w:rPr>
              <w:t xml:space="preserve"> dB(A)</w:t>
            </w:r>
            <w:r>
              <w:rPr>
                <w:rFonts w:hint="eastAsia"/>
                <w:kern w:val="0"/>
                <w:sz w:val="24"/>
                <w:szCs w:val="24"/>
              </w:rPr>
              <w:t xml:space="preserve"> 。</w:t>
            </w:r>
          </w:p>
          <w:p>
            <w:pPr>
              <w:spacing w:line="360" w:lineRule="auto"/>
              <w:ind w:firstLine="480" w:firstLineChars="200"/>
              <w:contextualSpacing/>
              <w:rPr>
                <w:kern w:val="0"/>
                <w:sz w:val="24"/>
                <w:szCs w:val="24"/>
              </w:rPr>
            </w:pPr>
            <w:r>
              <w:rPr>
                <w:kern w:val="0"/>
                <w:sz w:val="24"/>
                <w:szCs w:val="24"/>
              </w:rPr>
              <w:t>2</w:t>
            </w:r>
            <w:r>
              <w:rPr>
                <w:rFonts w:hint="eastAsia"/>
                <w:kern w:val="0"/>
                <w:sz w:val="24"/>
                <w:szCs w:val="24"/>
              </w:rPr>
              <w:t>、运营</w:t>
            </w:r>
            <w:r>
              <w:rPr>
                <w:kern w:val="0"/>
                <w:sz w:val="24"/>
                <w:szCs w:val="24"/>
              </w:rPr>
              <w:t>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1、废气：</w:t>
            </w:r>
            <w:r>
              <w:rPr>
                <w:rFonts w:hint="default" w:ascii="Times New Roman" w:hAnsi="Times New Roman" w:eastAsia="宋体" w:cs="Times New Roman"/>
                <w:color w:val="auto"/>
                <w:sz w:val="24"/>
                <w:szCs w:val="24"/>
                <w:highlight w:val="none"/>
                <w:lang w:eastAsia="zh-CN"/>
              </w:rPr>
              <w:t>厂区污水处理站恶臭气体</w:t>
            </w:r>
            <w:r>
              <w:rPr>
                <w:rFonts w:hint="default" w:ascii="Times New Roman" w:hAnsi="Times New Roman" w:eastAsia="宋体" w:cs="Times New Roman"/>
                <w:color w:val="auto"/>
                <w:sz w:val="24"/>
                <w:highlight w:val="none"/>
              </w:rPr>
              <w:t>参照执行</w:t>
            </w:r>
            <w:r>
              <w:rPr>
                <w:rFonts w:hint="default" w:ascii="Times New Roman" w:hAnsi="Times New Roman" w:eastAsia="宋体" w:cs="Times New Roman"/>
                <w:color w:val="auto"/>
                <w:sz w:val="24"/>
                <w:highlight w:val="none"/>
                <w:lang w:eastAsia="zh-CN"/>
              </w:rPr>
              <w:t>《恶臭污染物排放标准》（</w:t>
            </w:r>
            <w:r>
              <w:rPr>
                <w:rFonts w:hint="default" w:ascii="Times New Roman" w:hAnsi="Times New Roman" w:eastAsia="宋体" w:cs="Times New Roman"/>
                <w:color w:val="auto"/>
                <w:sz w:val="24"/>
                <w:highlight w:val="none"/>
                <w:lang w:val="en-US" w:eastAsia="zh-CN"/>
              </w:rPr>
              <w:t>GB14554-93</w:t>
            </w:r>
            <w:r>
              <w:rPr>
                <w:rFonts w:hint="default" w:ascii="Times New Roman" w:hAnsi="Times New Roman" w:eastAsia="宋体" w:cs="Times New Roman"/>
                <w:color w:val="auto"/>
                <w:sz w:val="24"/>
                <w:highlight w:val="none"/>
                <w:lang w:eastAsia="zh-CN"/>
              </w:rPr>
              <w:t>）表</w:t>
            </w:r>
            <w:r>
              <w:rPr>
                <w:rFonts w:hint="default" w:ascii="Times New Roman" w:hAnsi="Times New Roman" w:eastAsia="宋体" w:cs="Times New Roman"/>
                <w:color w:val="auto"/>
                <w:sz w:val="24"/>
                <w:highlight w:val="none"/>
                <w:lang w:val="en-US" w:eastAsia="zh-CN"/>
              </w:rPr>
              <w:t>2标准要求和</w:t>
            </w:r>
            <w:r>
              <w:rPr>
                <w:rFonts w:hint="default" w:ascii="Times New Roman" w:hAnsi="Times New Roman" w:eastAsia="宋体" w:cs="Times New Roman"/>
                <w:color w:val="auto"/>
                <w:sz w:val="24"/>
                <w:highlight w:val="none"/>
              </w:rPr>
              <w:t>《城镇污水处理厂污染物排放标准》（GB18918-2002）表4中厂界（防护带边缘）废气排放最高允许浓度</w:t>
            </w:r>
            <w:r>
              <w:rPr>
                <w:rFonts w:hint="default" w:ascii="Times New Roman" w:hAnsi="Times New Roman" w:eastAsia="宋体" w:cs="Times New Roman"/>
                <w:color w:val="auto"/>
                <w:sz w:val="24"/>
                <w:highlight w:val="none"/>
                <w:lang w:eastAsia="zh-CN"/>
              </w:rPr>
              <w:t>相关标准</w:t>
            </w:r>
            <w:r>
              <w:rPr>
                <w:rFonts w:hint="default" w:ascii="Times New Roman" w:hAnsi="Times New Roman" w:eastAsia="宋体" w:cs="Times New Roman"/>
                <w:color w:val="auto"/>
                <w:sz w:val="24"/>
                <w:szCs w:val="2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2"/>
              </w:rPr>
              <w:t>2、</w:t>
            </w:r>
            <w:r>
              <w:rPr>
                <w:rFonts w:hint="default" w:ascii="Times New Roman" w:hAnsi="Times New Roman" w:eastAsia="宋体" w:cs="Times New Roman"/>
                <w:color w:val="auto"/>
                <w:sz w:val="24"/>
                <w:szCs w:val="22"/>
                <w:lang w:eastAsia="zh-CN"/>
              </w:rPr>
              <w:t>废水：</w:t>
            </w:r>
            <w:r>
              <w:rPr>
                <w:rFonts w:hint="default" w:ascii="Times New Roman" w:hAnsi="Times New Roman" w:eastAsia="宋体" w:cs="Times New Roman"/>
                <w:color w:val="auto"/>
                <w:sz w:val="24"/>
                <w:szCs w:val="24"/>
              </w:rPr>
              <w:t>污水排放执行《地表水环境质量标准》（GB3838-2002）表1中Ⅳ类标准(除总氮外)</w:t>
            </w:r>
            <w:r>
              <w:rPr>
                <w:rFonts w:hint="default"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lang w:val="en-US" w:eastAsia="zh-CN"/>
              </w:rPr>
              <w:t>《黑龙港及运东流域水污染物排放标准》（DB13/2797 -2018）表1重点控制区排放限值</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lang w:val="en-US" w:eastAsia="zh-CN"/>
              </w:rPr>
              <w:t>3、</w:t>
            </w:r>
            <w:r>
              <w:rPr>
                <w:rFonts w:hint="default" w:ascii="Times New Roman" w:hAnsi="Times New Roman" w:eastAsia="宋体" w:cs="Times New Roman"/>
                <w:color w:val="auto"/>
                <w:sz w:val="24"/>
                <w:szCs w:val="22"/>
              </w:rPr>
              <w:t>噪声：运营期厂界噪声执行《工业企业厂界环境噪声排放标准》（GB12348-2008）</w:t>
            </w:r>
            <w:r>
              <w:rPr>
                <w:rFonts w:hint="default" w:ascii="Times New Roman" w:hAnsi="Times New Roman" w:eastAsia="宋体" w:cs="Times New Roman"/>
                <w:color w:val="auto"/>
                <w:sz w:val="24"/>
                <w:szCs w:val="22"/>
                <w:highlight w:val="none"/>
              </w:rPr>
              <w:t>中的</w:t>
            </w:r>
            <w:r>
              <w:rPr>
                <w:rFonts w:hint="default" w:ascii="Times New Roman" w:hAnsi="Times New Roman" w:eastAsia="宋体" w:cs="Times New Roman"/>
                <w:color w:val="auto"/>
                <w:sz w:val="24"/>
                <w:szCs w:val="22"/>
                <w:highlight w:val="none"/>
                <w:lang w:val="en-US" w:eastAsia="zh-CN"/>
              </w:rPr>
              <w:t>2类标准要求</w:t>
            </w:r>
            <w:r>
              <w:rPr>
                <w:rFonts w:hint="default" w:ascii="Times New Roman" w:hAnsi="Times New Roman" w:eastAsia="宋体" w:cs="Times New Roman"/>
                <w:color w:val="auto"/>
                <w:sz w:val="24"/>
                <w:szCs w:val="2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2"/>
                <w:lang w:val="en-US" w:eastAsia="zh-CN"/>
              </w:rPr>
              <w:t>4</w:t>
            </w:r>
            <w:r>
              <w:rPr>
                <w:rFonts w:hint="default" w:ascii="Times New Roman" w:hAnsi="Times New Roman" w:eastAsia="宋体" w:cs="Times New Roman"/>
                <w:color w:val="auto"/>
                <w:sz w:val="24"/>
                <w:szCs w:val="22"/>
              </w:rPr>
              <w:t>、固体废物：</w:t>
            </w:r>
            <w:r>
              <w:rPr>
                <w:rFonts w:hint="default" w:ascii="Times New Roman" w:hAnsi="Times New Roman" w:eastAsia="宋体" w:cs="Times New Roman"/>
                <w:color w:val="auto"/>
                <w:sz w:val="24"/>
                <w:szCs w:val="24"/>
                <w:highlight w:val="none"/>
              </w:rPr>
              <w:t>生活垃圾处置参照《生活垃圾填埋场污染物控制标准》（GB16889-2008），一般工业固体废物处置执行《一般工业固体废物贮存、处置场污染控制标准》(GB18599-2001)及其修改单</w:t>
            </w:r>
            <w:r>
              <w:rPr>
                <w:rFonts w:hint="default" w:ascii="Times New Roman" w:hAnsi="Times New Roman" w:eastAsia="宋体" w:cs="Times New Roman"/>
                <w:color w:val="auto"/>
                <w:sz w:val="24"/>
                <w:szCs w:val="24"/>
                <w:highlight w:val="none"/>
                <w:lang w:eastAsia="zh-CN"/>
              </w:rPr>
              <w:t>相关要求</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highlight w:val="none"/>
              </w:rPr>
              <w:t>危险固体废物执行《危险废物鉴别标准》(GB5085.</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2019</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《危险废物贮存污染控制标准》(GB18597-2001)及修改单要求</w:t>
            </w:r>
            <w:r>
              <w:rPr>
                <w:rFonts w:hint="default" w:ascii="Times New Roman" w:hAnsi="Times New Roman" w:eastAsia="宋体" w:cs="Times New Roman"/>
                <w:color w:val="auto"/>
                <w:sz w:val="24"/>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default"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rPr>
              <w:t xml:space="preserve"> 项目应执行的污染物排放标准明细表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24"/>
              <w:gridCol w:w="851"/>
              <w:gridCol w:w="1326"/>
              <w:gridCol w:w="1376"/>
              <w:gridCol w:w="1382"/>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tcBorders>
                    <w:tl2br w:val="nil"/>
                    <w:tr2bl w:val="nil"/>
                  </w:tcBorders>
                  <w:noWrap w:val="0"/>
                  <w:vAlign w:val="center"/>
                </w:tcPr>
                <w:p>
                  <w:pPr>
                    <w:widowControl/>
                    <w:adjustRightInd w:val="0"/>
                    <w:snapToGrid w:val="0"/>
                    <w:spacing w:before="100" w:beforeAutospacing="1" w:after="100" w:afterAutospacing="1"/>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类别</w:t>
                  </w:r>
                </w:p>
              </w:tc>
              <w:tc>
                <w:tcPr>
                  <w:tcW w:w="546" w:type="pct"/>
                  <w:tcBorders>
                    <w:tl2br w:val="nil"/>
                    <w:tr2bl w:val="nil"/>
                  </w:tcBorders>
                  <w:noWrap w:val="0"/>
                  <w:vAlign w:val="center"/>
                </w:tcPr>
                <w:p>
                  <w:pPr>
                    <w:widowControl/>
                    <w:adjustRightInd w:val="0"/>
                    <w:snapToGrid w:val="0"/>
                    <w:spacing w:before="100" w:beforeAutospacing="1" w:after="100" w:afterAutospacing="1"/>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w:t>
                  </w:r>
                </w:p>
              </w:tc>
              <w:tc>
                <w:tcPr>
                  <w:tcW w:w="851" w:type="pct"/>
                  <w:tcBorders>
                    <w:tl2br w:val="nil"/>
                    <w:tr2bl w:val="nil"/>
                  </w:tcBorders>
                  <w:noWrap w:val="0"/>
                  <w:vAlign w:val="center"/>
                </w:tcPr>
                <w:p>
                  <w:pPr>
                    <w:widowControl/>
                    <w:spacing w:before="100" w:beforeAutospacing="1" w:after="100" w:afterAutospacing="1"/>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kern w:val="0"/>
                      <w:sz w:val="21"/>
                      <w:szCs w:val="21"/>
                      <w:highlight w:val="none"/>
                    </w:rPr>
                    <w:t>评价因子</w:t>
                  </w:r>
                </w:p>
              </w:tc>
              <w:tc>
                <w:tcPr>
                  <w:tcW w:w="1771" w:type="pct"/>
                  <w:gridSpan w:val="2"/>
                  <w:tcBorders>
                    <w:tl2br w:val="nil"/>
                    <w:tr2bl w:val="nil"/>
                  </w:tcBorders>
                  <w:noWrap w:val="0"/>
                  <w:vAlign w:val="center"/>
                </w:tcPr>
                <w:p>
                  <w:pPr>
                    <w:widowControl/>
                    <w:spacing w:before="100" w:beforeAutospacing="1" w:after="100" w:afterAutospacing="1"/>
                    <w:ind w:left="843" w:leftChars="50" w:hanging="738" w:hangingChars="3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color w:val="auto"/>
                      <w:kern w:val="0"/>
                      <w:sz w:val="21"/>
                      <w:szCs w:val="21"/>
                      <w:highlight w:val="none"/>
                    </w:rPr>
                    <w:t>标准值</w:t>
                  </w:r>
                </w:p>
              </w:tc>
              <w:tc>
                <w:tcPr>
                  <w:tcW w:w="1494" w:type="pct"/>
                  <w:tcBorders>
                    <w:tl2br w:val="nil"/>
                    <w:tr2bl w:val="nil"/>
                  </w:tcBorders>
                  <w:noWrap w:val="0"/>
                  <w:vAlign w:val="center"/>
                </w:tcPr>
                <w:p>
                  <w:pPr>
                    <w:widowControl/>
                    <w:adjustRightInd w:val="0"/>
                    <w:snapToGrid w:val="0"/>
                    <w:spacing w:before="100" w:beforeAutospacing="1" w:after="100" w:afterAutospacing="1"/>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color w:val="auto"/>
                      <w:kern w:val="0"/>
                      <w:sz w:val="21"/>
                      <w:szCs w:val="21"/>
                      <w:highlight w:val="none"/>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336" w:type="pct"/>
                  <w:vMerge w:val="restart"/>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w:t>
                  </w:r>
                </w:p>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染</w:t>
                  </w:r>
                </w:p>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物</w:t>
                  </w:r>
                </w:p>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排</w:t>
                  </w:r>
                </w:p>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放</w:t>
                  </w:r>
                </w:p>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标</w:t>
                  </w:r>
                </w:p>
                <w:p>
                  <w:pPr>
                    <w:widowControl/>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准</w:t>
                  </w:r>
                </w:p>
              </w:tc>
              <w:tc>
                <w:tcPr>
                  <w:tcW w:w="546" w:type="pct"/>
                  <w:vMerge w:val="restar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sz w:val="21"/>
                      <w:szCs w:val="21"/>
                      <w:highlight w:val="none"/>
                    </w:rPr>
                    <w:t>废气</w:t>
                  </w:r>
                </w:p>
              </w:tc>
              <w:tc>
                <w:tcPr>
                  <w:tcW w:w="851" w:type="pc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氨</w:t>
                  </w:r>
                </w:p>
              </w:tc>
              <w:tc>
                <w:tcPr>
                  <w:tcW w:w="1771"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tLeast"/>
                    <w:ind w:left="0" w:leftChars="0" w:right="0" w:right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15m高排气筒排放≤4.9kg</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h</w:t>
                  </w:r>
                </w:p>
              </w:tc>
              <w:tc>
                <w:tcPr>
                  <w:tcW w:w="149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tLeast"/>
                    <w:ind w:left="0" w:leftChars="0"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《恶臭污染物排放标准》（</w:t>
                  </w:r>
                  <w:r>
                    <w:rPr>
                      <w:rFonts w:hint="default" w:ascii="Times New Roman" w:hAnsi="Times New Roman" w:eastAsia="宋体" w:cs="Times New Roman"/>
                      <w:color w:val="auto"/>
                      <w:sz w:val="21"/>
                      <w:szCs w:val="21"/>
                      <w:highlight w:val="none"/>
                      <w:lang w:val="en-US" w:eastAsia="zh-CN"/>
                    </w:rPr>
                    <w:t>GB14554-93</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widowControl/>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硫化氢</w:t>
                  </w:r>
                </w:p>
              </w:tc>
              <w:tc>
                <w:tcPr>
                  <w:tcW w:w="1771"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tLeast"/>
                    <w:ind w:left="0" w:leftChars="0" w:right="0" w:right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15m高排气筒排放≤0.33kg</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h</w:t>
                  </w:r>
                </w:p>
              </w:tc>
              <w:tc>
                <w:tcPr>
                  <w:tcW w:w="14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tLeast"/>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widowControl/>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臭气浓度</w:t>
                  </w:r>
                </w:p>
              </w:tc>
              <w:tc>
                <w:tcPr>
                  <w:tcW w:w="1771"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tLeast"/>
                    <w:ind w:left="0" w:leftChars="0" w:right="0" w:right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pacing w:val="-20"/>
                      <w:kern w:val="0"/>
                      <w:sz w:val="21"/>
                      <w:szCs w:val="21"/>
                      <w:highlight w:val="none"/>
                      <w:lang w:val="en-US" w:eastAsia="zh-CN"/>
                    </w:rPr>
                    <w:t>15m高排气筒排放≤2000（无量纲）</w:t>
                  </w:r>
                </w:p>
              </w:tc>
              <w:tc>
                <w:tcPr>
                  <w:tcW w:w="14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tLeast"/>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widowControl/>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氨</w:t>
                  </w:r>
                </w:p>
              </w:tc>
              <w:tc>
                <w:tcPr>
                  <w:tcW w:w="1771" w:type="pct"/>
                  <w:gridSpan w:val="2"/>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1.5</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c>
                <w:tcPr>
                  <w:tcW w:w="149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tLeast"/>
                    <w:ind w:left="0" w:leftChars="0"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《城镇污水处理厂污染物排放标准》</w:t>
                  </w:r>
                  <w:r>
                    <w:rPr>
                      <w:rFonts w:hint="default" w:ascii="Times New Roman" w:hAnsi="Times New Roman" w:eastAsia="宋体" w:cs="Times New Roman"/>
                      <w:color w:val="auto"/>
                      <w:spacing w:val="-20"/>
                      <w:sz w:val="21"/>
                      <w:szCs w:val="21"/>
                      <w:highlight w:val="none"/>
                    </w:rPr>
                    <w:t>（GB18918-2002）</w:t>
                  </w:r>
                  <w:r>
                    <w:rPr>
                      <w:rFonts w:hint="default" w:ascii="Times New Roman" w:hAnsi="Times New Roman" w:eastAsia="宋体" w:cs="Times New Roman"/>
                      <w:color w:val="auto"/>
                      <w:sz w:val="21"/>
                      <w:szCs w:val="21"/>
                      <w:highlight w:val="none"/>
                    </w:rPr>
                    <w:t>表4中厂界（防护带边缘）废气排放最高允许浓度限值要求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widowControl/>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硫化氢</w:t>
                  </w:r>
                </w:p>
              </w:tc>
              <w:tc>
                <w:tcPr>
                  <w:tcW w:w="1771" w:type="pct"/>
                  <w:gridSpan w:val="2"/>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0.06</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c>
                <w:tcPr>
                  <w:tcW w:w="14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tLeast"/>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widowControl/>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臭气浓度</w:t>
                  </w:r>
                </w:p>
              </w:tc>
              <w:tc>
                <w:tcPr>
                  <w:tcW w:w="1771" w:type="pct"/>
                  <w:gridSpan w:val="2"/>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20（无量纲）</w:t>
                  </w:r>
                </w:p>
              </w:tc>
              <w:tc>
                <w:tcPr>
                  <w:tcW w:w="149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tLeast"/>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restart"/>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废水</w:t>
                  </w: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4"/>
                      <w:sz w:val="21"/>
                      <w:szCs w:val="21"/>
                      <w:highlight w:val="none"/>
                    </w:rPr>
                    <w:t>pH</w:t>
                  </w:r>
                </w:p>
              </w:tc>
              <w:tc>
                <w:tcPr>
                  <w:tcW w:w="1771" w:type="pct"/>
                  <w:gridSpan w:val="2"/>
                  <w:tcBorders>
                    <w:tl2br w:val="nil"/>
                    <w:tr2bl w:val="nil"/>
                  </w:tcBorders>
                  <w:noWrap w:val="0"/>
                  <w:vAlign w:val="center"/>
                </w:tcPr>
                <w:p>
                  <w:pPr>
                    <w:pStyle w:val="128"/>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w w:val="95"/>
                      <w:sz w:val="21"/>
                      <w:szCs w:val="21"/>
                      <w:highlight w:val="none"/>
                      <w:lang w:val="en-US" w:eastAsia="zh-CN"/>
                    </w:rPr>
                    <w:t>6-9</w:t>
                  </w:r>
                </w:p>
              </w:tc>
              <w:tc>
                <w:tcPr>
                  <w:tcW w:w="1494"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《黑龙港及运东流域水污染物排放标准》（DB13/2797 -2018）表1重点控制区排放限值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总氮（以</w:t>
                  </w:r>
                  <w:r>
                    <w:rPr>
                      <w:rFonts w:hint="default" w:ascii="Times New Roman" w:hAnsi="Times New Roman" w:eastAsia="宋体" w:cs="Times New Roman"/>
                      <w:color w:val="auto"/>
                      <w:sz w:val="21"/>
                      <w:szCs w:val="21"/>
                      <w:highlight w:val="none"/>
                      <w:lang w:val="en-US" w:eastAsia="zh-CN"/>
                    </w:rPr>
                    <w:t>N计</w:t>
                  </w:r>
                  <w:r>
                    <w:rPr>
                      <w:rFonts w:hint="default" w:ascii="Times New Roman" w:hAnsi="Times New Roman" w:eastAsia="宋体" w:cs="Times New Roman"/>
                      <w:color w:val="auto"/>
                      <w:sz w:val="21"/>
                      <w:szCs w:val="21"/>
                      <w:highlight w:val="none"/>
                      <w:lang w:eastAsia="zh-CN"/>
                    </w:rPr>
                    <w:t>）</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总磷（以</w:t>
                  </w:r>
                  <w:r>
                    <w:rPr>
                      <w:rFonts w:hint="default" w:ascii="Times New Roman" w:hAnsi="Times New Roman" w:eastAsia="宋体" w:cs="Times New Roman"/>
                      <w:color w:val="auto"/>
                      <w:sz w:val="21"/>
                      <w:szCs w:val="21"/>
                      <w:highlight w:val="none"/>
                      <w:lang w:val="en-US" w:eastAsia="zh-CN"/>
                    </w:rPr>
                    <w:t>P计</w:t>
                  </w:r>
                  <w:r>
                    <w:rPr>
                      <w:rFonts w:hint="default" w:ascii="Times New Roman" w:hAnsi="Times New Roman" w:eastAsia="宋体" w:cs="Times New Roman"/>
                      <w:color w:val="auto"/>
                      <w:sz w:val="21"/>
                      <w:szCs w:val="21"/>
                      <w:highlight w:val="none"/>
                      <w:lang w:eastAsia="zh-CN"/>
                    </w:rPr>
                    <w:t>）</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0.4</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2.0（3.5）</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mg/L</w:t>
                  </w:r>
                </w:p>
              </w:tc>
              <w:tc>
                <w:tcPr>
                  <w:tcW w:w="1494" w:type="pct"/>
                  <w:vMerge w:val="restart"/>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威县水污染防治工作领导小组办公室关于《工业企业直排外环境污水处理厂提标改造的通知》入河口执行</w:t>
                  </w:r>
                  <w:r>
                    <w:rPr>
                      <w:rFonts w:hint="default" w:ascii="Times New Roman" w:hAnsi="Times New Roman" w:eastAsia="宋体" w:cs="Times New Roman"/>
                      <w:color w:val="auto"/>
                      <w:szCs w:val="21"/>
                      <w:highlight w:val="none"/>
                      <w:lang w:eastAsia="zh-CN"/>
                    </w:rPr>
                    <w:t>《地表水环境质量标准》</w:t>
                  </w:r>
                  <w:r>
                    <w:rPr>
                      <w:rFonts w:hint="default" w:ascii="Times New Roman" w:hAnsi="Times New Roman" w:eastAsia="宋体" w:cs="Times New Roman"/>
                      <w:color w:val="auto"/>
                      <w:szCs w:val="21"/>
                      <w:highlight w:val="none"/>
                      <w:lang w:val="en-US" w:eastAsia="zh-CN"/>
                    </w:rPr>
                    <w:t>(GB3838-2002)中</w:t>
                  </w:r>
                  <w:r>
                    <w:rPr>
                      <w:rFonts w:hint="default" w:ascii="Times New Roman" w:hAnsi="Times New Roman" w:eastAsia="宋体" w:cs="Times New Roman"/>
                      <w:color w:val="auto"/>
                      <w:szCs w:val="21"/>
                      <w:highlight w:val="none"/>
                    </w:rPr>
                    <w:t>Ⅳ类水质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总氮（以</w:t>
                  </w:r>
                  <w:r>
                    <w:rPr>
                      <w:rFonts w:hint="default" w:ascii="Times New Roman" w:hAnsi="Times New Roman" w:eastAsia="宋体" w:cs="Times New Roman"/>
                      <w:color w:val="auto"/>
                      <w:sz w:val="21"/>
                      <w:szCs w:val="21"/>
                      <w:highlight w:val="none"/>
                      <w:lang w:val="en-US" w:eastAsia="zh-CN"/>
                    </w:rPr>
                    <w:t>N计</w:t>
                  </w:r>
                  <w:r>
                    <w:rPr>
                      <w:rFonts w:hint="default" w:ascii="Times New Roman" w:hAnsi="Times New Roman" w:eastAsia="宋体" w:cs="Times New Roman"/>
                      <w:color w:val="auto"/>
                      <w:sz w:val="21"/>
                      <w:szCs w:val="21"/>
                      <w:highlight w:val="none"/>
                      <w:lang w:eastAsia="zh-CN"/>
                    </w:rPr>
                    <w:t>）</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总磷（以</w:t>
                  </w:r>
                  <w:r>
                    <w:rPr>
                      <w:rFonts w:hint="default" w:ascii="Times New Roman" w:hAnsi="Times New Roman" w:eastAsia="宋体" w:cs="Times New Roman"/>
                      <w:color w:val="auto"/>
                      <w:sz w:val="21"/>
                      <w:szCs w:val="21"/>
                      <w:highlight w:val="none"/>
                      <w:lang w:val="en-US" w:eastAsia="zh-CN"/>
                    </w:rPr>
                    <w:t>P计</w:t>
                  </w:r>
                  <w:r>
                    <w:rPr>
                      <w:rFonts w:hint="default" w:ascii="Times New Roman" w:hAnsi="Times New Roman" w:eastAsia="宋体" w:cs="Times New Roman"/>
                      <w:color w:val="auto"/>
                      <w:sz w:val="21"/>
                      <w:szCs w:val="21"/>
                      <w:highlight w:val="none"/>
                      <w:lang w:eastAsia="zh-CN"/>
                    </w:rPr>
                    <w:t>）</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mg/L</w:t>
                  </w:r>
                </w:p>
              </w:tc>
              <w:tc>
                <w:tcPr>
                  <w:tcW w:w="1494" w:type="pct"/>
                  <w:vMerge w:val="restart"/>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本项目外排污水要求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总氮（以</w:t>
                  </w:r>
                  <w:r>
                    <w:rPr>
                      <w:rFonts w:hint="default" w:ascii="Times New Roman" w:hAnsi="Times New Roman" w:eastAsia="宋体" w:cs="Times New Roman"/>
                      <w:color w:val="auto"/>
                      <w:sz w:val="21"/>
                      <w:szCs w:val="21"/>
                      <w:highlight w:val="none"/>
                      <w:lang w:val="en-US" w:eastAsia="zh-CN"/>
                    </w:rPr>
                    <w:t>N计</w:t>
                  </w:r>
                  <w:r>
                    <w:rPr>
                      <w:rFonts w:hint="default" w:ascii="Times New Roman" w:hAnsi="Times New Roman" w:eastAsia="宋体" w:cs="Times New Roman"/>
                      <w:color w:val="auto"/>
                      <w:sz w:val="21"/>
                      <w:szCs w:val="21"/>
                      <w:highlight w:val="none"/>
                      <w:lang w:eastAsia="zh-CN"/>
                    </w:rPr>
                    <w:t>）</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43"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总磷（以</w:t>
                  </w:r>
                  <w:r>
                    <w:rPr>
                      <w:rFonts w:hint="default" w:ascii="Times New Roman" w:hAnsi="Times New Roman" w:eastAsia="宋体" w:cs="Times New Roman"/>
                      <w:color w:val="auto"/>
                      <w:sz w:val="21"/>
                      <w:szCs w:val="21"/>
                      <w:highlight w:val="none"/>
                      <w:lang w:val="en-US" w:eastAsia="zh-CN"/>
                    </w:rPr>
                    <w:t>P计</w:t>
                  </w:r>
                  <w:r>
                    <w:rPr>
                      <w:rFonts w:hint="default" w:ascii="Times New Roman" w:hAnsi="Times New Roman" w:eastAsia="宋体" w:cs="Times New Roman"/>
                      <w:color w:val="auto"/>
                      <w:sz w:val="21"/>
                      <w:szCs w:val="21"/>
                      <w:highlight w:val="none"/>
                      <w:lang w:eastAsia="zh-CN"/>
                    </w:rPr>
                    <w:t>）</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b/>
                      <w:color w:val="auto"/>
                      <w:kern w:val="0"/>
                      <w:sz w:val="21"/>
                      <w:szCs w:val="21"/>
                      <w:highlight w:val="none"/>
                    </w:rPr>
                  </w:pPr>
                </w:p>
              </w:tc>
              <w:tc>
                <w:tcPr>
                  <w:tcW w:w="546" w:type="pct"/>
                  <w:vMerge w:val="continue"/>
                  <w:tcBorders>
                    <w:tl2br w:val="nil"/>
                    <w:tr2bl w:val="nil"/>
                  </w:tcBorders>
                  <w:noWrap w:val="0"/>
                  <w:vAlign w:val="center"/>
                </w:tcPr>
                <w:p>
                  <w:pPr>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771"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mg/L</w:t>
                  </w:r>
                </w:p>
              </w:tc>
              <w:tc>
                <w:tcPr>
                  <w:tcW w:w="1494" w:type="pct"/>
                  <w:vMerge w:val="continue"/>
                  <w:tcBorders>
                    <w:tl2br w:val="nil"/>
                    <w:tr2bl w:val="nil"/>
                  </w:tcBorders>
                  <w:noWrap w:val="0"/>
                  <w:vAlign w:val="center"/>
                </w:tcPr>
                <w:p>
                  <w:pPr>
                    <w:widowControl/>
                    <w:adjustRightInd w:val="0"/>
                    <w:snapToGrid w:val="0"/>
                    <w:spacing w:before="100" w:beforeAutospacing="1" w:after="100" w:afterAutospacing="1" w:line="240" w:lineRule="auto"/>
                    <w:jc w:val="center"/>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7" w:hRule="atLeast"/>
                <w:jc w:val="center"/>
              </w:trPr>
              <w:tc>
                <w:tcPr>
                  <w:tcW w:w="336" w:type="pct"/>
                  <w:vMerge w:val="continue"/>
                  <w:tcBorders>
                    <w:tl2br w:val="nil"/>
                    <w:tr2bl w:val="nil"/>
                  </w:tcBorders>
                  <w:noWrap w:val="0"/>
                  <w:vAlign w:val="center"/>
                </w:tcPr>
                <w:p>
                  <w:pPr>
                    <w:widowControl/>
                    <w:jc w:val="center"/>
                    <w:rPr>
                      <w:rFonts w:hint="default" w:ascii="Times New Roman" w:hAnsi="Times New Roman" w:eastAsia="宋体" w:cs="Times New Roman"/>
                      <w:color w:val="auto"/>
                      <w:kern w:val="0"/>
                      <w:sz w:val="21"/>
                      <w:szCs w:val="21"/>
                      <w:highlight w:val="none"/>
                    </w:rPr>
                  </w:pPr>
                </w:p>
              </w:tc>
              <w:tc>
                <w:tcPr>
                  <w:tcW w:w="546" w:type="pct"/>
                  <w:vMerge w:val="restart"/>
                  <w:tcBorders>
                    <w:tl2br w:val="nil"/>
                    <w:tr2bl w:val="nil"/>
                  </w:tcBorders>
                  <w:noWrap w:val="0"/>
                  <w:vAlign w:val="center"/>
                </w:tcPr>
                <w:p>
                  <w:pPr>
                    <w:widowControl/>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噪声</w:t>
                  </w:r>
                </w:p>
              </w:tc>
              <w:tc>
                <w:tcPr>
                  <w:tcW w:w="851" w:type="pct"/>
                  <w:vMerge w:val="restart"/>
                  <w:tcBorders>
                    <w:tl2br w:val="nil"/>
                    <w:tr2bl w:val="nil"/>
                  </w:tcBorders>
                  <w:noWrap w:val="0"/>
                  <w:vAlign w:val="center"/>
                </w:tcPr>
                <w:p>
                  <w:pPr>
                    <w:widowControl/>
                    <w:spacing w:line="24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Leq（A）</w:t>
                  </w:r>
                </w:p>
                <w:p>
                  <w:pPr>
                    <w:widowControl/>
                    <w:spacing w:line="240" w:lineRule="atLeast"/>
                    <w:jc w:val="center"/>
                    <w:rPr>
                      <w:rFonts w:hint="default" w:ascii="Times New Roman" w:hAnsi="Times New Roman" w:eastAsia="宋体" w:cs="Times New Roman"/>
                      <w:color w:val="auto"/>
                      <w:kern w:val="0"/>
                      <w:sz w:val="21"/>
                      <w:szCs w:val="21"/>
                      <w:highlight w:val="none"/>
                    </w:rPr>
                  </w:pPr>
                </w:p>
              </w:tc>
              <w:tc>
                <w:tcPr>
                  <w:tcW w:w="883" w:type="pct"/>
                  <w:tcBorders>
                    <w:tl2br w:val="nil"/>
                    <w:tr2bl w:val="nil"/>
                  </w:tcBorders>
                  <w:noWrap w:val="0"/>
                  <w:vAlign w:val="center"/>
                </w:tcPr>
                <w:p>
                  <w:pPr>
                    <w:widowControl/>
                    <w:adjustRightInd w:val="0"/>
                    <w:snapToGrid w:val="0"/>
                    <w:spacing w:before="100" w:beforeAutospacing="1" w:after="100" w:afterAutospacing="1"/>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昼间</w:t>
                  </w:r>
                </w:p>
              </w:tc>
              <w:tc>
                <w:tcPr>
                  <w:tcW w:w="887" w:type="pct"/>
                  <w:tcBorders>
                    <w:tl2br w:val="nil"/>
                    <w:tr2bl w:val="nil"/>
                  </w:tcBorders>
                  <w:noWrap w:val="0"/>
                  <w:vAlign w:val="center"/>
                </w:tcPr>
                <w:p>
                  <w:pPr>
                    <w:widowControl/>
                    <w:adjustRightInd w:val="0"/>
                    <w:snapToGrid w:val="0"/>
                    <w:spacing w:before="100" w:beforeAutospacing="1" w:after="100" w:afterAutospacing="1"/>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60dB(A)</w:t>
                  </w:r>
                </w:p>
              </w:tc>
              <w:tc>
                <w:tcPr>
                  <w:tcW w:w="1494" w:type="pct"/>
                  <w:vMerge w:val="restart"/>
                  <w:tcBorders>
                    <w:tl2br w:val="nil"/>
                    <w:tr2bl w:val="nil"/>
                  </w:tcBorders>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336" w:type="pct"/>
                  <w:vMerge w:val="continue"/>
                  <w:tcBorders>
                    <w:tl2br w:val="nil"/>
                    <w:tr2bl w:val="nil"/>
                  </w:tcBorders>
                  <w:noWrap w:val="0"/>
                  <w:vAlign w:val="center"/>
                </w:tcPr>
                <w:p>
                  <w:pPr>
                    <w:widowControl/>
                    <w:jc w:val="left"/>
                    <w:rPr>
                      <w:rFonts w:hint="default" w:ascii="Times New Roman" w:hAnsi="Times New Roman" w:eastAsia="宋体" w:cs="Times New Roman"/>
                      <w:color w:val="auto"/>
                      <w:kern w:val="0"/>
                      <w:sz w:val="21"/>
                      <w:szCs w:val="21"/>
                      <w:highlight w:val="none"/>
                    </w:rPr>
                  </w:pPr>
                </w:p>
              </w:tc>
              <w:tc>
                <w:tcPr>
                  <w:tcW w:w="546" w:type="pct"/>
                  <w:vMerge w:val="continue"/>
                  <w:tcBorders>
                    <w:tl2br w:val="nil"/>
                    <w:tr2bl w:val="nil"/>
                  </w:tcBorders>
                  <w:noWrap w:val="0"/>
                  <w:vAlign w:val="center"/>
                </w:tcPr>
                <w:p>
                  <w:pPr>
                    <w:widowControl/>
                    <w:ind w:firstLine="102" w:firstLineChars="49"/>
                    <w:jc w:val="center"/>
                    <w:rPr>
                      <w:rFonts w:hint="default" w:ascii="Times New Roman" w:hAnsi="Times New Roman" w:eastAsia="宋体" w:cs="Times New Roman"/>
                      <w:bCs/>
                      <w:color w:val="auto"/>
                      <w:kern w:val="0"/>
                      <w:sz w:val="21"/>
                      <w:szCs w:val="21"/>
                      <w:highlight w:val="none"/>
                    </w:rPr>
                  </w:pPr>
                </w:p>
              </w:tc>
              <w:tc>
                <w:tcPr>
                  <w:tcW w:w="851" w:type="pct"/>
                  <w:vMerge w:val="continue"/>
                  <w:tcBorders>
                    <w:tl2br w:val="nil"/>
                    <w:tr2bl w:val="nil"/>
                  </w:tcBorders>
                  <w:noWrap w:val="0"/>
                  <w:vAlign w:val="center"/>
                </w:tcPr>
                <w:p>
                  <w:pPr>
                    <w:widowControl/>
                    <w:spacing w:before="100" w:beforeAutospacing="1" w:after="100" w:afterAutospacing="1"/>
                    <w:jc w:val="center"/>
                    <w:rPr>
                      <w:rFonts w:hint="default" w:ascii="Times New Roman" w:hAnsi="Times New Roman" w:eastAsia="宋体" w:cs="Times New Roman"/>
                      <w:color w:val="auto"/>
                      <w:kern w:val="0"/>
                      <w:sz w:val="21"/>
                      <w:szCs w:val="21"/>
                      <w:highlight w:val="none"/>
                    </w:rPr>
                  </w:pPr>
                </w:p>
              </w:tc>
              <w:tc>
                <w:tcPr>
                  <w:tcW w:w="883" w:type="pct"/>
                  <w:tcBorders>
                    <w:tl2br w:val="nil"/>
                    <w:tr2bl w:val="nil"/>
                  </w:tcBorders>
                  <w:noWrap w:val="0"/>
                  <w:vAlign w:val="center"/>
                </w:tcPr>
                <w:p>
                  <w:pPr>
                    <w:widowControl/>
                    <w:adjustRightInd w:val="0"/>
                    <w:snapToGrid w:val="0"/>
                    <w:spacing w:before="100" w:beforeAutospacing="1" w:after="100" w:afterAutospacing="1"/>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夜间</w:t>
                  </w:r>
                </w:p>
              </w:tc>
              <w:tc>
                <w:tcPr>
                  <w:tcW w:w="887" w:type="pct"/>
                  <w:tcBorders>
                    <w:tl2br w:val="nil"/>
                    <w:tr2bl w:val="nil"/>
                  </w:tcBorders>
                  <w:noWrap w:val="0"/>
                  <w:vAlign w:val="center"/>
                </w:tcPr>
                <w:p>
                  <w:pPr>
                    <w:widowControl/>
                    <w:adjustRightInd w:val="0"/>
                    <w:snapToGrid w:val="0"/>
                    <w:spacing w:before="100" w:beforeAutospacing="1" w:after="100" w:afterAutospacing="1"/>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50dB(A)</w:t>
                  </w:r>
                </w:p>
              </w:tc>
              <w:tc>
                <w:tcPr>
                  <w:tcW w:w="1494" w:type="pct"/>
                  <w:vMerge w:val="continue"/>
                  <w:tcBorders>
                    <w:tl2br w:val="nil"/>
                    <w:tr2bl w:val="nil"/>
                  </w:tcBorders>
                  <w:noWrap w:val="0"/>
                  <w:vAlign w:val="center"/>
                </w:tcPr>
                <w:p>
                  <w:pPr>
                    <w:adjustRightInd w:val="0"/>
                    <w:snapToGrid w:val="0"/>
                    <w:spacing w:before="100" w:beforeAutospacing="1" w:after="100" w:afterAutospacing="1"/>
                    <w:jc w:val="center"/>
                    <w:rPr>
                      <w:rFonts w:hint="default" w:ascii="Times New Roman" w:hAnsi="Times New Roman" w:eastAsia="宋体" w:cs="Times New Roman"/>
                      <w:color w:val="auto"/>
                      <w:kern w:val="0"/>
                      <w:sz w:val="21"/>
                      <w:szCs w:val="21"/>
                      <w:highlight w:val="none"/>
                    </w:rPr>
                  </w:pPr>
                </w:p>
              </w:tc>
            </w:tr>
          </w:tbl>
          <w:p>
            <w:pPr>
              <w:adjustRightInd w:val="0"/>
              <w:snapToGrid w:val="0"/>
              <w:spacing w:before="156" w:beforeLines="50" w:line="360" w:lineRule="auto"/>
              <w:rPr>
                <w:bCs/>
                <w:color w:val="000000"/>
                <w:sz w:val="11"/>
                <w:szCs w:val="11"/>
              </w:rPr>
            </w:pPr>
          </w:p>
        </w:tc>
      </w:tr>
    </w:tbl>
    <w:p/>
    <w:p>
      <w:pPr>
        <w:widowControl/>
        <w:jc w:val="left"/>
      </w:pPr>
      <w:r>
        <w:br w:type="page"/>
      </w:r>
    </w:p>
    <w:p/>
    <w:tbl>
      <w:tblPr>
        <w:tblStyle w:val="47"/>
        <w:tblW w:w="870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8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trPr>
        <w:tc>
          <w:tcPr>
            <w:tcW w:w="597" w:type="dxa"/>
            <w:tcBorders>
              <w:top w:val="single" w:color="auto" w:sz="4" w:space="0"/>
              <w:bottom w:val="single" w:color="auto" w:sz="4" w:space="0"/>
            </w:tcBorders>
            <w:shd w:val="clear" w:color="auto" w:fill="auto"/>
            <w:vAlign w:val="center"/>
          </w:tcPr>
          <w:p>
            <w:pPr>
              <w:pStyle w:val="21"/>
              <w:contextualSpacing/>
              <w:jc w:val="center"/>
              <w:rPr>
                <w:b/>
                <w:bCs/>
                <w:color w:val="000000"/>
                <w:kern w:val="0"/>
                <w:sz w:val="24"/>
                <w:szCs w:val="24"/>
              </w:rPr>
            </w:pPr>
            <w:r>
              <w:rPr>
                <w:b/>
                <w:bCs/>
                <w:color w:val="000000"/>
                <w:kern w:val="0"/>
                <w:sz w:val="24"/>
                <w:szCs w:val="24"/>
              </w:rPr>
              <w:t>总量控制指标</w:t>
            </w:r>
          </w:p>
        </w:tc>
        <w:tc>
          <w:tcPr>
            <w:tcW w:w="8111" w:type="dxa"/>
            <w:tcBorders>
              <w:top w:val="single" w:color="auto" w:sz="4" w:space="0"/>
            </w:tcBorders>
            <w:shd w:val="clear" w:color="auto" w:fill="auto"/>
            <w:vAlign w:val="center"/>
          </w:tcPr>
          <w:p>
            <w:pPr>
              <w:spacing w:line="360" w:lineRule="auto"/>
              <w:ind w:firstLine="482"/>
              <w:rPr>
                <w:rFonts w:hint="eastAsia"/>
                <w:sz w:val="24"/>
                <w:szCs w:val="24"/>
              </w:rPr>
            </w:pPr>
          </w:p>
          <w:p>
            <w:pPr>
              <w:spacing w:line="360" w:lineRule="auto"/>
              <w:ind w:firstLine="482"/>
              <w:rPr>
                <w:rFonts w:hint="eastAsia"/>
                <w:sz w:val="24"/>
                <w:szCs w:val="24"/>
              </w:rPr>
            </w:pPr>
          </w:p>
          <w:p>
            <w:pPr>
              <w:spacing w:line="360" w:lineRule="auto"/>
              <w:ind w:firstLine="482"/>
              <w:rPr>
                <w:rFonts w:hint="eastAsia"/>
                <w:sz w:val="24"/>
                <w:szCs w:val="24"/>
              </w:rPr>
            </w:pPr>
          </w:p>
          <w:p>
            <w:pPr>
              <w:spacing w:line="360" w:lineRule="auto"/>
              <w:ind w:firstLine="482"/>
              <w:rPr>
                <w:sz w:val="24"/>
                <w:szCs w:val="24"/>
              </w:rPr>
            </w:pPr>
            <w:r>
              <w:rPr>
                <w:rFonts w:hint="eastAsia"/>
                <w:sz w:val="24"/>
                <w:szCs w:val="24"/>
              </w:rPr>
              <w:t>根据</w:t>
            </w:r>
            <w:r>
              <w:rPr>
                <w:sz w:val="24"/>
                <w:szCs w:val="24"/>
              </w:rPr>
              <w:t>国家有关政策要求，结合本项目的特点，确定本项目</w:t>
            </w:r>
            <w:r>
              <w:rPr>
                <w:rFonts w:hint="eastAsia"/>
                <w:sz w:val="24"/>
                <w:szCs w:val="24"/>
              </w:rPr>
              <w:t>实行</w:t>
            </w:r>
            <w:r>
              <w:rPr>
                <w:sz w:val="24"/>
                <w:szCs w:val="24"/>
              </w:rPr>
              <w:t>总量控制的污染因子为SO</w:t>
            </w:r>
            <w:r>
              <w:rPr>
                <w:sz w:val="24"/>
                <w:szCs w:val="24"/>
                <w:vertAlign w:val="subscript"/>
              </w:rPr>
              <w:t>2</w:t>
            </w:r>
            <w:r>
              <w:rPr>
                <w:sz w:val="24"/>
                <w:szCs w:val="24"/>
              </w:rPr>
              <w:t>、NO</w:t>
            </w:r>
            <w:r>
              <w:rPr>
                <w:sz w:val="24"/>
                <w:szCs w:val="24"/>
                <w:vertAlign w:val="subscript"/>
              </w:rPr>
              <w:t>x</w:t>
            </w:r>
            <w:r>
              <w:rPr>
                <w:rFonts w:hint="eastAsia"/>
                <w:sz w:val="24"/>
                <w:szCs w:val="24"/>
              </w:rPr>
              <w:t>、COD、NH</w:t>
            </w:r>
            <w:r>
              <w:rPr>
                <w:rFonts w:hint="eastAsia"/>
                <w:sz w:val="24"/>
                <w:szCs w:val="24"/>
                <w:vertAlign w:val="subscript"/>
              </w:rPr>
              <w:t>3</w:t>
            </w:r>
            <w:r>
              <w:rPr>
                <w:rFonts w:hint="eastAsia"/>
                <w:sz w:val="24"/>
                <w:szCs w:val="24"/>
              </w:rPr>
              <w:t>-N、VOCs。根据</w:t>
            </w:r>
            <w:r>
              <w:rPr>
                <w:sz w:val="24"/>
                <w:szCs w:val="24"/>
              </w:rPr>
              <w:t>《</w:t>
            </w:r>
            <w:r>
              <w:rPr>
                <w:rFonts w:hint="eastAsia"/>
                <w:sz w:val="24"/>
                <w:szCs w:val="24"/>
              </w:rPr>
              <w:t>关于</w:t>
            </w:r>
            <w:r>
              <w:rPr>
                <w:sz w:val="24"/>
                <w:szCs w:val="24"/>
              </w:rPr>
              <w:t>进一步改革和优化建设项目主要污染物排放总量核定工作的通知》</w:t>
            </w:r>
            <w:r>
              <w:rPr>
                <w:rFonts w:hint="eastAsia"/>
                <w:sz w:val="24"/>
                <w:szCs w:val="24"/>
              </w:rPr>
              <w:t>（冀环</w:t>
            </w:r>
            <w:r>
              <w:rPr>
                <w:sz w:val="24"/>
                <w:szCs w:val="24"/>
              </w:rPr>
              <w:t>总[2014</w:t>
            </w:r>
            <w:r>
              <w:rPr>
                <w:rFonts w:hint="eastAsia"/>
                <w:sz w:val="24"/>
                <w:szCs w:val="24"/>
              </w:rPr>
              <w:t>]283号），</w:t>
            </w:r>
            <w:r>
              <w:rPr>
                <w:sz w:val="24"/>
                <w:szCs w:val="24"/>
              </w:rPr>
              <w:t>主要污染物排放总量应按照</w:t>
            </w:r>
            <w:r>
              <w:rPr>
                <w:rFonts w:hint="eastAsia"/>
                <w:sz w:val="24"/>
                <w:szCs w:val="24"/>
              </w:rPr>
              <w:t>排放</w:t>
            </w:r>
            <w:r>
              <w:rPr>
                <w:sz w:val="24"/>
                <w:szCs w:val="24"/>
              </w:rPr>
              <w:t>标准值</w:t>
            </w:r>
            <w:r>
              <w:rPr>
                <w:rFonts w:hint="eastAsia"/>
                <w:sz w:val="24"/>
                <w:szCs w:val="24"/>
              </w:rPr>
              <w:t>计算</w:t>
            </w:r>
            <w:r>
              <w:rPr>
                <w:sz w:val="24"/>
                <w:szCs w:val="24"/>
              </w:rPr>
              <w:t>。</w:t>
            </w:r>
          </w:p>
          <w:p>
            <w:pPr>
              <w:pStyle w:val="43"/>
              <w:spacing w:before="0" w:beforeAutospacing="0" w:after="0" w:afterAutospacing="0" w:line="360" w:lineRule="auto"/>
              <w:ind w:firstLine="482" w:firstLineChars="200"/>
              <w:rPr>
                <w:rFonts w:ascii="Times New Roman" w:hAnsi="Times New Roman"/>
                <w:b/>
                <w:color w:val="auto"/>
              </w:rPr>
            </w:pPr>
            <w:r>
              <w:rPr>
                <w:rFonts w:hint="eastAsia" w:ascii="Times New Roman" w:hAnsi="Times New Roman"/>
                <w:b/>
              </w:rPr>
              <w:t>1、</w:t>
            </w:r>
            <w:r>
              <w:rPr>
                <w:rFonts w:ascii="Times New Roman" w:hAnsi="Times New Roman"/>
                <w:b/>
              </w:rPr>
              <w:t>现有</w:t>
            </w:r>
            <w:r>
              <w:rPr>
                <w:rFonts w:ascii="Times New Roman" w:hAnsi="Times New Roman"/>
                <w:b/>
                <w:color w:val="auto"/>
              </w:rPr>
              <w:t>工程总量控制指标</w:t>
            </w:r>
          </w:p>
          <w:p>
            <w:pPr>
              <w:pStyle w:val="43"/>
              <w:spacing w:before="0" w:beforeAutospacing="0" w:after="0" w:afterAutospacing="0" w:line="360" w:lineRule="auto"/>
              <w:ind w:firstLine="480" w:firstLineChars="200"/>
              <w:rPr>
                <w:rFonts w:ascii="Times New Roman" w:hAnsi="Times New Roman"/>
                <w:b/>
                <w:color w:val="auto"/>
              </w:rPr>
            </w:pPr>
            <w:r>
              <w:rPr>
                <w:rFonts w:ascii="Times New Roman" w:hAnsi="Times New Roman"/>
                <w:color w:val="auto"/>
                <w:lang w:val="en-GB"/>
              </w:rPr>
              <w:t>企业现有工程污染物排污许可总量控制指标为：SO</w:t>
            </w:r>
            <w:r>
              <w:rPr>
                <w:rFonts w:ascii="Times New Roman" w:hAnsi="Times New Roman"/>
                <w:color w:val="auto"/>
                <w:vertAlign w:val="subscript"/>
                <w:lang w:val="en-GB"/>
              </w:rPr>
              <w:t>2</w:t>
            </w:r>
            <w:r>
              <w:rPr>
                <w:rFonts w:hint="eastAsia" w:ascii="Times New Roman" w:hAnsi="Times New Roman"/>
                <w:color w:val="auto"/>
                <w:vertAlign w:val="baseline"/>
                <w:lang w:val="en-US" w:eastAsia="zh-CN"/>
              </w:rPr>
              <w:t>3.532</w:t>
            </w:r>
            <w:r>
              <w:rPr>
                <w:rFonts w:ascii="Times New Roman" w:hAnsi="Times New Roman"/>
                <w:color w:val="auto"/>
                <w:lang w:val="en-GB"/>
              </w:rPr>
              <w:t>t/a、NO</w:t>
            </w:r>
            <w:r>
              <w:rPr>
                <w:rFonts w:ascii="Times New Roman" w:hAnsi="Times New Roman"/>
                <w:color w:val="auto"/>
                <w:vertAlign w:val="subscript"/>
                <w:lang w:val="en-GB"/>
              </w:rPr>
              <w:t>X</w:t>
            </w:r>
            <w:r>
              <w:rPr>
                <w:rFonts w:hint="eastAsia" w:ascii="Times New Roman" w:hAnsi="Times New Roman"/>
                <w:color w:val="auto"/>
                <w:lang w:val="en-US" w:eastAsia="zh-CN"/>
              </w:rPr>
              <w:t>10.596</w:t>
            </w:r>
            <w:r>
              <w:rPr>
                <w:rFonts w:ascii="Times New Roman" w:hAnsi="Times New Roman"/>
                <w:color w:val="auto"/>
                <w:lang w:val="en-GB"/>
              </w:rPr>
              <w:t>t/a、</w:t>
            </w:r>
            <w:r>
              <w:rPr>
                <w:rFonts w:hint="eastAsia" w:ascii="Times New Roman" w:hAnsi="Times New Roman"/>
                <w:color w:val="auto"/>
                <w:lang w:val="en-US" w:eastAsia="zh-CN"/>
              </w:rPr>
              <w:t>烟尘1.143t/a、</w:t>
            </w:r>
            <w:r>
              <w:rPr>
                <w:rFonts w:ascii="Times New Roman" w:hAnsi="Times New Roman"/>
                <w:color w:val="auto"/>
              </w:rPr>
              <w:t xml:space="preserve">COD </w:t>
            </w:r>
            <w:r>
              <w:rPr>
                <w:rFonts w:hint="eastAsia" w:ascii="Times New Roman" w:hAnsi="Times New Roman"/>
                <w:color w:val="auto"/>
                <w:lang w:val="en-US" w:eastAsia="zh-CN"/>
              </w:rPr>
              <w:t>21.663</w:t>
            </w:r>
            <w:r>
              <w:rPr>
                <w:rFonts w:ascii="Times New Roman" w:hAnsi="Times New Roman"/>
                <w:color w:val="auto"/>
              </w:rPr>
              <w:t>t/a、NH</w:t>
            </w:r>
            <w:r>
              <w:rPr>
                <w:rFonts w:ascii="Times New Roman" w:hAnsi="Times New Roman"/>
                <w:color w:val="auto"/>
                <w:vertAlign w:val="subscript"/>
              </w:rPr>
              <w:t>3</w:t>
            </w:r>
            <w:r>
              <w:rPr>
                <w:rFonts w:ascii="Times New Roman" w:hAnsi="Times New Roman"/>
                <w:color w:val="auto"/>
              </w:rPr>
              <w:t xml:space="preserve">-N </w:t>
            </w:r>
            <w:r>
              <w:rPr>
                <w:rFonts w:hint="eastAsia" w:ascii="Times New Roman" w:hAnsi="Times New Roman"/>
                <w:color w:val="auto"/>
                <w:lang w:val="en-US" w:eastAsia="zh-CN"/>
              </w:rPr>
              <w:t>2.167</w:t>
            </w:r>
            <w:r>
              <w:rPr>
                <w:rFonts w:ascii="Times New Roman" w:hAnsi="Times New Roman"/>
                <w:color w:val="auto"/>
              </w:rPr>
              <w:t>t/a</w:t>
            </w:r>
            <w:r>
              <w:rPr>
                <w:rFonts w:hint="eastAsia" w:ascii="Times New Roman" w:hAnsi="Times New Roman"/>
                <w:color w:val="auto"/>
                <w:lang w:eastAsia="zh-CN"/>
              </w:rPr>
              <w:t>、</w:t>
            </w:r>
            <w:r>
              <w:rPr>
                <w:rFonts w:hint="eastAsia" w:ascii="Times New Roman" w:hAnsi="Times New Roman"/>
                <w:color w:val="auto"/>
                <w:lang w:val="en-US" w:eastAsia="zh-CN"/>
              </w:rPr>
              <w:t>TP0.173t/a、TN6.499t/a</w:t>
            </w:r>
            <w:r>
              <w:rPr>
                <w:rFonts w:ascii="Times New Roman" w:hAnsi="Times New Roman"/>
                <w:color w:val="auto"/>
                <w:lang w:val="en-GB"/>
              </w:rPr>
              <w:t>。</w:t>
            </w:r>
          </w:p>
          <w:p>
            <w:pPr>
              <w:pStyle w:val="43"/>
              <w:spacing w:before="0" w:beforeAutospacing="0" w:after="0" w:afterAutospacing="0" w:line="360" w:lineRule="auto"/>
              <w:ind w:firstLine="482" w:firstLineChars="200"/>
              <w:rPr>
                <w:rFonts w:ascii="Times New Roman" w:hAnsi="Times New Roman"/>
                <w:b/>
                <w:color w:val="auto"/>
              </w:rPr>
            </w:pPr>
            <w:r>
              <w:rPr>
                <w:rFonts w:ascii="Times New Roman" w:hAnsi="Times New Roman"/>
                <w:b/>
                <w:color w:val="auto"/>
              </w:rPr>
              <w:t>2</w:t>
            </w:r>
            <w:r>
              <w:rPr>
                <w:rFonts w:hint="eastAsia" w:ascii="Times New Roman" w:hAnsi="Times New Roman"/>
                <w:b/>
                <w:color w:val="auto"/>
              </w:rPr>
              <w:t>、污染物</w:t>
            </w:r>
            <w:r>
              <w:rPr>
                <w:rFonts w:ascii="Times New Roman" w:hAnsi="Times New Roman"/>
                <w:b/>
                <w:color w:val="auto"/>
              </w:rPr>
              <w:t>排放量</w:t>
            </w:r>
          </w:p>
          <w:p>
            <w:pPr>
              <w:pStyle w:val="43"/>
              <w:spacing w:before="0" w:beforeAutospacing="0" w:after="0" w:afterAutospacing="0" w:line="360" w:lineRule="auto"/>
              <w:ind w:firstLine="480" w:firstLineChars="200"/>
              <w:rPr>
                <w:rFonts w:ascii="Times New Roman" w:hAnsi="Times New Roman"/>
                <w:color w:val="auto"/>
              </w:rPr>
            </w:pPr>
            <w:r>
              <w:rPr>
                <w:rFonts w:hint="eastAsia" w:ascii="Times New Roman" w:hAnsi="Times New Roman"/>
                <w:color w:val="auto"/>
              </w:rPr>
              <w:t>项目</w:t>
            </w:r>
            <w:r>
              <w:rPr>
                <w:rFonts w:ascii="Times New Roman" w:hAnsi="Times New Roman"/>
                <w:color w:val="auto"/>
              </w:rPr>
              <w:t>技改前后污染物总量控制三本账</w:t>
            </w:r>
            <w:r>
              <w:rPr>
                <w:rFonts w:hint="eastAsia" w:ascii="Times New Roman" w:hAnsi="Times New Roman"/>
                <w:color w:val="auto"/>
              </w:rPr>
              <w:t>见</w:t>
            </w:r>
            <w:r>
              <w:rPr>
                <w:rFonts w:ascii="Times New Roman" w:hAnsi="Times New Roman"/>
                <w:color w:val="auto"/>
              </w:rPr>
              <w:t>表</w:t>
            </w:r>
            <w:r>
              <w:rPr>
                <w:rFonts w:hint="eastAsia" w:ascii="Times New Roman" w:hAnsi="Times New Roman"/>
                <w:color w:val="auto"/>
              </w:rPr>
              <w:t>2</w:t>
            </w:r>
            <w:r>
              <w:rPr>
                <w:rFonts w:ascii="Times New Roman" w:hAnsi="Times New Roman"/>
                <w:color w:val="auto"/>
              </w:rPr>
              <w:t>1</w:t>
            </w:r>
            <w:r>
              <w:rPr>
                <w:rFonts w:hint="eastAsia" w:ascii="Times New Roman" w:hAnsi="Times New Roman"/>
                <w:color w:val="auto"/>
              </w:rPr>
              <w:t>。</w:t>
            </w:r>
          </w:p>
          <w:p>
            <w:pPr>
              <w:pStyle w:val="43"/>
              <w:spacing w:before="0" w:beforeAutospacing="0" w:after="0" w:afterAutospacing="0" w:line="360" w:lineRule="auto"/>
              <w:jc w:val="center"/>
              <w:rPr>
                <w:rFonts w:ascii="Times New Roman" w:hAnsi="Times New Roman"/>
                <w:b/>
                <w:color w:val="auto"/>
              </w:rPr>
            </w:pPr>
            <w:r>
              <w:rPr>
                <w:rFonts w:hint="eastAsia" w:ascii="Times New Roman" w:hAnsi="Times New Roman"/>
                <w:b/>
                <w:color w:val="auto"/>
              </w:rPr>
              <w:t>表2</w:t>
            </w:r>
            <w:r>
              <w:rPr>
                <w:rFonts w:ascii="Times New Roman" w:hAnsi="Times New Roman"/>
                <w:b/>
                <w:color w:val="auto"/>
              </w:rPr>
              <w:t xml:space="preserve">1  </w:t>
            </w:r>
            <w:r>
              <w:rPr>
                <w:rFonts w:hint="eastAsia" w:ascii="Times New Roman" w:hAnsi="Times New Roman"/>
                <w:b/>
                <w:color w:val="auto"/>
              </w:rPr>
              <w:t>项目</w:t>
            </w:r>
            <w:r>
              <w:rPr>
                <w:rFonts w:ascii="Times New Roman" w:hAnsi="Times New Roman"/>
                <w:b/>
                <w:color w:val="auto"/>
              </w:rPr>
              <w:t>技改前后污染物总量控制三本账分析</w:t>
            </w:r>
            <w:r>
              <w:rPr>
                <w:rFonts w:hint="eastAsia" w:ascii="Times New Roman" w:hAnsi="Times New Roman"/>
                <w:b/>
                <w:color w:val="auto"/>
              </w:rPr>
              <w:t xml:space="preserve"> 单位t/a</w:t>
            </w:r>
          </w:p>
          <w:tbl>
            <w:tblPr>
              <w:tblStyle w:val="48"/>
              <w:tblW w:w="7875"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446"/>
              <w:gridCol w:w="899"/>
              <w:gridCol w:w="991"/>
              <w:gridCol w:w="1132"/>
              <w:gridCol w:w="1276"/>
              <w:gridCol w:w="1988"/>
              <w:gridCol w:w="1143"/>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0" w:hRule="atLeast"/>
              </w:trPr>
              <w:tc>
                <w:tcPr>
                  <w:tcW w:w="446" w:type="dxa"/>
                  <w:vMerge w:val="restart"/>
                  <w:vAlign w:val="center"/>
                </w:tcPr>
                <w:p>
                  <w:pPr>
                    <w:jc w:val="center"/>
                    <w:rPr>
                      <w:color w:val="auto"/>
                      <w:szCs w:val="21"/>
                    </w:rPr>
                  </w:pPr>
                  <w:r>
                    <w:rPr>
                      <w:rFonts w:hint="eastAsia"/>
                      <w:color w:val="auto"/>
                      <w:szCs w:val="21"/>
                    </w:rPr>
                    <w:t>类别</w:t>
                  </w:r>
                </w:p>
              </w:tc>
              <w:tc>
                <w:tcPr>
                  <w:tcW w:w="899" w:type="dxa"/>
                  <w:vMerge w:val="restart"/>
                  <w:vAlign w:val="center"/>
                </w:tcPr>
                <w:p>
                  <w:pPr>
                    <w:jc w:val="center"/>
                    <w:rPr>
                      <w:color w:val="auto"/>
                      <w:szCs w:val="21"/>
                    </w:rPr>
                  </w:pPr>
                  <w:r>
                    <w:rPr>
                      <w:rFonts w:hint="eastAsia"/>
                      <w:color w:val="auto"/>
                      <w:szCs w:val="21"/>
                    </w:rPr>
                    <w:t>项目</w:t>
                  </w:r>
                </w:p>
              </w:tc>
              <w:tc>
                <w:tcPr>
                  <w:tcW w:w="991" w:type="dxa"/>
                  <w:vMerge w:val="restart"/>
                  <w:vAlign w:val="center"/>
                </w:tcPr>
                <w:p>
                  <w:pPr>
                    <w:jc w:val="center"/>
                    <w:rPr>
                      <w:color w:val="auto"/>
                      <w:szCs w:val="21"/>
                    </w:rPr>
                  </w:pPr>
                  <w:r>
                    <w:rPr>
                      <w:rFonts w:hint="eastAsia"/>
                      <w:color w:val="auto"/>
                      <w:szCs w:val="21"/>
                    </w:rPr>
                    <w:t>技改前</w:t>
                  </w:r>
                </w:p>
                <w:p>
                  <w:pPr>
                    <w:jc w:val="center"/>
                    <w:rPr>
                      <w:color w:val="auto"/>
                      <w:szCs w:val="21"/>
                    </w:rPr>
                  </w:pPr>
                  <w:r>
                    <w:rPr>
                      <w:rFonts w:hint="eastAsia"/>
                      <w:color w:val="auto"/>
                      <w:szCs w:val="21"/>
                    </w:rPr>
                    <w:t>排放量</w:t>
                  </w:r>
                </w:p>
              </w:tc>
              <w:tc>
                <w:tcPr>
                  <w:tcW w:w="1132" w:type="dxa"/>
                  <w:vMerge w:val="restart"/>
                  <w:vAlign w:val="center"/>
                </w:tcPr>
                <w:p>
                  <w:pPr>
                    <w:jc w:val="center"/>
                    <w:rPr>
                      <w:color w:val="auto"/>
                      <w:szCs w:val="21"/>
                    </w:rPr>
                  </w:pPr>
                  <w:r>
                    <w:rPr>
                      <w:rFonts w:hint="eastAsia"/>
                      <w:color w:val="auto"/>
                      <w:szCs w:val="21"/>
                    </w:rPr>
                    <w:t>技改工程</w:t>
                  </w:r>
                </w:p>
                <w:p>
                  <w:pPr>
                    <w:jc w:val="center"/>
                    <w:rPr>
                      <w:color w:val="auto"/>
                      <w:szCs w:val="21"/>
                    </w:rPr>
                  </w:pPr>
                  <w:r>
                    <w:rPr>
                      <w:rFonts w:hint="eastAsia"/>
                      <w:color w:val="auto"/>
                      <w:szCs w:val="21"/>
                    </w:rPr>
                    <w:t>排放量</w:t>
                  </w:r>
                </w:p>
              </w:tc>
              <w:tc>
                <w:tcPr>
                  <w:tcW w:w="3264" w:type="dxa"/>
                  <w:gridSpan w:val="2"/>
                  <w:vAlign w:val="center"/>
                </w:tcPr>
                <w:p>
                  <w:pPr>
                    <w:jc w:val="center"/>
                    <w:rPr>
                      <w:color w:val="auto"/>
                      <w:szCs w:val="21"/>
                    </w:rPr>
                  </w:pPr>
                  <w:r>
                    <w:rPr>
                      <w:rFonts w:hint="eastAsia"/>
                      <w:color w:val="auto"/>
                      <w:szCs w:val="21"/>
                    </w:rPr>
                    <w:t>技改后</w:t>
                  </w:r>
                </w:p>
              </w:tc>
              <w:tc>
                <w:tcPr>
                  <w:tcW w:w="1143" w:type="dxa"/>
                  <w:vMerge w:val="restart"/>
                  <w:vAlign w:val="center"/>
                </w:tcPr>
                <w:p>
                  <w:pPr>
                    <w:jc w:val="center"/>
                    <w:rPr>
                      <w:color w:val="auto"/>
                      <w:szCs w:val="21"/>
                    </w:rPr>
                  </w:pPr>
                  <w:r>
                    <w:rPr>
                      <w:rFonts w:hint="eastAsia"/>
                      <w:color w:val="auto"/>
                      <w:szCs w:val="21"/>
                    </w:rPr>
                    <w:t>技改前后</w:t>
                  </w:r>
                </w:p>
                <w:p>
                  <w:pPr>
                    <w:jc w:val="center"/>
                    <w:rPr>
                      <w:color w:val="auto"/>
                      <w:szCs w:val="21"/>
                    </w:rPr>
                  </w:pPr>
                  <w:r>
                    <w:rPr>
                      <w:rFonts w:hint="eastAsia"/>
                      <w:color w:val="auto"/>
                      <w:szCs w:val="21"/>
                    </w:rPr>
                    <w:t>增减量</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 w:hRule="atLeast"/>
              </w:trPr>
              <w:tc>
                <w:tcPr>
                  <w:tcW w:w="446" w:type="dxa"/>
                  <w:vMerge w:val="continue"/>
                  <w:vAlign w:val="center"/>
                </w:tcPr>
                <w:p>
                  <w:pPr>
                    <w:jc w:val="center"/>
                    <w:rPr>
                      <w:b/>
                      <w:color w:val="auto"/>
                      <w:szCs w:val="21"/>
                    </w:rPr>
                  </w:pPr>
                </w:p>
              </w:tc>
              <w:tc>
                <w:tcPr>
                  <w:tcW w:w="899" w:type="dxa"/>
                  <w:vMerge w:val="continue"/>
                  <w:vAlign w:val="center"/>
                </w:tcPr>
                <w:p>
                  <w:pPr>
                    <w:jc w:val="center"/>
                    <w:rPr>
                      <w:b/>
                      <w:color w:val="auto"/>
                      <w:szCs w:val="21"/>
                    </w:rPr>
                  </w:pPr>
                </w:p>
              </w:tc>
              <w:tc>
                <w:tcPr>
                  <w:tcW w:w="991" w:type="dxa"/>
                  <w:vMerge w:val="continue"/>
                  <w:vAlign w:val="center"/>
                </w:tcPr>
                <w:p>
                  <w:pPr>
                    <w:jc w:val="center"/>
                    <w:rPr>
                      <w:b/>
                      <w:color w:val="auto"/>
                      <w:szCs w:val="21"/>
                    </w:rPr>
                  </w:pPr>
                </w:p>
              </w:tc>
              <w:tc>
                <w:tcPr>
                  <w:tcW w:w="1132" w:type="dxa"/>
                  <w:vMerge w:val="continue"/>
                  <w:vAlign w:val="center"/>
                </w:tcPr>
                <w:p>
                  <w:pPr>
                    <w:jc w:val="center"/>
                    <w:rPr>
                      <w:b/>
                      <w:color w:val="auto"/>
                      <w:szCs w:val="21"/>
                    </w:rPr>
                  </w:pPr>
                </w:p>
              </w:tc>
              <w:tc>
                <w:tcPr>
                  <w:tcW w:w="1276" w:type="dxa"/>
                  <w:vAlign w:val="center"/>
                </w:tcPr>
                <w:p>
                  <w:pPr>
                    <w:jc w:val="center"/>
                    <w:rPr>
                      <w:color w:val="auto"/>
                      <w:szCs w:val="21"/>
                    </w:rPr>
                  </w:pPr>
                  <w:r>
                    <w:rPr>
                      <w:rFonts w:hint="eastAsia"/>
                      <w:color w:val="auto"/>
                      <w:szCs w:val="21"/>
                    </w:rPr>
                    <w:t>以新带</w:t>
                  </w:r>
                </w:p>
                <w:p>
                  <w:pPr>
                    <w:jc w:val="center"/>
                    <w:rPr>
                      <w:color w:val="auto"/>
                      <w:szCs w:val="21"/>
                    </w:rPr>
                  </w:pPr>
                  <w:r>
                    <w:rPr>
                      <w:rFonts w:hint="eastAsia"/>
                      <w:color w:val="auto"/>
                      <w:szCs w:val="21"/>
                    </w:rPr>
                    <w:t>老量</w:t>
                  </w:r>
                </w:p>
              </w:tc>
              <w:tc>
                <w:tcPr>
                  <w:tcW w:w="1988" w:type="dxa"/>
                  <w:vAlign w:val="center"/>
                </w:tcPr>
                <w:p>
                  <w:pPr>
                    <w:jc w:val="center"/>
                    <w:rPr>
                      <w:color w:val="auto"/>
                      <w:szCs w:val="21"/>
                    </w:rPr>
                  </w:pPr>
                  <w:r>
                    <w:rPr>
                      <w:rFonts w:hint="eastAsia"/>
                      <w:color w:val="auto"/>
                      <w:szCs w:val="21"/>
                    </w:rPr>
                    <w:t>技改后全厂排放量</w:t>
                  </w:r>
                </w:p>
              </w:tc>
              <w:tc>
                <w:tcPr>
                  <w:tcW w:w="1143" w:type="dxa"/>
                  <w:vMerge w:val="continue"/>
                  <w:vAlign w:val="center"/>
                </w:tcPr>
                <w:p>
                  <w:pPr>
                    <w:jc w:val="center"/>
                    <w:rPr>
                      <w:color w:val="auto"/>
                      <w:szCs w:val="21"/>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128" w:hRule="atLeast"/>
              </w:trPr>
              <w:tc>
                <w:tcPr>
                  <w:tcW w:w="446" w:type="dxa"/>
                  <w:vMerge w:val="restart"/>
                  <w:vAlign w:val="center"/>
                </w:tcPr>
                <w:p>
                  <w:pPr>
                    <w:jc w:val="center"/>
                    <w:rPr>
                      <w:color w:val="auto"/>
                      <w:szCs w:val="21"/>
                    </w:rPr>
                  </w:pPr>
                  <w:r>
                    <w:rPr>
                      <w:rFonts w:hint="eastAsia"/>
                      <w:color w:val="auto"/>
                      <w:szCs w:val="21"/>
                    </w:rPr>
                    <w:t>废气</w:t>
                  </w:r>
                </w:p>
              </w:tc>
              <w:tc>
                <w:tcPr>
                  <w:tcW w:w="899" w:type="dxa"/>
                  <w:vAlign w:val="center"/>
                </w:tcPr>
                <w:p>
                  <w:pPr>
                    <w:jc w:val="center"/>
                    <w:rPr>
                      <w:color w:val="auto"/>
                      <w:szCs w:val="21"/>
                    </w:rPr>
                  </w:pPr>
                  <w:r>
                    <w:rPr>
                      <w:color w:val="auto"/>
                      <w:szCs w:val="21"/>
                    </w:rPr>
                    <w:t>SO</w:t>
                  </w:r>
                  <w:r>
                    <w:rPr>
                      <w:color w:val="auto"/>
                      <w:szCs w:val="21"/>
                      <w:vertAlign w:val="subscript"/>
                    </w:rPr>
                    <w:t>2</w:t>
                  </w:r>
                </w:p>
              </w:tc>
              <w:tc>
                <w:tcPr>
                  <w:tcW w:w="991" w:type="dxa"/>
                  <w:vAlign w:val="center"/>
                </w:tcPr>
                <w:p>
                  <w:pPr>
                    <w:jc w:val="center"/>
                    <w:rPr>
                      <w:rFonts w:hint="default" w:eastAsia="宋体"/>
                      <w:color w:val="auto"/>
                      <w:szCs w:val="21"/>
                      <w:lang w:val="en-US" w:eastAsia="zh-CN"/>
                    </w:rPr>
                  </w:pPr>
                  <w:r>
                    <w:rPr>
                      <w:rFonts w:hint="eastAsia"/>
                      <w:color w:val="auto"/>
                      <w:szCs w:val="21"/>
                      <w:lang w:val="en-US" w:eastAsia="zh-CN"/>
                    </w:rPr>
                    <w:t>3.532</w:t>
                  </w:r>
                </w:p>
              </w:tc>
              <w:tc>
                <w:tcPr>
                  <w:tcW w:w="1132" w:type="dxa"/>
                  <w:vAlign w:val="center"/>
                </w:tcPr>
                <w:p>
                  <w:pPr>
                    <w:jc w:val="center"/>
                    <w:rPr>
                      <w:color w:val="auto"/>
                      <w:szCs w:val="21"/>
                    </w:rPr>
                  </w:pPr>
                  <w:r>
                    <w:rPr>
                      <w:rFonts w:hint="eastAsia"/>
                      <w:color w:val="auto"/>
                      <w:szCs w:val="21"/>
                    </w:rPr>
                    <w:t>0</w:t>
                  </w:r>
                </w:p>
              </w:tc>
              <w:tc>
                <w:tcPr>
                  <w:tcW w:w="1276" w:type="dxa"/>
                  <w:vAlign w:val="center"/>
                </w:tcPr>
                <w:p>
                  <w:pPr>
                    <w:pStyle w:val="82"/>
                    <w:rPr>
                      <w:color w:val="auto"/>
                    </w:rPr>
                  </w:pPr>
                  <w:r>
                    <w:rPr>
                      <w:rFonts w:hint="eastAsia"/>
                      <w:color w:val="auto"/>
                    </w:rPr>
                    <w:t>0</w:t>
                  </w:r>
                </w:p>
              </w:tc>
              <w:tc>
                <w:tcPr>
                  <w:tcW w:w="1988" w:type="dxa"/>
                  <w:vAlign w:val="center"/>
                </w:tcPr>
                <w:p>
                  <w:pPr>
                    <w:jc w:val="center"/>
                    <w:rPr>
                      <w:color w:val="auto"/>
                      <w:szCs w:val="21"/>
                    </w:rPr>
                  </w:pPr>
                  <w:r>
                    <w:rPr>
                      <w:rFonts w:hint="eastAsia"/>
                      <w:color w:val="auto"/>
                      <w:szCs w:val="21"/>
                      <w:lang w:val="en-US" w:eastAsia="zh-CN"/>
                    </w:rPr>
                    <w:t>3.532</w:t>
                  </w:r>
                </w:p>
              </w:tc>
              <w:tc>
                <w:tcPr>
                  <w:tcW w:w="1143" w:type="dxa"/>
                  <w:vAlign w:val="center"/>
                </w:tcPr>
                <w:p>
                  <w:pPr>
                    <w:jc w:val="center"/>
                    <w:rPr>
                      <w:rFonts w:hint="eastAsia" w:eastAsia="宋体"/>
                      <w:color w:val="auto"/>
                      <w:szCs w:val="21"/>
                      <w:lang w:val="en-US" w:eastAsia="zh-CN"/>
                    </w:rPr>
                  </w:pPr>
                  <w:r>
                    <w:rPr>
                      <w:rFonts w:hint="eastAsia"/>
                      <w:color w:val="auto"/>
                      <w:szCs w:val="21"/>
                      <w:lang w:val="en-US" w:eastAsia="zh-CN"/>
                    </w:rPr>
                    <w:t>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 w:hRule="atLeast"/>
              </w:trPr>
              <w:tc>
                <w:tcPr>
                  <w:tcW w:w="446" w:type="dxa"/>
                  <w:vMerge w:val="continue"/>
                  <w:vAlign w:val="center"/>
                </w:tcPr>
                <w:p>
                  <w:pPr>
                    <w:jc w:val="center"/>
                    <w:rPr>
                      <w:color w:val="auto"/>
                      <w:szCs w:val="21"/>
                    </w:rPr>
                  </w:pPr>
                </w:p>
              </w:tc>
              <w:tc>
                <w:tcPr>
                  <w:tcW w:w="899" w:type="dxa"/>
                  <w:vAlign w:val="center"/>
                </w:tcPr>
                <w:p>
                  <w:pPr>
                    <w:jc w:val="center"/>
                    <w:rPr>
                      <w:color w:val="auto"/>
                      <w:szCs w:val="21"/>
                    </w:rPr>
                  </w:pPr>
                  <w:r>
                    <w:rPr>
                      <w:color w:val="auto"/>
                      <w:szCs w:val="21"/>
                    </w:rPr>
                    <w:t>NO</w:t>
                  </w:r>
                  <w:r>
                    <w:rPr>
                      <w:color w:val="auto"/>
                      <w:szCs w:val="21"/>
                      <w:vertAlign w:val="subscript"/>
                    </w:rPr>
                    <w:t>x</w:t>
                  </w:r>
                </w:p>
              </w:tc>
              <w:tc>
                <w:tcPr>
                  <w:tcW w:w="991" w:type="dxa"/>
                  <w:vAlign w:val="center"/>
                </w:tcPr>
                <w:p>
                  <w:pPr>
                    <w:jc w:val="center"/>
                    <w:rPr>
                      <w:rFonts w:hint="default" w:eastAsia="宋体"/>
                      <w:color w:val="auto"/>
                      <w:szCs w:val="21"/>
                      <w:lang w:val="en-US" w:eastAsia="zh-CN"/>
                    </w:rPr>
                  </w:pPr>
                  <w:r>
                    <w:rPr>
                      <w:rFonts w:hint="eastAsia"/>
                      <w:color w:val="auto"/>
                      <w:szCs w:val="21"/>
                      <w:lang w:val="en-US" w:eastAsia="zh-CN"/>
                    </w:rPr>
                    <w:t>10.596</w:t>
                  </w:r>
                </w:p>
              </w:tc>
              <w:tc>
                <w:tcPr>
                  <w:tcW w:w="1132" w:type="dxa"/>
                  <w:vAlign w:val="center"/>
                </w:tcPr>
                <w:p>
                  <w:pPr>
                    <w:jc w:val="center"/>
                    <w:rPr>
                      <w:color w:val="auto"/>
                      <w:szCs w:val="21"/>
                    </w:rPr>
                  </w:pPr>
                  <w:r>
                    <w:rPr>
                      <w:rFonts w:hint="eastAsia"/>
                      <w:color w:val="auto"/>
                      <w:szCs w:val="21"/>
                    </w:rPr>
                    <w:t>0</w:t>
                  </w:r>
                </w:p>
              </w:tc>
              <w:tc>
                <w:tcPr>
                  <w:tcW w:w="1276" w:type="dxa"/>
                  <w:vAlign w:val="center"/>
                </w:tcPr>
                <w:p>
                  <w:pPr>
                    <w:pStyle w:val="82"/>
                    <w:rPr>
                      <w:color w:val="auto"/>
                    </w:rPr>
                  </w:pPr>
                  <w:r>
                    <w:rPr>
                      <w:rFonts w:hint="eastAsia"/>
                      <w:color w:val="auto"/>
                    </w:rPr>
                    <w:t>0</w:t>
                  </w:r>
                </w:p>
              </w:tc>
              <w:tc>
                <w:tcPr>
                  <w:tcW w:w="1988" w:type="dxa"/>
                  <w:vAlign w:val="center"/>
                </w:tcPr>
                <w:p>
                  <w:pPr>
                    <w:jc w:val="center"/>
                    <w:rPr>
                      <w:color w:val="auto"/>
                      <w:szCs w:val="21"/>
                    </w:rPr>
                  </w:pPr>
                  <w:r>
                    <w:rPr>
                      <w:rFonts w:hint="eastAsia"/>
                      <w:color w:val="auto"/>
                      <w:szCs w:val="21"/>
                      <w:lang w:val="en-US" w:eastAsia="zh-CN"/>
                    </w:rPr>
                    <w:t>10.596</w:t>
                  </w:r>
                </w:p>
              </w:tc>
              <w:tc>
                <w:tcPr>
                  <w:tcW w:w="1143" w:type="dxa"/>
                  <w:vAlign w:val="center"/>
                </w:tcPr>
                <w:p>
                  <w:pPr>
                    <w:jc w:val="center"/>
                    <w:rPr>
                      <w:rFonts w:hint="eastAsia" w:eastAsia="宋体"/>
                      <w:color w:val="auto"/>
                      <w:szCs w:val="21"/>
                      <w:lang w:val="en-US" w:eastAsia="zh-CN"/>
                    </w:rPr>
                  </w:pPr>
                  <w:r>
                    <w:rPr>
                      <w:rFonts w:hint="eastAsia"/>
                      <w:color w:val="auto"/>
                      <w:szCs w:val="21"/>
                      <w:lang w:val="en-US" w:eastAsia="zh-CN"/>
                    </w:rPr>
                    <w:t>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 w:hRule="atLeast"/>
              </w:trPr>
              <w:tc>
                <w:tcPr>
                  <w:tcW w:w="446" w:type="dxa"/>
                  <w:vMerge w:val="continue"/>
                  <w:vAlign w:val="center"/>
                </w:tcPr>
                <w:p>
                  <w:pPr>
                    <w:jc w:val="center"/>
                    <w:rPr>
                      <w:color w:val="auto"/>
                      <w:szCs w:val="21"/>
                    </w:rPr>
                  </w:pPr>
                </w:p>
              </w:tc>
              <w:tc>
                <w:tcPr>
                  <w:tcW w:w="899" w:type="dxa"/>
                  <w:vAlign w:val="center"/>
                </w:tcPr>
                <w:p>
                  <w:pPr>
                    <w:jc w:val="center"/>
                    <w:rPr>
                      <w:color w:val="auto"/>
                      <w:szCs w:val="21"/>
                    </w:rPr>
                  </w:pPr>
                  <w:r>
                    <w:rPr>
                      <w:rFonts w:hint="eastAsia"/>
                      <w:color w:val="auto"/>
                    </w:rPr>
                    <w:t>VOCs</w:t>
                  </w:r>
                </w:p>
              </w:tc>
              <w:tc>
                <w:tcPr>
                  <w:tcW w:w="991" w:type="dxa"/>
                  <w:vAlign w:val="center"/>
                </w:tcPr>
                <w:p>
                  <w:pPr>
                    <w:jc w:val="center"/>
                    <w:rPr>
                      <w:rFonts w:hint="default" w:eastAsia="宋体"/>
                      <w:color w:val="auto"/>
                      <w:szCs w:val="21"/>
                      <w:lang w:val="en-US" w:eastAsia="zh-CN"/>
                    </w:rPr>
                  </w:pPr>
                  <w:r>
                    <w:rPr>
                      <w:rFonts w:hint="eastAsia"/>
                      <w:color w:val="auto"/>
                      <w:szCs w:val="21"/>
                      <w:lang w:val="en-US" w:eastAsia="zh-CN"/>
                    </w:rPr>
                    <w:t>5.760</w:t>
                  </w:r>
                </w:p>
              </w:tc>
              <w:tc>
                <w:tcPr>
                  <w:tcW w:w="1132" w:type="dxa"/>
                  <w:vAlign w:val="center"/>
                </w:tcPr>
                <w:p>
                  <w:pPr>
                    <w:jc w:val="center"/>
                    <w:rPr>
                      <w:color w:val="auto"/>
                      <w:szCs w:val="21"/>
                    </w:rPr>
                  </w:pPr>
                  <w:r>
                    <w:rPr>
                      <w:rFonts w:hint="eastAsia"/>
                      <w:color w:val="auto"/>
                      <w:szCs w:val="21"/>
                    </w:rPr>
                    <w:t>0</w:t>
                  </w:r>
                </w:p>
              </w:tc>
              <w:tc>
                <w:tcPr>
                  <w:tcW w:w="1276" w:type="dxa"/>
                  <w:vAlign w:val="center"/>
                </w:tcPr>
                <w:p>
                  <w:pPr>
                    <w:pStyle w:val="82"/>
                    <w:rPr>
                      <w:color w:val="auto"/>
                    </w:rPr>
                  </w:pPr>
                  <w:r>
                    <w:rPr>
                      <w:rFonts w:hint="eastAsia"/>
                      <w:color w:val="auto"/>
                    </w:rPr>
                    <w:t>0</w:t>
                  </w:r>
                </w:p>
              </w:tc>
              <w:tc>
                <w:tcPr>
                  <w:tcW w:w="1988" w:type="dxa"/>
                  <w:vAlign w:val="center"/>
                </w:tcPr>
                <w:p>
                  <w:pPr>
                    <w:jc w:val="center"/>
                    <w:rPr>
                      <w:color w:val="auto"/>
                      <w:szCs w:val="21"/>
                    </w:rPr>
                  </w:pPr>
                  <w:r>
                    <w:rPr>
                      <w:rFonts w:hint="eastAsia"/>
                      <w:color w:val="auto"/>
                      <w:szCs w:val="21"/>
                      <w:lang w:val="en-US" w:eastAsia="zh-CN"/>
                    </w:rPr>
                    <w:t>5.760</w:t>
                  </w:r>
                </w:p>
              </w:tc>
              <w:tc>
                <w:tcPr>
                  <w:tcW w:w="1143" w:type="dxa"/>
                  <w:vAlign w:val="center"/>
                </w:tcPr>
                <w:p>
                  <w:pPr>
                    <w:jc w:val="center"/>
                    <w:rPr>
                      <w:rFonts w:hint="eastAsia" w:eastAsia="宋体"/>
                      <w:color w:val="auto"/>
                      <w:szCs w:val="21"/>
                      <w:lang w:val="en-US" w:eastAsia="zh-CN"/>
                    </w:rPr>
                  </w:pPr>
                  <w:r>
                    <w:rPr>
                      <w:rFonts w:hint="eastAsia"/>
                      <w:color w:val="auto"/>
                      <w:szCs w:val="21"/>
                      <w:lang w:val="en-US" w:eastAsia="zh-CN"/>
                    </w:rPr>
                    <w:t>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 w:hRule="atLeast"/>
              </w:trPr>
              <w:tc>
                <w:tcPr>
                  <w:tcW w:w="446" w:type="dxa"/>
                  <w:vMerge w:val="restart"/>
                  <w:vAlign w:val="center"/>
                </w:tcPr>
                <w:p>
                  <w:pPr>
                    <w:jc w:val="center"/>
                    <w:rPr>
                      <w:color w:val="auto"/>
                      <w:szCs w:val="21"/>
                    </w:rPr>
                  </w:pPr>
                  <w:r>
                    <w:rPr>
                      <w:rFonts w:hint="eastAsia"/>
                      <w:color w:val="auto"/>
                      <w:szCs w:val="21"/>
                    </w:rPr>
                    <w:t>废水</w:t>
                  </w:r>
                </w:p>
              </w:tc>
              <w:tc>
                <w:tcPr>
                  <w:tcW w:w="899" w:type="dxa"/>
                  <w:vAlign w:val="center"/>
                </w:tcPr>
                <w:p>
                  <w:pPr>
                    <w:jc w:val="center"/>
                    <w:rPr>
                      <w:color w:val="auto"/>
                      <w:szCs w:val="21"/>
                    </w:rPr>
                  </w:pPr>
                  <w:r>
                    <w:rPr>
                      <w:color w:val="auto"/>
                      <w:szCs w:val="21"/>
                    </w:rPr>
                    <w:t>COD</w:t>
                  </w:r>
                </w:p>
              </w:tc>
              <w:tc>
                <w:tcPr>
                  <w:tcW w:w="991" w:type="dxa"/>
                  <w:vAlign w:val="center"/>
                </w:tcPr>
                <w:p>
                  <w:pPr>
                    <w:jc w:val="center"/>
                    <w:rPr>
                      <w:rFonts w:hint="default" w:eastAsia="宋体"/>
                      <w:color w:val="auto"/>
                      <w:szCs w:val="21"/>
                      <w:lang w:val="en-US" w:eastAsia="zh-CN"/>
                    </w:rPr>
                  </w:pPr>
                  <w:r>
                    <w:rPr>
                      <w:rFonts w:hint="eastAsia"/>
                      <w:color w:val="auto"/>
                      <w:szCs w:val="21"/>
                      <w:lang w:val="en-US" w:eastAsia="zh-CN"/>
                    </w:rPr>
                    <w:t>21.663</w:t>
                  </w:r>
                </w:p>
              </w:tc>
              <w:tc>
                <w:tcPr>
                  <w:tcW w:w="1132" w:type="dxa"/>
                  <w:vAlign w:val="center"/>
                </w:tcPr>
                <w:p>
                  <w:pPr>
                    <w:jc w:val="center"/>
                    <w:rPr>
                      <w:rFonts w:hint="default" w:eastAsia="宋体"/>
                      <w:color w:val="auto"/>
                      <w:szCs w:val="21"/>
                      <w:lang w:val="en-US" w:eastAsia="zh-CN"/>
                    </w:rPr>
                  </w:pPr>
                  <w:r>
                    <w:rPr>
                      <w:rFonts w:hint="eastAsia"/>
                      <w:color w:val="auto"/>
                      <w:szCs w:val="21"/>
                      <w:lang w:val="en-US" w:eastAsia="zh-CN"/>
                    </w:rPr>
                    <w:t>12.998</w:t>
                  </w:r>
                </w:p>
              </w:tc>
              <w:tc>
                <w:tcPr>
                  <w:tcW w:w="1276" w:type="dxa"/>
                  <w:vAlign w:val="center"/>
                </w:tcPr>
                <w:p>
                  <w:pPr>
                    <w:jc w:val="center"/>
                    <w:rPr>
                      <w:color w:val="auto"/>
                      <w:szCs w:val="21"/>
                    </w:rPr>
                  </w:pPr>
                  <w:r>
                    <w:rPr>
                      <w:rFonts w:hint="eastAsia"/>
                      <w:color w:val="auto"/>
                      <w:szCs w:val="21"/>
                      <w:lang w:val="en-US" w:eastAsia="zh-CN"/>
                    </w:rPr>
                    <w:t>21.663</w:t>
                  </w:r>
                </w:p>
              </w:tc>
              <w:tc>
                <w:tcPr>
                  <w:tcW w:w="1988" w:type="dxa"/>
                  <w:vAlign w:val="center"/>
                </w:tcPr>
                <w:p>
                  <w:pPr>
                    <w:jc w:val="center"/>
                    <w:rPr>
                      <w:color w:val="auto"/>
                      <w:szCs w:val="21"/>
                    </w:rPr>
                  </w:pPr>
                  <w:r>
                    <w:rPr>
                      <w:rFonts w:hint="eastAsia"/>
                      <w:color w:val="auto"/>
                      <w:szCs w:val="21"/>
                      <w:lang w:val="en-US" w:eastAsia="zh-CN"/>
                    </w:rPr>
                    <w:t>12.998</w:t>
                  </w:r>
                </w:p>
              </w:tc>
              <w:tc>
                <w:tcPr>
                  <w:tcW w:w="1143" w:type="dxa"/>
                  <w:vAlign w:val="center"/>
                </w:tcPr>
                <w:p>
                  <w:pPr>
                    <w:jc w:val="center"/>
                    <w:rPr>
                      <w:rFonts w:hint="default" w:eastAsia="宋体"/>
                      <w:color w:val="auto"/>
                      <w:szCs w:val="21"/>
                      <w:lang w:val="en-US" w:eastAsia="zh-CN"/>
                    </w:rPr>
                  </w:pPr>
                  <w:r>
                    <w:rPr>
                      <w:color w:val="auto"/>
                      <w:szCs w:val="21"/>
                    </w:rPr>
                    <w:t>-</w:t>
                  </w:r>
                  <w:r>
                    <w:rPr>
                      <w:rFonts w:hint="eastAsia"/>
                      <w:color w:val="auto"/>
                      <w:szCs w:val="21"/>
                      <w:lang w:val="en-US" w:eastAsia="zh-CN"/>
                    </w:rPr>
                    <w:t>8.665</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 w:hRule="atLeast"/>
              </w:trPr>
              <w:tc>
                <w:tcPr>
                  <w:tcW w:w="446" w:type="dxa"/>
                  <w:vMerge w:val="continue"/>
                  <w:vAlign w:val="center"/>
                </w:tcPr>
                <w:p>
                  <w:pPr>
                    <w:jc w:val="center"/>
                    <w:rPr>
                      <w:color w:val="auto"/>
                      <w:szCs w:val="21"/>
                    </w:rPr>
                  </w:pPr>
                </w:p>
              </w:tc>
              <w:tc>
                <w:tcPr>
                  <w:tcW w:w="899" w:type="dxa"/>
                  <w:vAlign w:val="center"/>
                </w:tcPr>
                <w:p>
                  <w:pPr>
                    <w:jc w:val="center"/>
                    <w:rPr>
                      <w:color w:val="auto"/>
                      <w:szCs w:val="21"/>
                    </w:rPr>
                  </w:pPr>
                  <w:r>
                    <w:rPr>
                      <w:color w:val="auto"/>
                      <w:szCs w:val="21"/>
                    </w:rPr>
                    <w:t>NH</w:t>
                  </w:r>
                  <w:r>
                    <w:rPr>
                      <w:color w:val="auto"/>
                      <w:szCs w:val="21"/>
                      <w:vertAlign w:val="subscript"/>
                    </w:rPr>
                    <w:t>3</w:t>
                  </w:r>
                  <w:r>
                    <w:rPr>
                      <w:color w:val="auto"/>
                      <w:szCs w:val="21"/>
                    </w:rPr>
                    <w:t>-N</w:t>
                  </w:r>
                </w:p>
              </w:tc>
              <w:tc>
                <w:tcPr>
                  <w:tcW w:w="991" w:type="dxa"/>
                  <w:vAlign w:val="center"/>
                </w:tcPr>
                <w:p>
                  <w:pPr>
                    <w:jc w:val="center"/>
                    <w:rPr>
                      <w:rFonts w:hint="default" w:eastAsia="宋体"/>
                      <w:color w:val="auto"/>
                      <w:szCs w:val="21"/>
                      <w:lang w:val="en-US" w:eastAsia="zh-CN"/>
                    </w:rPr>
                  </w:pPr>
                  <w:r>
                    <w:rPr>
                      <w:rFonts w:hint="eastAsia"/>
                      <w:color w:val="auto"/>
                      <w:szCs w:val="21"/>
                      <w:lang w:val="en-US" w:eastAsia="zh-CN"/>
                    </w:rPr>
                    <w:t>2.167</w:t>
                  </w:r>
                </w:p>
              </w:tc>
              <w:tc>
                <w:tcPr>
                  <w:tcW w:w="1132" w:type="dxa"/>
                  <w:vAlign w:val="center"/>
                </w:tcPr>
                <w:p>
                  <w:pPr>
                    <w:jc w:val="center"/>
                    <w:rPr>
                      <w:rFonts w:hint="default" w:eastAsia="宋体"/>
                      <w:color w:val="auto"/>
                      <w:szCs w:val="21"/>
                      <w:lang w:val="en-US" w:eastAsia="zh-CN"/>
                    </w:rPr>
                  </w:pPr>
                  <w:r>
                    <w:rPr>
                      <w:rFonts w:hint="eastAsia"/>
                      <w:color w:val="auto"/>
                      <w:szCs w:val="21"/>
                      <w:lang w:val="en-US" w:eastAsia="zh-CN"/>
                    </w:rPr>
                    <w:t>0.650</w:t>
                  </w:r>
                </w:p>
              </w:tc>
              <w:tc>
                <w:tcPr>
                  <w:tcW w:w="1276" w:type="dxa"/>
                  <w:vAlign w:val="center"/>
                </w:tcPr>
                <w:p>
                  <w:pPr>
                    <w:jc w:val="center"/>
                    <w:rPr>
                      <w:color w:val="auto"/>
                      <w:szCs w:val="21"/>
                    </w:rPr>
                  </w:pPr>
                  <w:r>
                    <w:rPr>
                      <w:rFonts w:hint="eastAsia"/>
                      <w:color w:val="auto"/>
                      <w:szCs w:val="21"/>
                      <w:lang w:val="en-US" w:eastAsia="zh-CN"/>
                    </w:rPr>
                    <w:t>2.167</w:t>
                  </w:r>
                </w:p>
              </w:tc>
              <w:tc>
                <w:tcPr>
                  <w:tcW w:w="1988" w:type="dxa"/>
                  <w:vAlign w:val="center"/>
                </w:tcPr>
                <w:p>
                  <w:pPr>
                    <w:jc w:val="center"/>
                    <w:rPr>
                      <w:color w:val="auto"/>
                      <w:szCs w:val="21"/>
                    </w:rPr>
                  </w:pPr>
                  <w:r>
                    <w:rPr>
                      <w:rFonts w:hint="eastAsia"/>
                      <w:color w:val="auto"/>
                      <w:szCs w:val="21"/>
                      <w:lang w:val="en-US" w:eastAsia="zh-CN"/>
                    </w:rPr>
                    <w:t>0.650</w:t>
                  </w:r>
                </w:p>
              </w:tc>
              <w:tc>
                <w:tcPr>
                  <w:tcW w:w="1143" w:type="dxa"/>
                  <w:vAlign w:val="center"/>
                </w:tcPr>
                <w:p>
                  <w:pPr>
                    <w:jc w:val="center"/>
                    <w:rPr>
                      <w:rFonts w:hint="default" w:eastAsia="宋体"/>
                      <w:color w:val="auto"/>
                      <w:szCs w:val="21"/>
                      <w:lang w:val="en-US" w:eastAsia="zh-CN"/>
                    </w:rPr>
                  </w:pPr>
                  <w:r>
                    <w:rPr>
                      <w:color w:val="auto"/>
                      <w:szCs w:val="21"/>
                    </w:rPr>
                    <w:t>-</w:t>
                  </w:r>
                  <w:r>
                    <w:rPr>
                      <w:rFonts w:hint="eastAsia"/>
                      <w:color w:val="auto"/>
                      <w:szCs w:val="21"/>
                      <w:lang w:val="en-US" w:eastAsia="zh-CN"/>
                    </w:rPr>
                    <w:t>1.517</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 w:hRule="atLeast"/>
              </w:trPr>
              <w:tc>
                <w:tcPr>
                  <w:tcW w:w="446" w:type="dxa"/>
                  <w:vMerge w:val="continue"/>
                  <w:vAlign w:val="center"/>
                </w:tcPr>
                <w:p>
                  <w:pPr>
                    <w:jc w:val="center"/>
                    <w:rPr>
                      <w:color w:val="auto"/>
                      <w:szCs w:val="21"/>
                    </w:rPr>
                  </w:pPr>
                </w:p>
              </w:tc>
              <w:tc>
                <w:tcPr>
                  <w:tcW w:w="899" w:type="dxa"/>
                  <w:vAlign w:val="center"/>
                </w:tcPr>
                <w:p>
                  <w:pPr>
                    <w:jc w:val="center"/>
                    <w:rPr>
                      <w:rFonts w:hint="default" w:eastAsia="宋体"/>
                      <w:color w:val="auto"/>
                      <w:szCs w:val="21"/>
                      <w:lang w:val="en-US" w:eastAsia="zh-CN"/>
                    </w:rPr>
                  </w:pPr>
                  <w:r>
                    <w:rPr>
                      <w:rFonts w:hint="eastAsia"/>
                      <w:color w:val="auto"/>
                      <w:szCs w:val="21"/>
                      <w:lang w:val="en-US" w:eastAsia="zh-CN"/>
                    </w:rPr>
                    <w:t>TP</w:t>
                  </w:r>
                </w:p>
              </w:tc>
              <w:tc>
                <w:tcPr>
                  <w:tcW w:w="991" w:type="dxa"/>
                  <w:vAlign w:val="center"/>
                </w:tcPr>
                <w:p>
                  <w:pPr>
                    <w:jc w:val="center"/>
                    <w:rPr>
                      <w:rFonts w:hint="default" w:eastAsia="宋体"/>
                      <w:color w:val="auto"/>
                      <w:lang w:val="en-US" w:eastAsia="zh-CN"/>
                    </w:rPr>
                  </w:pPr>
                  <w:r>
                    <w:rPr>
                      <w:rFonts w:hint="eastAsia"/>
                      <w:color w:val="auto"/>
                      <w:lang w:val="en-US" w:eastAsia="zh-CN"/>
                    </w:rPr>
                    <w:t>0.173</w:t>
                  </w:r>
                </w:p>
              </w:tc>
              <w:tc>
                <w:tcPr>
                  <w:tcW w:w="1132" w:type="dxa"/>
                  <w:vAlign w:val="center"/>
                </w:tcPr>
                <w:p>
                  <w:pPr>
                    <w:jc w:val="center"/>
                    <w:rPr>
                      <w:rFonts w:hint="default" w:eastAsia="宋体"/>
                      <w:color w:val="auto"/>
                      <w:szCs w:val="21"/>
                      <w:lang w:val="en-US" w:eastAsia="zh-CN"/>
                    </w:rPr>
                  </w:pPr>
                  <w:r>
                    <w:rPr>
                      <w:rFonts w:hint="eastAsia"/>
                      <w:color w:val="auto"/>
                      <w:szCs w:val="21"/>
                      <w:lang w:val="en-US" w:eastAsia="zh-CN"/>
                    </w:rPr>
                    <w:t>0.130</w:t>
                  </w:r>
                </w:p>
              </w:tc>
              <w:tc>
                <w:tcPr>
                  <w:tcW w:w="1276" w:type="dxa"/>
                  <w:vAlign w:val="center"/>
                </w:tcPr>
                <w:p>
                  <w:pPr>
                    <w:jc w:val="center"/>
                    <w:rPr>
                      <w:rFonts w:hint="eastAsia"/>
                      <w:color w:val="auto"/>
                      <w:szCs w:val="21"/>
                    </w:rPr>
                  </w:pPr>
                  <w:r>
                    <w:rPr>
                      <w:rFonts w:hint="eastAsia"/>
                      <w:color w:val="auto"/>
                      <w:lang w:val="en-US" w:eastAsia="zh-CN"/>
                    </w:rPr>
                    <w:t>0.173</w:t>
                  </w:r>
                </w:p>
              </w:tc>
              <w:tc>
                <w:tcPr>
                  <w:tcW w:w="1988" w:type="dxa"/>
                  <w:vAlign w:val="center"/>
                </w:tcPr>
                <w:p>
                  <w:pPr>
                    <w:jc w:val="center"/>
                    <w:rPr>
                      <w:color w:val="auto"/>
                    </w:rPr>
                  </w:pPr>
                  <w:r>
                    <w:rPr>
                      <w:rFonts w:hint="eastAsia"/>
                      <w:color w:val="auto"/>
                      <w:szCs w:val="21"/>
                      <w:lang w:val="en-US" w:eastAsia="zh-CN"/>
                    </w:rPr>
                    <w:t>0.130</w:t>
                  </w:r>
                </w:p>
              </w:tc>
              <w:tc>
                <w:tcPr>
                  <w:tcW w:w="1143" w:type="dxa"/>
                  <w:vAlign w:val="center"/>
                </w:tcPr>
                <w:p>
                  <w:pPr>
                    <w:jc w:val="center"/>
                    <w:rPr>
                      <w:rFonts w:hint="default" w:eastAsia="宋体"/>
                      <w:color w:val="auto"/>
                      <w:szCs w:val="21"/>
                      <w:lang w:val="en-US" w:eastAsia="zh-CN"/>
                    </w:rPr>
                  </w:pPr>
                  <w:r>
                    <w:rPr>
                      <w:rFonts w:hint="eastAsia"/>
                      <w:color w:val="auto"/>
                      <w:szCs w:val="21"/>
                      <w:lang w:val="en-US" w:eastAsia="zh-CN"/>
                    </w:rPr>
                    <w:t>-0.043</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5" w:hRule="atLeast"/>
              </w:trPr>
              <w:tc>
                <w:tcPr>
                  <w:tcW w:w="446" w:type="dxa"/>
                  <w:vMerge w:val="continue"/>
                  <w:vAlign w:val="center"/>
                </w:tcPr>
                <w:p>
                  <w:pPr>
                    <w:jc w:val="center"/>
                    <w:rPr>
                      <w:color w:val="auto"/>
                      <w:szCs w:val="21"/>
                    </w:rPr>
                  </w:pPr>
                </w:p>
              </w:tc>
              <w:tc>
                <w:tcPr>
                  <w:tcW w:w="899" w:type="dxa"/>
                  <w:vAlign w:val="center"/>
                </w:tcPr>
                <w:p>
                  <w:pPr>
                    <w:jc w:val="center"/>
                    <w:rPr>
                      <w:rFonts w:hint="default" w:eastAsia="宋体"/>
                      <w:color w:val="auto"/>
                      <w:szCs w:val="21"/>
                      <w:lang w:val="en-US" w:eastAsia="zh-CN"/>
                    </w:rPr>
                  </w:pPr>
                  <w:r>
                    <w:rPr>
                      <w:rFonts w:hint="eastAsia"/>
                      <w:color w:val="auto"/>
                      <w:szCs w:val="21"/>
                      <w:lang w:val="en-US" w:eastAsia="zh-CN"/>
                    </w:rPr>
                    <w:t>TN</w:t>
                  </w:r>
                </w:p>
              </w:tc>
              <w:tc>
                <w:tcPr>
                  <w:tcW w:w="991" w:type="dxa"/>
                  <w:vAlign w:val="center"/>
                </w:tcPr>
                <w:p>
                  <w:pPr>
                    <w:jc w:val="center"/>
                    <w:rPr>
                      <w:rFonts w:hint="default" w:eastAsia="宋体"/>
                      <w:color w:val="auto"/>
                      <w:lang w:val="en-US" w:eastAsia="zh-CN"/>
                    </w:rPr>
                  </w:pPr>
                  <w:r>
                    <w:rPr>
                      <w:rFonts w:hint="eastAsia"/>
                      <w:color w:val="auto"/>
                      <w:lang w:val="en-US" w:eastAsia="zh-CN"/>
                    </w:rPr>
                    <w:t>6.499</w:t>
                  </w:r>
                </w:p>
              </w:tc>
              <w:tc>
                <w:tcPr>
                  <w:tcW w:w="1132" w:type="dxa"/>
                  <w:vAlign w:val="center"/>
                </w:tcPr>
                <w:p>
                  <w:pPr>
                    <w:jc w:val="center"/>
                    <w:rPr>
                      <w:rFonts w:hint="default" w:eastAsia="宋体"/>
                      <w:color w:val="auto"/>
                      <w:szCs w:val="21"/>
                      <w:lang w:val="en-US" w:eastAsia="zh-CN"/>
                    </w:rPr>
                  </w:pPr>
                  <w:r>
                    <w:rPr>
                      <w:rFonts w:hint="eastAsia"/>
                      <w:color w:val="auto"/>
                      <w:szCs w:val="21"/>
                      <w:lang w:val="en-US" w:eastAsia="zh-CN"/>
                    </w:rPr>
                    <w:t>6.499</w:t>
                  </w:r>
                </w:p>
              </w:tc>
              <w:tc>
                <w:tcPr>
                  <w:tcW w:w="1276" w:type="dxa"/>
                  <w:vAlign w:val="center"/>
                </w:tcPr>
                <w:p>
                  <w:pPr>
                    <w:jc w:val="center"/>
                    <w:rPr>
                      <w:rFonts w:hint="eastAsia"/>
                      <w:color w:val="auto"/>
                      <w:szCs w:val="21"/>
                    </w:rPr>
                  </w:pPr>
                  <w:r>
                    <w:rPr>
                      <w:rFonts w:hint="eastAsia"/>
                      <w:color w:val="auto"/>
                      <w:lang w:val="en-US" w:eastAsia="zh-CN"/>
                    </w:rPr>
                    <w:t>6.499</w:t>
                  </w:r>
                </w:p>
              </w:tc>
              <w:tc>
                <w:tcPr>
                  <w:tcW w:w="1988" w:type="dxa"/>
                  <w:vAlign w:val="center"/>
                </w:tcPr>
                <w:p>
                  <w:pPr>
                    <w:jc w:val="center"/>
                    <w:rPr>
                      <w:color w:val="auto"/>
                    </w:rPr>
                  </w:pPr>
                  <w:r>
                    <w:rPr>
                      <w:rFonts w:hint="eastAsia"/>
                      <w:color w:val="auto"/>
                      <w:szCs w:val="21"/>
                      <w:lang w:val="en-US" w:eastAsia="zh-CN"/>
                    </w:rPr>
                    <w:t>6.499</w:t>
                  </w:r>
                </w:p>
              </w:tc>
              <w:tc>
                <w:tcPr>
                  <w:tcW w:w="1143" w:type="dxa"/>
                  <w:vAlign w:val="center"/>
                </w:tcPr>
                <w:p>
                  <w:pPr>
                    <w:jc w:val="center"/>
                    <w:rPr>
                      <w:rFonts w:hint="eastAsia" w:eastAsia="宋体"/>
                      <w:color w:val="auto"/>
                      <w:szCs w:val="21"/>
                      <w:lang w:val="en-US" w:eastAsia="zh-CN"/>
                    </w:rPr>
                  </w:pPr>
                  <w:r>
                    <w:rPr>
                      <w:rFonts w:hint="eastAsia"/>
                      <w:color w:val="auto"/>
                      <w:szCs w:val="21"/>
                      <w:lang w:val="en-US" w:eastAsia="zh-CN"/>
                    </w:rPr>
                    <w:t>0</w:t>
                  </w:r>
                </w:p>
              </w:tc>
            </w:tr>
          </w:tbl>
          <w:p>
            <w:pPr>
              <w:pStyle w:val="43"/>
              <w:spacing w:before="0" w:beforeAutospacing="0" w:after="0" w:afterAutospacing="0" w:line="360" w:lineRule="auto"/>
              <w:ind w:firstLine="482" w:firstLineChars="200"/>
              <w:rPr>
                <w:rFonts w:ascii="Times New Roman" w:hAnsi="Times New Roman"/>
                <w:b/>
                <w:color w:val="auto"/>
              </w:rPr>
            </w:pPr>
            <w:r>
              <w:rPr>
                <w:rFonts w:ascii="Times New Roman" w:hAnsi="Times New Roman"/>
                <w:b/>
                <w:color w:val="auto"/>
              </w:rPr>
              <w:t>3</w:t>
            </w:r>
            <w:r>
              <w:rPr>
                <w:rFonts w:hint="eastAsia" w:ascii="Times New Roman" w:hAnsi="Times New Roman"/>
                <w:b/>
                <w:color w:val="auto"/>
              </w:rPr>
              <w:t>、</w:t>
            </w:r>
            <w:r>
              <w:rPr>
                <w:rFonts w:ascii="Times New Roman" w:hAnsi="Times New Roman"/>
                <w:b/>
                <w:color w:val="auto"/>
              </w:rPr>
              <w:t>本项目总量控制指标</w:t>
            </w:r>
          </w:p>
          <w:p>
            <w:pPr>
              <w:pStyle w:val="43"/>
              <w:spacing w:before="0" w:beforeAutospacing="0" w:after="0" w:afterAutospacing="0" w:line="360" w:lineRule="auto"/>
              <w:ind w:firstLine="480" w:firstLineChars="200"/>
              <w:rPr>
                <w:color w:val="auto"/>
              </w:rPr>
            </w:pPr>
            <w:r>
              <w:rPr>
                <w:rFonts w:ascii="Times New Roman" w:hAnsi="Times New Roman"/>
                <w:color w:val="auto"/>
              </w:rPr>
              <w:t>（1）</w:t>
            </w:r>
            <w:r>
              <w:rPr>
                <w:rFonts w:hint="eastAsia"/>
                <w:color w:val="auto"/>
              </w:rPr>
              <w:t>废气</w:t>
            </w:r>
            <w:r>
              <w:rPr>
                <w:color w:val="auto"/>
              </w:rPr>
              <w:t>（</w:t>
            </w:r>
            <w:r>
              <w:rPr>
                <w:rFonts w:ascii="Times New Roman" w:hAnsi="Times New Roman"/>
                <w:color w:val="auto"/>
                <w:kern w:val="2"/>
              </w:rPr>
              <w:t>SO</w:t>
            </w:r>
            <w:r>
              <w:rPr>
                <w:rFonts w:ascii="Times New Roman" w:hAnsi="Times New Roman"/>
                <w:color w:val="auto"/>
                <w:kern w:val="2"/>
                <w:vertAlign w:val="subscript"/>
              </w:rPr>
              <w:t>2</w:t>
            </w:r>
            <w:r>
              <w:rPr>
                <w:rFonts w:hint="eastAsia" w:ascii="Times New Roman" w:hAnsi="Times New Roman"/>
                <w:color w:val="auto"/>
                <w:kern w:val="2"/>
              </w:rPr>
              <w:t>、NO</w:t>
            </w:r>
            <w:r>
              <w:rPr>
                <w:rFonts w:ascii="Times New Roman" w:hAnsi="Times New Roman"/>
                <w:color w:val="auto"/>
                <w:kern w:val="2"/>
                <w:vertAlign w:val="subscript"/>
              </w:rPr>
              <w:t>x</w:t>
            </w:r>
            <w:r>
              <w:rPr>
                <w:color w:val="auto"/>
              </w:rPr>
              <w:t>）</w:t>
            </w:r>
          </w:p>
          <w:p>
            <w:pPr>
              <w:pStyle w:val="43"/>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本技改</w:t>
            </w:r>
            <w:r>
              <w:rPr>
                <w:rFonts w:ascii="Times New Roman" w:hAnsi="Times New Roman"/>
              </w:rPr>
              <w:t>项目无需热源，</w:t>
            </w:r>
            <w:r>
              <w:rPr>
                <w:rFonts w:hint="eastAsia" w:ascii="Times New Roman" w:hAnsi="Times New Roman"/>
              </w:rPr>
              <w:t>无</w:t>
            </w:r>
            <w:r>
              <w:rPr>
                <w:rFonts w:ascii="Times New Roman" w:hAnsi="Times New Roman"/>
              </w:rPr>
              <w:t>SO</w:t>
            </w:r>
            <w:r>
              <w:rPr>
                <w:rFonts w:ascii="Times New Roman" w:hAnsi="Times New Roman"/>
                <w:vertAlign w:val="subscript"/>
              </w:rPr>
              <w:t>2</w:t>
            </w:r>
            <w:r>
              <w:rPr>
                <w:rFonts w:ascii="Times New Roman" w:hAnsi="Times New Roman"/>
              </w:rPr>
              <w:t>、NO</w:t>
            </w:r>
            <w:r>
              <w:rPr>
                <w:rFonts w:ascii="Times New Roman" w:hAnsi="Times New Roman"/>
                <w:vertAlign w:val="subscript"/>
              </w:rPr>
              <w:t>x</w:t>
            </w:r>
            <w:r>
              <w:rPr>
                <w:rFonts w:ascii="Times New Roman" w:hAnsi="Times New Roman"/>
              </w:rPr>
              <w:t>、VOCs排放，因此，本项目废气</w:t>
            </w:r>
            <w:r>
              <w:rPr>
                <w:rFonts w:hint="eastAsia" w:ascii="Times New Roman" w:hAnsi="Times New Roman"/>
              </w:rPr>
              <w:t>中</w:t>
            </w:r>
            <w:r>
              <w:rPr>
                <w:rFonts w:ascii="Times New Roman" w:hAnsi="Times New Roman"/>
              </w:rPr>
              <w:t>污染物总量控制指标为SO</w:t>
            </w:r>
            <w:r>
              <w:rPr>
                <w:rFonts w:ascii="Times New Roman" w:hAnsi="Times New Roman"/>
                <w:vertAlign w:val="subscript"/>
              </w:rPr>
              <w:t>2</w:t>
            </w:r>
            <w:r>
              <w:rPr>
                <w:rFonts w:ascii="Times New Roman" w:hAnsi="Times New Roman"/>
              </w:rPr>
              <w:t>0t/a、NO</w:t>
            </w:r>
            <w:r>
              <w:rPr>
                <w:rFonts w:ascii="Times New Roman" w:hAnsi="Times New Roman"/>
                <w:vertAlign w:val="subscript"/>
              </w:rPr>
              <w:t>X</w:t>
            </w:r>
            <w:r>
              <w:rPr>
                <w:rFonts w:ascii="Times New Roman" w:hAnsi="Times New Roman"/>
              </w:rPr>
              <w:t>0t/a、VOCs0t/a。</w:t>
            </w:r>
          </w:p>
          <w:p>
            <w:pPr>
              <w:pStyle w:val="43"/>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（2）废水</w:t>
            </w:r>
            <w:r>
              <w:rPr>
                <w:rFonts w:ascii="Times New Roman" w:hAnsi="Times New Roman"/>
              </w:rPr>
              <w:t>（</w:t>
            </w:r>
            <w:r>
              <w:rPr>
                <w:rFonts w:hint="eastAsia" w:ascii="Times New Roman" w:hAnsi="Times New Roman"/>
              </w:rPr>
              <w:t>COD、NH</w:t>
            </w:r>
            <w:r>
              <w:rPr>
                <w:rFonts w:hint="eastAsia" w:ascii="Times New Roman" w:hAnsi="Times New Roman"/>
                <w:vertAlign w:val="subscript"/>
              </w:rPr>
              <w:t>3</w:t>
            </w:r>
            <w:r>
              <w:rPr>
                <w:rFonts w:hint="eastAsia" w:ascii="Times New Roman" w:hAnsi="Times New Roman"/>
              </w:rPr>
              <w:t>-N</w:t>
            </w:r>
            <w:r>
              <w:rPr>
                <w:rFonts w:ascii="Times New Roman" w:hAnsi="Times New Roman"/>
              </w:rPr>
              <w:t>）</w:t>
            </w:r>
          </w:p>
          <w:p>
            <w:pPr>
              <w:widowControl/>
              <w:spacing w:line="360" w:lineRule="auto"/>
              <w:ind w:firstLine="480" w:firstLineChars="200"/>
              <w:rPr>
                <w:kern w:val="0"/>
                <w:sz w:val="24"/>
                <w:szCs w:val="24"/>
              </w:rPr>
            </w:pPr>
            <w:r>
              <w:rPr>
                <w:rFonts w:hint="eastAsia"/>
                <w:kern w:val="0"/>
                <w:sz w:val="24"/>
                <w:szCs w:val="24"/>
              </w:rPr>
              <w:t>本项目</w:t>
            </w:r>
            <w:r>
              <w:rPr>
                <w:kern w:val="0"/>
                <w:sz w:val="24"/>
                <w:szCs w:val="24"/>
              </w:rPr>
              <w:t>建成后，废水出水水质</w:t>
            </w:r>
            <w:r>
              <w:rPr>
                <w:rFonts w:hint="eastAsia"/>
                <w:kern w:val="0"/>
                <w:sz w:val="24"/>
                <w:szCs w:val="24"/>
              </w:rPr>
              <w:t>提高</w:t>
            </w:r>
            <w:r>
              <w:rPr>
                <w:kern w:val="0"/>
                <w:sz w:val="24"/>
                <w:szCs w:val="24"/>
              </w:rPr>
              <w:t>，根据污染物排放标准进行核算，见表22</w:t>
            </w:r>
            <w:r>
              <w:rPr>
                <w:rFonts w:hint="eastAsia"/>
                <w:kern w:val="0"/>
                <w:sz w:val="24"/>
                <w:szCs w:val="24"/>
              </w:rPr>
              <w:t>。</w:t>
            </w:r>
          </w:p>
          <w:p>
            <w:pPr>
              <w:spacing w:line="360" w:lineRule="auto"/>
              <w:jc w:val="center"/>
              <w:rPr>
                <w:rFonts w:hint="eastAsia"/>
                <w:b/>
                <w:sz w:val="24"/>
                <w:szCs w:val="24"/>
              </w:rPr>
            </w:pPr>
          </w:p>
          <w:p>
            <w:pPr>
              <w:spacing w:line="360" w:lineRule="auto"/>
              <w:jc w:val="center"/>
              <w:rPr>
                <w:b/>
                <w:sz w:val="24"/>
                <w:szCs w:val="24"/>
              </w:rPr>
            </w:pPr>
            <w:r>
              <w:rPr>
                <w:rFonts w:hint="eastAsia"/>
                <w:b/>
                <w:sz w:val="24"/>
                <w:szCs w:val="24"/>
              </w:rPr>
              <w:t>表</w:t>
            </w:r>
            <w:r>
              <w:rPr>
                <w:b/>
                <w:sz w:val="24"/>
                <w:szCs w:val="24"/>
              </w:rPr>
              <w:t xml:space="preserve">22  </w:t>
            </w:r>
            <w:r>
              <w:rPr>
                <w:rFonts w:hint="eastAsia"/>
                <w:b/>
                <w:sz w:val="24"/>
                <w:szCs w:val="24"/>
              </w:rPr>
              <w:t>项目</w:t>
            </w:r>
            <w:r>
              <w:rPr>
                <w:b/>
                <w:sz w:val="24"/>
                <w:szCs w:val="24"/>
              </w:rPr>
              <w:t>废水污染物总量核算表</w:t>
            </w:r>
          </w:p>
          <w:tbl>
            <w:tblPr>
              <w:tblStyle w:val="47"/>
              <w:tblW w:w="7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609"/>
              <w:gridCol w:w="1391"/>
              <w:gridCol w:w="1290"/>
              <w:gridCol w:w="2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Align w:val="center"/>
                </w:tcPr>
                <w:p>
                  <w:pPr>
                    <w:jc w:val="center"/>
                  </w:pPr>
                  <w:r>
                    <w:t>项目</w:t>
                  </w:r>
                </w:p>
              </w:tc>
              <w:tc>
                <w:tcPr>
                  <w:tcW w:w="1609" w:type="dxa"/>
                  <w:vAlign w:val="center"/>
                </w:tcPr>
                <w:p>
                  <w:pPr>
                    <w:jc w:val="center"/>
                  </w:pPr>
                  <w:r>
                    <w:rPr>
                      <w:rFonts w:hint="eastAsia"/>
                    </w:rPr>
                    <w:t>排放标准</w:t>
                  </w:r>
                  <w:r>
                    <w:t>浓度</w:t>
                  </w:r>
                </w:p>
                <w:p>
                  <w:pPr>
                    <w:jc w:val="center"/>
                  </w:pPr>
                  <w:r>
                    <w:t>(mg/L)</w:t>
                  </w:r>
                </w:p>
              </w:tc>
              <w:tc>
                <w:tcPr>
                  <w:tcW w:w="1391" w:type="dxa"/>
                  <w:vAlign w:val="center"/>
                </w:tcPr>
                <w:p>
                  <w:pPr>
                    <w:autoSpaceDE w:val="0"/>
                    <w:autoSpaceDN w:val="0"/>
                    <w:adjustRightInd w:val="0"/>
                    <w:jc w:val="center"/>
                  </w:pPr>
                  <w:r>
                    <w:rPr>
                      <w:lang w:val="zh-CN"/>
                    </w:rPr>
                    <w:t>废水量</w:t>
                  </w:r>
                  <w:r>
                    <w:t>(m</w:t>
                  </w:r>
                  <w:r>
                    <w:rPr>
                      <w:vertAlign w:val="superscript"/>
                    </w:rPr>
                    <w:t>3</w:t>
                  </w:r>
                  <w:r>
                    <w:t>/d)</w:t>
                  </w:r>
                </w:p>
              </w:tc>
              <w:tc>
                <w:tcPr>
                  <w:tcW w:w="1290" w:type="dxa"/>
                  <w:vAlign w:val="center"/>
                </w:tcPr>
                <w:p>
                  <w:pPr>
                    <w:jc w:val="center"/>
                  </w:pPr>
                  <w:r>
                    <w:t>运行时间(d/a)</w:t>
                  </w:r>
                </w:p>
              </w:tc>
              <w:tc>
                <w:tcPr>
                  <w:tcW w:w="2403" w:type="dxa"/>
                  <w:vAlign w:val="center"/>
                </w:tcPr>
                <w:p>
                  <w:pPr>
                    <w:jc w:val="center"/>
                  </w:pPr>
                  <w:r>
                    <w:t>污染物年排放量(t/a)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Align w:val="center"/>
                </w:tcPr>
                <w:p>
                  <w:pPr>
                    <w:jc w:val="center"/>
                  </w:pPr>
                  <w:r>
                    <w:t>COD</w:t>
                  </w:r>
                </w:p>
              </w:tc>
              <w:tc>
                <w:tcPr>
                  <w:tcW w:w="1609" w:type="dxa"/>
                  <w:vAlign w:val="center"/>
                </w:tcPr>
                <w:p>
                  <w:pPr>
                    <w:jc w:val="center"/>
                  </w:pPr>
                  <w:r>
                    <w:t>30</w:t>
                  </w:r>
                </w:p>
              </w:tc>
              <w:tc>
                <w:tcPr>
                  <w:tcW w:w="1391" w:type="dxa"/>
                  <w:vMerge w:val="restart"/>
                  <w:vAlign w:val="center"/>
                </w:tcPr>
                <w:p>
                  <w:pPr>
                    <w:jc w:val="center"/>
                    <w:rPr>
                      <w:rFonts w:hint="default" w:eastAsia="宋体"/>
                      <w:lang w:val="en-US" w:eastAsia="zh-CN"/>
                    </w:rPr>
                  </w:pPr>
                  <w:r>
                    <w:rPr>
                      <w:rFonts w:hint="eastAsia"/>
                      <w:lang w:val="en-US" w:eastAsia="zh-CN"/>
                    </w:rPr>
                    <w:t>1444.2</w:t>
                  </w:r>
                </w:p>
              </w:tc>
              <w:tc>
                <w:tcPr>
                  <w:tcW w:w="1290" w:type="dxa"/>
                  <w:vMerge w:val="restart"/>
                  <w:vAlign w:val="center"/>
                </w:tcPr>
                <w:p>
                  <w:pPr>
                    <w:jc w:val="center"/>
                    <w:rPr>
                      <w:rFonts w:hint="default" w:eastAsia="宋体"/>
                      <w:lang w:val="en-US" w:eastAsia="zh-CN"/>
                    </w:rPr>
                  </w:pPr>
                  <w:r>
                    <w:rPr>
                      <w:rFonts w:hint="eastAsia"/>
                      <w:lang w:val="en-US" w:eastAsia="zh-CN"/>
                    </w:rPr>
                    <w:t>300</w:t>
                  </w:r>
                </w:p>
              </w:tc>
              <w:tc>
                <w:tcPr>
                  <w:tcW w:w="2403" w:type="dxa"/>
                  <w:vAlign w:val="center"/>
                </w:tcPr>
                <w:p>
                  <w:pPr>
                    <w:jc w:val="center"/>
                    <w:rPr>
                      <w:rFonts w:hint="default" w:eastAsia="宋体"/>
                      <w:lang w:val="en-US" w:eastAsia="zh-CN"/>
                    </w:rPr>
                  </w:pPr>
                  <w:r>
                    <w:rPr>
                      <w:rFonts w:hint="eastAsia"/>
                      <w:lang w:val="en-US" w:eastAsia="zh-CN"/>
                    </w:rPr>
                    <w:t>12.998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Align w:val="center"/>
                </w:tcPr>
                <w:p>
                  <w:pPr>
                    <w:jc w:val="center"/>
                  </w:pPr>
                  <w:r>
                    <w:t>NH</w:t>
                  </w:r>
                  <w:r>
                    <w:rPr>
                      <w:vertAlign w:val="subscript"/>
                    </w:rPr>
                    <w:t>3</w:t>
                  </w:r>
                  <w:r>
                    <w:t>-N</w:t>
                  </w:r>
                </w:p>
              </w:tc>
              <w:tc>
                <w:tcPr>
                  <w:tcW w:w="1609" w:type="dxa"/>
                  <w:vAlign w:val="center"/>
                </w:tcPr>
                <w:p>
                  <w:pPr>
                    <w:jc w:val="center"/>
                    <w:rPr>
                      <w:rFonts w:hint="default" w:eastAsia="宋体"/>
                      <w:lang w:val="en-US" w:eastAsia="zh-CN"/>
                    </w:rPr>
                  </w:pPr>
                  <w:r>
                    <w:rPr>
                      <w:rFonts w:hint="eastAsia"/>
                      <w:lang w:val="en-US" w:eastAsia="zh-CN"/>
                    </w:rPr>
                    <w:t>1.5</w:t>
                  </w:r>
                </w:p>
              </w:tc>
              <w:tc>
                <w:tcPr>
                  <w:tcW w:w="1391" w:type="dxa"/>
                  <w:vMerge w:val="continue"/>
                  <w:vAlign w:val="center"/>
                </w:tcPr>
                <w:p>
                  <w:pPr>
                    <w:jc w:val="center"/>
                  </w:pPr>
                </w:p>
              </w:tc>
              <w:tc>
                <w:tcPr>
                  <w:tcW w:w="1290" w:type="dxa"/>
                  <w:vMerge w:val="continue"/>
                  <w:vAlign w:val="center"/>
                </w:tcPr>
                <w:p>
                  <w:pPr>
                    <w:jc w:val="center"/>
                  </w:pPr>
                </w:p>
              </w:tc>
              <w:tc>
                <w:tcPr>
                  <w:tcW w:w="2403" w:type="dxa"/>
                  <w:vAlign w:val="center"/>
                </w:tcPr>
                <w:p>
                  <w:pPr>
                    <w:jc w:val="center"/>
                    <w:rPr>
                      <w:rFonts w:hint="default" w:eastAsia="宋体"/>
                      <w:lang w:val="en-US" w:eastAsia="zh-CN"/>
                    </w:rPr>
                  </w:pPr>
                  <w:r>
                    <w:rPr>
                      <w:rFonts w:hint="eastAsia"/>
                      <w:lang w:val="en-US" w:eastAsia="zh-CN"/>
                    </w:rPr>
                    <w:t>0.650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Align w:val="center"/>
                </w:tcPr>
                <w:p>
                  <w:pPr>
                    <w:jc w:val="center"/>
                    <w:rPr>
                      <w:rFonts w:hint="default" w:eastAsia="宋体"/>
                      <w:lang w:val="en-US" w:eastAsia="zh-CN"/>
                    </w:rPr>
                  </w:pPr>
                  <w:r>
                    <w:rPr>
                      <w:rFonts w:hint="eastAsia"/>
                      <w:lang w:val="en-US" w:eastAsia="zh-CN"/>
                    </w:rPr>
                    <w:t>TN</w:t>
                  </w:r>
                </w:p>
              </w:tc>
              <w:tc>
                <w:tcPr>
                  <w:tcW w:w="1609" w:type="dxa"/>
                  <w:vAlign w:val="center"/>
                </w:tcPr>
                <w:p>
                  <w:pPr>
                    <w:jc w:val="center"/>
                    <w:rPr>
                      <w:rFonts w:hint="default" w:eastAsia="宋体"/>
                      <w:lang w:val="en-US" w:eastAsia="zh-CN"/>
                    </w:rPr>
                  </w:pPr>
                  <w:r>
                    <w:rPr>
                      <w:rFonts w:hint="eastAsia"/>
                      <w:lang w:val="en-US" w:eastAsia="zh-CN"/>
                    </w:rPr>
                    <w:t>15</w:t>
                  </w:r>
                </w:p>
              </w:tc>
              <w:tc>
                <w:tcPr>
                  <w:tcW w:w="1391" w:type="dxa"/>
                  <w:vMerge w:val="continue"/>
                  <w:vAlign w:val="center"/>
                </w:tcPr>
                <w:p>
                  <w:pPr>
                    <w:jc w:val="center"/>
                  </w:pPr>
                </w:p>
              </w:tc>
              <w:tc>
                <w:tcPr>
                  <w:tcW w:w="1290" w:type="dxa"/>
                  <w:vMerge w:val="continue"/>
                  <w:vAlign w:val="center"/>
                </w:tcPr>
                <w:p>
                  <w:pPr>
                    <w:jc w:val="center"/>
                  </w:pPr>
                </w:p>
              </w:tc>
              <w:tc>
                <w:tcPr>
                  <w:tcW w:w="2403" w:type="dxa"/>
                  <w:vAlign w:val="center"/>
                </w:tcPr>
                <w:p>
                  <w:pPr>
                    <w:jc w:val="center"/>
                    <w:rPr>
                      <w:rFonts w:hint="default" w:eastAsia="宋体"/>
                      <w:lang w:val="en-US" w:eastAsia="zh-CN"/>
                    </w:rPr>
                  </w:pPr>
                  <w:r>
                    <w:rPr>
                      <w:rFonts w:hint="eastAsia"/>
                      <w:lang w:val="en-US" w:eastAsia="zh-CN"/>
                    </w:rPr>
                    <w:t>6.499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Align w:val="center"/>
                </w:tcPr>
                <w:p>
                  <w:pPr>
                    <w:jc w:val="center"/>
                    <w:rPr>
                      <w:rFonts w:hint="default" w:eastAsia="宋体"/>
                      <w:lang w:val="en-US" w:eastAsia="zh-CN"/>
                    </w:rPr>
                  </w:pPr>
                  <w:r>
                    <w:rPr>
                      <w:rFonts w:hint="eastAsia"/>
                      <w:lang w:val="en-US" w:eastAsia="zh-CN"/>
                    </w:rPr>
                    <w:t>TP</w:t>
                  </w:r>
                </w:p>
              </w:tc>
              <w:tc>
                <w:tcPr>
                  <w:tcW w:w="1609" w:type="dxa"/>
                  <w:vAlign w:val="center"/>
                </w:tcPr>
                <w:p>
                  <w:pPr>
                    <w:jc w:val="center"/>
                    <w:rPr>
                      <w:rFonts w:hint="default" w:eastAsia="宋体"/>
                      <w:lang w:val="en-US" w:eastAsia="zh-CN"/>
                    </w:rPr>
                  </w:pPr>
                  <w:r>
                    <w:rPr>
                      <w:rFonts w:hint="eastAsia"/>
                      <w:lang w:val="en-US" w:eastAsia="zh-CN"/>
                    </w:rPr>
                    <w:t>0.3</w:t>
                  </w:r>
                </w:p>
              </w:tc>
              <w:tc>
                <w:tcPr>
                  <w:tcW w:w="1391" w:type="dxa"/>
                  <w:vMerge w:val="continue"/>
                  <w:vAlign w:val="center"/>
                </w:tcPr>
                <w:p>
                  <w:pPr>
                    <w:jc w:val="center"/>
                  </w:pPr>
                </w:p>
              </w:tc>
              <w:tc>
                <w:tcPr>
                  <w:tcW w:w="1290" w:type="dxa"/>
                  <w:vMerge w:val="continue"/>
                  <w:vAlign w:val="center"/>
                </w:tcPr>
                <w:p>
                  <w:pPr>
                    <w:jc w:val="center"/>
                  </w:pPr>
                </w:p>
              </w:tc>
              <w:tc>
                <w:tcPr>
                  <w:tcW w:w="2403" w:type="dxa"/>
                  <w:vAlign w:val="center"/>
                </w:tcPr>
                <w:p>
                  <w:pPr>
                    <w:jc w:val="center"/>
                    <w:rPr>
                      <w:rFonts w:hint="default" w:eastAsia="宋体"/>
                      <w:lang w:val="en-US" w:eastAsia="zh-CN"/>
                    </w:rPr>
                  </w:pPr>
                  <w:r>
                    <w:rPr>
                      <w:rFonts w:hint="eastAsia"/>
                      <w:lang w:val="en-US" w:eastAsia="zh-CN"/>
                    </w:rPr>
                    <w:t>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Align w:val="center"/>
                </w:tcPr>
                <w:p>
                  <w:pPr>
                    <w:jc w:val="center"/>
                  </w:pPr>
                  <w:r>
                    <w:t>核算公式</w:t>
                  </w:r>
                </w:p>
              </w:tc>
              <w:tc>
                <w:tcPr>
                  <w:tcW w:w="6693" w:type="dxa"/>
                  <w:gridSpan w:val="4"/>
                  <w:vAlign w:val="center"/>
                </w:tcPr>
                <w:p>
                  <w:pPr>
                    <w:jc w:val="center"/>
                  </w:pPr>
                  <w:r>
                    <w:t>污染物排放量(t/a)=污染物浓度(mg/L)</w:t>
                  </w:r>
                  <w:r>
                    <w:rPr>
                      <w:rFonts w:hint="eastAsia" w:ascii="宋体" w:hAnsi="宋体"/>
                    </w:rPr>
                    <w:t>×</w:t>
                  </w:r>
                  <w:r>
                    <w:rPr>
                      <w:lang w:val="zh-CN"/>
                    </w:rPr>
                    <w:t>废水量</w:t>
                  </w:r>
                  <w:r>
                    <w:t>(m</w:t>
                  </w:r>
                  <w:r>
                    <w:rPr>
                      <w:vertAlign w:val="superscript"/>
                    </w:rPr>
                    <w:t>3</w:t>
                  </w:r>
                  <w:r>
                    <w:t>/d)</w:t>
                  </w:r>
                  <w:r>
                    <w:rPr>
                      <w:rFonts w:hint="eastAsia" w:ascii="宋体" w:hAnsi="宋体"/>
                    </w:rPr>
                    <w:t>×</w:t>
                  </w:r>
                  <w:r>
                    <w:t>生产时间(d/a)/10</w:t>
                  </w:r>
                  <w:r>
                    <w:rPr>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dxa"/>
                  <w:vAlign w:val="center"/>
                </w:tcPr>
                <w:p>
                  <w:pPr>
                    <w:jc w:val="center"/>
                  </w:pPr>
                  <w:r>
                    <w:t>核算结果</w:t>
                  </w:r>
                </w:p>
              </w:tc>
              <w:tc>
                <w:tcPr>
                  <w:tcW w:w="6693" w:type="dxa"/>
                  <w:gridSpan w:val="4"/>
                  <w:vAlign w:val="center"/>
                </w:tcPr>
                <w:p>
                  <w:pPr>
                    <w:jc w:val="center"/>
                  </w:pPr>
                  <w:r>
                    <w:t>项目污染物年排放量分别为：COD：1095t/a；NH</w:t>
                  </w:r>
                  <w:r>
                    <w:rPr>
                      <w:vertAlign w:val="subscript"/>
                    </w:rPr>
                    <w:t>3</w:t>
                  </w:r>
                  <w:r>
                    <w:t>-N：54.75t/a；</w:t>
                  </w:r>
                </w:p>
              </w:tc>
            </w:tr>
          </w:tbl>
          <w:p>
            <w:pPr>
              <w:spacing w:line="360" w:lineRule="auto"/>
              <w:ind w:firstLine="480" w:firstLineChars="200"/>
              <w:rPr>
                <w:rFonts w:hint="default" w:ascii="Times New Roman" w:hAnsi="Times New Roman" w:cs="Times New Roman"/>
                <w:sz w:val="24"/>
                <w:szCs w:val="24"/>
                <w:lang w:val="en-GB"/>
              </w:rPr>
            </w:pPr>
            <w:r>
              <w:rPr>
                <w:rFonts w:hint="eastAsia"/>
                <w:sz w:val="24"/>
                <w:lang w:val="en-GB"/>
              </w:rPr>
              <w:t>本项目为对污水处理厂进行升级技术改造，增加废水处理效率，</w:t>
            </w:r>
            <w:r>
              <w:rPr>
                <w:rFonts w:hint="eastAsia"/>
                <w:sz w:val="24"/>
                <w:szCs w:val="24"/>
              </w:rPr>
              <w:t>项目</w:t>
            </w:r>
            <w:r>
              <w:rPr>
                <w:sz w:val="24"/>
                <w:szCs w:val="24"/>
              </w:rPr>
              <w:t>建成后，建议</w:t>
            </w:r>
            <w:r>
              <w:rPr>
                <w:rFonts w:hint="eastAsia"/>
                <w:sz w:val="24"/>
                <w:szCs w:val="24"/>
              </w:rPr>
              <w:t>企业</w:t>
            </w:r>
            <w:r>
              <w:rPr>
                <w:sz w:val="24"/>
                <w:szCs w:val="24"/>
              </w:rPr>
              <w:t>总量控制指标为SO</w:t>
            </w:r>
            <w:r>
              <w:rPr>
                <w:sz w:val="24"/>
                <w:szCs w:val="24"/>
                <w:vertAlign w:val="subscript"/>
              </w:rPr>
              <w:t>2</w:t>
            </w:r>
            <w:r>
              <w:rPr>
                <w:sz w:val="24"/>
                <w:szCs w:val="24"/>
              </w:rPr>
              <w:t>0t/a、NO</w:t>
            </w:r>
            <w:r>
              <w:rPr>
                <w:sz w:val="24"/>
                <w:szCs w:val="24"/>
                <w:vertAlign w:val="subscript"/>
              </w:rPr>
              <w:t>X</w:t>
            </w:r>
            <w:r>
              <w:rPr>
                <w:sz w:val="24"/>
                <w:szCs w:val="24"/>
              </w:rPr>
              <w:t>0t/a、VOCs0t/a</w:t>
            </w:r>
            <w:r>
              <w:rPr>
                <w:rFonts w:hint="eastAsia"/>
                <w:sz w:val="24"/>
                <w:szCs w:val="24"/>
              </w:rPr>
              <w:t>、COD</w:t>
            </w:r>
            <w:r>
              <w:rPr>
                <w:rFonts w:hint="eastAsia"/>
                <w:sz w:val="24"/>
                <w:szCs w:val="24"/>
                <w:lang w:val="en-US" w:eastAsia="zh-CN"/>
              </w:rPr>
              <w:t>12.998</w:t>
            </w:r>
            <w:r>
              <w:rPr>
                <w:sz w:val="24"/>
                <w:szCs w:val="24"/>
              </w:rPr>
              <w:t>t/a、</w:t>
            </w:r>
            <w:r>
              <w:rPr>
                <w:rFonts w:hint="eastAsia"/>
                <w:sz w:val="24"/>
                <w:szCs w:val="24"/>
              </w:rPr>
              <w:t>NH</w:t>
            </w:r>
            <w:r>
              <w:rPr>
                <w:rFonts w:hint="eastAsia"/>
                <w:sz w:val="24"/>
                <w:szCs w:val="24"/>
                <w:vertAlign w:val="subscript"/>
              </w:rPr>
              <w:t>3</w:t>
            </w:r>
            <w:r>
              <w:rPr>
                <w:rFonts w:hint="eastAsia"/>
                <w:sz w:val="24"/>
                <w:szCs w:val="24"/>
              </w:rPr>
              <w:t>-N</w:t>
            </w:r>
            <w:r>
              <w:rPr>
                <w:rFonts w:hint="eastAsia"/>
                <w:sz w:val="24"/>
                <w:szCs w:val="24"/>
                <w:lang w:val="en-US" w:eastAsia="zh-CN"/>
              </w:rPr>
              <w:t>0.650</w:t>
            </w:r>
            <w:r>
              <w:rPr>
                <w:sz w:val="24"/>
                <w:szCs w:val="24"/>
              </w:rPr>
              <w:t>t/a</w:t>
            </w:r>
            <w:r>
              <w:rPr>
                <w:rFonts w:hint="eastAsia"/>
                <w:sz w:val="24"/>
                <w:szCs w:val="24"/>
                <w:lang w:eastAsia="zh-CN"/>
              </w:rPr>
              <w:t>、</w:t>
            </w:r>
            <w:r>
              <w:rPr>
                <w:rFonts w:hint="eastAsia"/>
                <w:sz w:val="24"/>
                <w:szCs w:val="24"/>
                <w:lang w:val="en-US" w:eastAsia="zh-CN"/>
              </w:rPr>
              <w:t>TP0.130t/a、TN</w:t>
            </w:r>
            <w:r>
              <w:rPr>
                <w:rFonts w:hint="default" w:ascii="Times New Roman" w:hAnsi="Times New Roman" w:cs="Times New Roman"/>
                <w:sz w:val="24"/>
                <w:szCs w:val="24"/>
                <w:lang w:val="en-US" w:eastAsia="zh-CN"/>
              </w:rPr>
              <w:t>6.499t/a</w:t>
            </w:r>
            <w:r>
              <w:rPr>
                <w:rFonts w:hint="default" w:ascii="Times New Roman" w:hAnsi="Times New Roman" w:cs="Times New Roman"/>
                <w:sz w:val="24"/>
                <w:szCs w:val="24"/>
              </w:rPr>
              <w:t>，满足</w:t>
            </w:r>
            <w:r>
              <w:rPr>
                <w:rFonts w:hint="default" w:ascii="Times New Roman" w:hAnsi="Times New Roman" w:cs="Times New Roman"/>
                <w:sz w:val="24"/>
                <w:szCs w:val="24"/>
                <w:lang w:val="en-US" w:eastAsia="zh-CN"/>
              </w:rPr>
              <w:t>现有项目</w:t>
            </w:r>
            <w:r>
              <w:rPr>
                <w:rFonts w:hint="default" w:ascii="Times New Roman" w:hAnsi="Times New Roman" w:cs="Times New Roman"/>
                <w:sz w:val="24"/>
                <w:szCs w:val="24"/>
              </w:rPr>
              <w:t>核定的总量控制指标</w:t>
            </w:r>
            <w:r>
              <w:rPr>
                <w:rFonts w:hint="default" w:ascii="Times New Roman" w:hAnsi="Times New Roman" w:cs="Times New Roman"/>
                <w:sz w:val="24"/>
                <w:szCs w:val="24"/>
                <w:lang w:val="en-GB"/>
              </w:rPr>
              <w:t>SO</w:t>
            </w:r>
            <w:r>
              <w:rPr>
                <w:rFonts w:hint="default" w:ascii="Times New Roman" w:hAnsi="Times New Roman" w:cs="Times New Roman"/>
                <w:sz w:val="24"/>
                <w:szCs w:val="24"/>
                <w:vertAlign w:val="subscript"/>
                <w:lang w:val="en-GB"/>
              </w:rPr>
              <w:t>2</w:t>
            </w:r>
            <w:r>
              <w:rPr>
                <w:rFonts w:hint="default" w:ascii="Times New Roman" w:hAnsi="Times New Roman" w:cs="Times New Roman"/>
                <w:sz w:val="24"/>
                <w:szCs w:val="24"/>
                <w:vertAlign w:val="baseline"/>
                <w:lang w:val="en-US" w:eastAsia="zh-CN"/>
              </w:rPr>
              <w:t>3.532</w:t>
            </w:r>
            <w:r>
              <w:rPr>
                <w:rFonts w:hint="default" w:ascii="Times New Roman" w:hAnsi="Times New Roman" w:cs="Times New Roman"/>
                <w:sz w:val="24"/>
                <w:szCs w:val="24"/>
                <w:lang w:val="en-GB"/>
              </w:rPr>
              <w:t>t/a、NO</w:t>
            </w:r>
            <w:r>
              <w:rPr>
                <w:rFonts w:hint="default" w:ascii="Times New Roman" w:hAnsi="Times New Roman" w:cs="Times New Roman"/>
                <w:sz w:val="24"/>
                <w:szCs w:val="24"/>
                <w:vertAlign w:val="subscript"/>
                <w:lang w:val="en-GB"/>
              </w:rPr>
              <w:t>X</w:t>
            </w:r>
            <w:r>
              <w:rPr>
                <w:rFonts w:hint="default" w:ascii="Times New Roman" w:hAnsi="Times New Roman" w:cs="Times New Roman"/>
                <w:sz w:val="24"/>
                <w:szCs w:val="24"/>
                <w:lang w:val="en-US" w:eastAsia="zh-CN"/>
              </w:rPr>
              <w:t>10.596</w:t>
            </w:r>
            <w:r>
              <w:rPr>
                <w:rFonts w:hint="default" w:ascii="Times New Roman" w:hAnsi="Times New Roman" w:cs="Times New Roman"/>
                <w:sz w:val="24"/>
                <w:szCs w:val="24"/>
                <w:lang w:val="en-GB"/>
              </w:rPr>
              <w:t>t/a、</w:t>
            </w:r>
            <w:r>
              <w:rPr>
                <w:rFonts w:hint="default" w:ascii="Times New Roman" w:hAnsi="Times New Roman" w:cs="Times New Roman"/>
                <w:sz w:val="24"/>
                <w:szCs w:val="24"/>
                <w:lang w:val="en-US" w:eastAsia="zh-CN"/>
              </w:rPr>
              <w:t>烟尘1.143t/a、</w:t>
            </w:r>
            <w:r>
              <w:rPr>
                <w:rFonts w:hint="default" w:ascii="Times New Roman" w:hAnsi="Times New Roman" w:cs="Times New Roman"/>
                <w:sz w:val="24"/>
                <w:szCs w:val="24"/>
              </w:rPr>
              <w:t xml:space="preserve">COD </w:t>
            </w:r>
            <w:r>
              <w:rPr>
                <w:rFonts w:hint="default" w:ascii="Times New Roman" w:hAnsi="Times New Roman" w:cs="Times New Roman"/>
                <w:sz w:val="24"/>
                <w:szCs w:val="24"/>
                <w:lang w:val="en-US" w:eastAsia="zh-CN"/>
              </w:rPr>
              <w:t>21.663</w:t>
            </w:r>
            <w:r>
              <w:rPr>
                <w:rFonts w:hint="default" w:ascii="Times New Roman" w:hAnsi="Times New Roman" w:cs="Times New Roman"/>
                <w:sz w:val="24"/>
                <w:szCs w:val="24"/>
              </w:rPr>
              <w:t>t/a、NH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 xml:space="preserve">-N </w:t>
            </w:r>
            <w:r>
              <w:rPr>
                <w:rFonts w:hint="default" w:ascii="Times New Roman" w:hAnsi="Times New Roman" w:cs="Times New Roman"/>
                <w:sz w:val="24"/>
                <w:szCs w:val="24"/>
                <w:lang w:val="en-US" w:eastAsia="zh-CN"/>
              </w:rPr>
              <w:t>2.167</w:t>
            </w:r>
            <w:r>
              <w:rPr>
                <w:rFonts w:hint="default" w:ascii="Times New Roman" w:hAnsi="Times New Roman" w:cs="Times New Roman"/>
                <w:sz w:val="24"/>
                <w:szCs w:val="24"/>
              </w:rPr>
              <w:t>t/a</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TP0.173t/a、TN6.499t/a</w:t>
            </w:r>
            <w:r>
              <w:rPr>
                <w:rFonts w:hint="default" w:ascii="Times New Roman" w:hAnsi="Times New Roman" w:cs="Times New Roman"/>
                <w:sz w:val="24"/>
                <w:szCs w:val="24"/>
              </w:rPr>
              <w:t>要求。</w:t>
            </w:r>
          </w:p>
          <w:p>
            <w:pPr>
              <w:pStyle w:val="43"/>
              <w:spacing w:before="0" w:beforeAutospacing="0" w:after="0" w:afterAutospacing="0" w:line="360" w:lineRule="auto"/>
              <w:ind w:firstLine="480" w:firstLineChars="200"/>
              <w:jc w:val="both"/>
              <w:rPr>
                <w:rFonts w:ascii="Times New Roman" w:hAnsi="Times New Roman"/>
                <w:lang w:val="en-GB"/>
              </w:rPr>
            </w:pPr>
          </w:p>
        </w:tc>
      </w:tr>
    </w:tbl>
    <w:p>
      <w:pPr>
        <w:outlineLvl w:val="0"/>
        <w:rPr>
          <w:b/>
          <w:color w:val="000000"/>
          <w:sz w:val="30"/>
          <w:szCs w:val="30"/>
        </w:rPr>
      </w:pPr>
      <w:r>
        <w:rPr>
          <w:b/>
          <w:color w:val="000000"/>
          <w:sz w:val="30"/>
          <w:szCs w:val="30"/>
        </w:rPr>
        <w:t>建设项目工程分析</w:t>
      </w:r>
    </w:p>
    <w:tbl>
      <w:tblPr>
        <w:tblStyle w:val="47"/>
        <w:tblW w:w="8443"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8443" w:type="dxa"/>
            <w:shd w:val="clear" w:color="auto" w:fill="auto"/>
          </w:tcPr>
          <w:p>
            <w:pPr>
              <w:spacing w:line="360" w:lineRule="auto"/>
              <w:rPr>
                <w:b/>
                <w:kern w:val="0"/>
                <w:sz w:val="28"/>
                <w:szCs w:val="28"/>
              </w:rPr>
            </w:pPr>
            <w:r>
              <w:rPr>
                <w:b/>
                <w:kern w:val="0"/>
                <w:sz w:val="28"/>
                <w:szCs w:val="28"/>
              </w:rPr>
              <w:t>工艺流程简述（图示）：</w:t>
            </w:r>
          </w:p>
          <w:p>
            <w:pPr>
              <w:pStyle w:val="95"/>
              <w:rPr>
                <w:rFonts w:hint="eastAsia"/>
                <w:lang w:eastAsia="zh-CN"/>
              </w:rPr>
            </w:pPr>
            <w:r>
              <w:rPr>
                <w:rFonts w:hint="eastAsia"/>
                <w:lang w:eastAsia="zh-CN"/>
              </w:rPr>
              <w:t>技改前污水处理站工艺流程如下：</w:t>
            </w:r>
          </w:p>
          <w:p>
            <w:pPr>
              <w:pStyle w:val="95"/>
              <w:rPr>
                <w:rFonts w:hint="eastAsia"/>
                <w:lang w:eastAsia="zh-CN"/>
              </w:rPr>
            </w:pPr>
            <w:r>
              <w:rPr>
                <w:rFonts w:hint="eastAsia"/>
              </w:rPr>
              <w:drawing>
                <wp:inline distT="0" distB="0" distL="114300" distR="114300">
                  <wp:extent cx="4679950" cy="2712085"/>
                  <wp:effectExtent l="0" t="0" r="6350" b="1206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b="6889"/>
                          <a:stretch>
                            <a:fillRect/>
                          </a:stretch>
                        </pic:blipFill>
                        <pic:spPr>
                          <a:xfrm>
                            <a:off x="0" y="0"/>
                            <a:ext cx="4679950" cy="2712085"/>
                          </a:xfrm>
                          <a:prstGeom prst="rect">
                            <a:avLst/>
                          </a:prstGeom>
                          <a:noFill/>
                          <a:ln>
                            <a:noFill/>
                          </a:ln>
                        </pic:spPr>
                      </pic:pic>
                    </a:graphicData>
                  </a:graphic>
                </wp:inline>
              </w:drawing>
            </w:r>
          </w:p>
          <w:p>
            <w:pPr>
              <w:pStyle w:val="95"/>
              <w:jc w:val="center"/>
              <w:rPr>
                <w:rFonts w:hint="default"/>
                <w:b/>
                <w:bCs/>
                <w:lang w:val="en-US" w:eastAsia="zh-CN"/>
              </w:rPr>
            </w:pPr>
            <w:r>
              <w:rPr>
                <w:rFonts w:hint="eastAsia"/>
                <w:b/>
                <w:bCs/>
                <w:lang w:eastAsia="zh-CN"/>
              </w:rPr>
              <w:t>图</w:t>
            </w:r>
            <w:r>
              <w:rPr>
                <w:rFonts w:hint="eastAsia"/>
                <w:b/>
                <w:bCs/>
                <w:lang w:val="en-US" w:eastAsia="zh-CN"/>
              </w:rPr>
              <w:t>3  改造前污水处理站运行工艺流程图</w:t>
            </w:r>
          </w:p>
          <w:p>
            <w:pPr>
              <w:pStyle w:val="95"/>
              <w:ind w:left="0" w:leftChars="0" w:firstLine="0" w:firstLineChars="0"/>
              <w:rPr>
                <w:rFonts w:hint="eastAsia"/>
                <w:lang w:eastAsia="zh-CN"/>
              </w:rPr>
            </w:pPr>
            <w:r>
              <w:rPr>
                <w:sz w:val="24"/>
              </w:rPr>
              <w:pict>
                <v:shape id="_x0000_s2129" o:spid="_x0000_s2129" o:spt="202" type="#_x0000_t202" style="position:absolute;left:0pt;margin-left:50.35pt;margin-top:79.1pt;height:32.05pt;width:118pt;z-index:251704320;mso-width-relative:page;mso-height-relative:page;" filled="f" stroked="t" coordsize="21600,21600">
                  <v:path/>
                  <v:fill on="f" focussize="0,0"/>
                  <v:stroke color="#000000" dashstyle="dash"/>
                  <v:imagedata o:title=""/>
                  <o:lock v:ext="edit" aspectratio="f"/>
                  <v:textbox>
                    <w:txbxContent>
                      <w:p/>
                    </w:txbxContent>
                  </v:textbox>
                </v:shape>
              </w:pict>
            </w:r>
            <w:r>
              <w:rPr>
                <w:rFonts w:hint="eastAsia"/>
                <w:lang w:eastAsia="zh-CN"/>
              </w:rPr>
              <w:object>
                <v:shape id="_x0000_i1025" o:spt="75" type="#_x0000_t75" style="height:106.2pt;width:422.1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pPr>
              <w:pStyle w:val="95"/>
              <w:jc w:val="center"/>
              <w:rPr>
                <w:rFonts w:hint="eastAsia"/>
                <w:b/>
                <w:bCs/>
                <w:lang w:eastAsia="zh-CN"/>
              </w:rPr>
            </w:pPr>
            <w:r>
              <w:rPr>
                <w:sz w:val="24"/>
              </w:rPr>
              <w:pict>
                <v:shape id="_x0000_s2130" o:spid="_x0000_s2130" o:spt="202" type="#_x0000_t202" style="position:absolute;left:0pt;margin-left:11.85pt;margin-top:22.65pt;height:9.75pt;width:15.7pt;z-index:251769856;mso-width-relative:page;mso-height-relative:page;" filled="f" stroked="t" coordsize="21600,21600">
                  <v:path/>
                  <v:fill on="f" focussize="0,0"/>
                  <v:stroke color="#000000" joinstyle="miter" dashstyle="dash"/>
                  <v:imagedata o:title=""/>
                  <o:lock v:ext="edit" aspectratio="f"/>
                  <v:textbox>
                    <w:txbxContent>
                      <w:p/>
                    </w:txbxContent>
                  </v:textbox>
                </v:shape>
              </w:pict>
            </w:r>
            <w:r>
              <w:rPr>
                <w:sz w:val="24"/>
              </w:rPr>
              <w:pict>
                <v:shape id="_x0000_s2131" o:spid="_x0000_s2131" o:spt="202" type="#_x0000_t202" style="position:absolute;left:0pt;margin-left:3.15pt;margin-top:16.1pt;height:20.55pt;width:207.7pt;z-index:251704320;mso-width-relative:page;mso-height-relative:page;" fillcolor="#FFFFFF" filled="t" stroked="t" coordsize="21600,21600">
                  <v:path/>
                  <v:fill on="t" color2="#FFFFFF" focussize="0,0"/>
                  <v:stroke color="#000000"/>
                  <v:imagedata o:title=""/>
                  <o:lock v:ext="edit" aspectratio="f"/>
                  <v:textbox>
                    <w:txbxContent>
                      <w:p>
                        <w:pPr>
                          <w:rPr>
                            <w:rFonts w:hint="default" w:eastAsia="宋体"/>
                            <w:lang w:val="en-US" w:eastAsia="zh-CN"/>
                          </w:rPr>
                        </w:pPr>
                        <w:r>
                          <w:rPr>
                            <w:rFonts w:hint="eastAsia"/>
                            <w:lang w:val="en-US" w:eastAsia="zh-CN"/>
                          </w:rPr>
                          <w:t xml:space="preserve">    技改内容  G废气  N噪声  S固废</w:t>
                        </w:r>
                      </w:p>
                    </w:txbxContent>
                  </v:textbox>
                </v:shape>
              </w:pict>
            </w:r>
          </w:p>
          <w:p>
            <w:pPr>
              <w:pStyle w:val="95"/>
              <w:jc w:val="center"/>
              <w:rPr>
                <w:rFonts w:hint="eastAsia"/>
                <w:b/>
                <w:bCs/>
                <w:lang w:eastAsia="zh-CN"/>
              </w:rPr>
            </w:pPr>
          </w:p>
          <w:p>
            <w:pPr>
              <w:pStyle w:val="95"/>
              <w:jc w:val="center"/>
              <w:rPr>
                <w:rFonts w:hint="default"/>
                <w:b/>
                <w:bCs/>
                <w:lang w:val="en-US" w:eastAsia="zh-CN"/>
              </w:rPr>
            </w:pPr>
            <w:r>
              <w:rPr>
                <w:rFonts w:hint="eastAsia"/>
                <w:b/>
                <w:bCs/>
                <w:lang w:eastAsia="zh-CN"/>
              </w:rPr>
              <w:t>图</w:t>
            </w:r>
            <w:r>
              <w:rPr>
                <w:rFonts w:hint="eastAsia"/>
                <w:b/>
                <w:bCs/>
                <w:lang w:val="en-US" w:eastAsia="zh-CN"/>
              </w:rPr>
              <w:t>4  提标改造后污水处理站运行工艺流程图</w:t>
            </w:r>
          </w:p>
          <w:p>
            <w:pPr>
              <w:pStyle w:val="95"/>
            </w:pPr>
            <w:r>
              <w:rPr>
                <w:rFonts w:hint="eastAsia"/>
                <w:lang w:val="en-US" w:eastAsia="zh-CN"/>
              </w:rPr>
              <w:t>改造</w:t>
            </w:r>
            <w:r>
              <w:rPr>
                <w:rFonts w:hint="eastAsia"/>
              </w:rPr>
              <w:t>后污水处理厂主要进出水水质指标</w:t>
            </w:r>
            <w:r>
              <w:t>见表23。</w:t>
            </w:r>
          </w:p>
          <w:p>
            <w:pPr>
              <w:pStyle w:val="88"/>
              <w:rPr>
                <w:snapToGrid w:val="0"/>
                <w:sz w:val="24"/>
                <w:szCs w:val="24"/>
              </w:rPr>
            </w:pPr>
            <w:r>
              <w:rPr>
                <w:rFonts w:hint="eastAsia"/>
                <w:snapToGrid w:val="0"/>
                <w:sz w:val="24"/>
                <w:szCs w:val="24"/>
              </w:rPr>
              <w:t>表</w:t>
            </w:r>
            <w:r>
              <w:rPr>
                <w:snapToGrid w:val="0"/>
                <w:sz w:val="24"/>
                <w:szCs w:val="24"/>
              </w:rPr>
              <w:t xml:space="preserve">23   </w:t>
            </w:r>
            <w:r>
              <w:rPr>
                <w:rFonts w:hint="eastAsia"/>
                <w:snapToGrid w:val="0"/>
                <w:sz w:val="24"/>
                <w:szCs w:val="24"/>
                <w:lang w:val="en-US" w:eastAsia="zh-CN"/>
              </w:rPr>
              <w:t>技改</w:t>
            </w:r>
            <w:r>
              <w:rPr>
                <w:rFonts w:hint="eastAsia"/>
                <w:snapToGrid w:val="0"/>
                <w:sz w:val="24"/>
                <w:szCs w:val="24"/>
              </w:rPr>
              <w:t>后污水处理厂设计进出水水量水质</w:t>
            </w:r>
          </w:p>
          <w:tbl>
            <w:tblPr>
              <w:tblStyle w:val="316"/>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25"/>
              <w:gridCol w:w="1335"/>
              <w:gridCol w:w="1017"/>
              <w:gridCol w:w="1163"/>
              <w:gridCol w:w="1077"/>
              <w:gridCol w:w="946"/>
              <w:gridCol w:w="1077"/>
              <w:gridCol w:w="10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vAlign w:val="center"/>
                </w:tcPr>
                <w:p>
                  <w:pPr>
                    <w:pStyle w:val="82"/>
                  </w:pPr>
                  <w:r>
                    <w:rPr>
                      <w:rFonts w:hint="eastAsia"/>
                    </w:rPr>
                    <w:t>项目</w:t>
                  </w:r>
                </w:p>
              </w:tc>
              <w:tc>
                <w:tcPr>
                  <w:tcW w:w="792" w:type="pct"/>
                  <w:vAlign w:val="center"/>
                </w:tcPr>
                <w:p>
                  <w:pPr>
                    <w:pStyle w:val="82"/>
                  </w:pPr>
                  <w:r>
                    <w:rPr>
                      <w:rFonts w:hint="eastAsia"/>
                    </w:rPr>
                    <w:t>水量</w:t>
                  </w:r>
                </w:p>
              </w:tc>
              <w:tc>
                <w:tcPr>
                  <w:tcW w:w="603" w:type="pct"/>
                  <w:vAlign w:val="center"/>
                </w:tcPr>
                <w:p>
                  <w:pPr>
                    <w:pStyle w:val="82"/>
                  </w:pPr>
                  <w:r>
                    <w:t>COD</w:t>
                  </w:r>
                </w:p>
                <w:p>
                  <w:pPr>
                    <w:pStyle w:val="82"/>
                  </w:pPr>
                  <w:r>
                    <w:t>(mg/L)</w:t>
                  </w:r>
                </w:p>
              </w:tc>
              <w:tc>
                <w:tcPr>
                  <w:tcW w:w="690" w:type="pct"/>
                  <w:vAlign w:val="center"/>
                </w:tcPr>
                <w:p>
                  <w:pPr>
                    <w:pStyle w:val="82"/>
                    <w:rPr>
                      <w:vertAlign w:val="subscript"/>
                    </w:rPr>
                  </w:pPr>
                  <w:r>
                    <w:t>BOD</w:t>
                  </w:r>
                  <w:r>
                    <w:rPr>
                      <w:vertAlign w:val="subscript"/>
                    </w:rPr>
                    <w:t>5</w:t>
                  </w:r>
                </w:p>
                <w:p>
                  <w:pPr>
                    <w:pStyle w:val="82"/>
                  </w:pPr>
                  <w:r>
                    <w:t>(mg/L)</w:t>
                  </w:r>
                </w:p>
              </w:tc>
              <w:tc>
                <w:tcPr>
                  <w:tcW w:w="639" w:type="pct"/>
                  <w:vAlign w:val="center"/>
                </w:tcPr>
                <w:p>
                  <w:pPr>
                    <w:pStyle w:val="82"/>
                    <w:rPr>
                      <w:vertAlign w:val="superscript"/>
                    </w:rPr>
                  </w:pPr>
                  <w:r>
                    <w:t>NH</w:t>
                  </w:r>
                  <w:r>
                    <w:rPr>
                      <w:vertAlign w:val="subscript"/>
                    </w:rPr>
                    <w:t>3</w:t>
                  </w:r>
                  <w:r>
                    <w:t>-N</w:t>
                  </w:r>
                </w:p>
                <w:p>
                  <w:pPr>
                    <w:pStyle w:val="82"/>
                  </w:pPr>
                  <w:r>
                    <w:t>(mg/L)</w:t>
                  </w:r>
                </w:p>
              </w:tc>
              <w:tc>
                <w:tcPr>
                  <w:tcW w:w="561" w:type="pct"/>
                  <w:vAlign w:val="center"/>
                </w:tcPr>
                <w:p>
                  <w:pPr>
                    <w:pStyle w:val="82"/>
                    <w:rPr>
                      <w:vertAlign w:val="subscript"/>
                    </w:rPr>
                  </w:pPr>
                  <w:r>
                    <w:t>TN</w:t>
                  </w:r>
                </w:p>
                <w:p>
                  <w:pPr>
                    <w:pStyle w:val="82"/>
                  </w:pPr>
                  <w:r>
                    <w:t>(mg/L)</w:t>
                  </w:r>
                </w:p>
              </w:tc>
              <w:tc>
                <w:tcPr>
                  <w:tcW w:w="639" w:type="pct"/>
                  <w:vAlign w:val="center"/>
                </w:tcPr>
                <w:p>
                  <w:pPr>
                    <w:pStyle w:val="82"/>
                  </w:pPr>
                  <w:r>
                    <w:t>TP</w:t>
                  </w:r>
                </w:p>
                <w:p>
                  <w:pPr>
                    <w:pStyle w:val="82"/>
                  </w:pPr>
                  <w:r>
                    <w:t>(mg/L)</w:t>
                  </w:r>
                </w:p>
              </w:tc>
              <w:tc>
                <w:tcPr>
                  <w:tcW w:w="642" w:type="pct"/>
                  <w:vAlign w:val="center"/>
                </w:tcPr>
                <w:p>
                  <w:pPr>
                    <w:pStyle w:val="82"/>
                    <w:rPr>
                      <w:vertAlign w:val="superscript"/>
                    </w:rPr>
                  </w:pPr>
                  <w:r>
                    <w:t>SS</w:t>
                  </w:r>
                </w:p>
                <w:p>
                  <w:pPr>
                    <w:pStyle w:val="82"/>
                  </w:pPr>
                  <w:r>
                    <w:t>(mg/L)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vAlign w:val="center"/>
                </w:tcPr>
                <w:p>
                  <w:pPr>
                    <w:pStyle w:val="82"/>
                  </w:pPr>
                  <w:r>
                    <w:rPr>
                      <w:rFonts w:hint="eastAsia"/>
                    </w:rPr>
                    <w:t>进水</w:t>
                  </w:r>
                </w:p>
              </w:tc>
              <w:tc>
                <w:tcPr>
                  <w:tcW w:w="792" w:type="pct"/>
                  <w:vAlign w:val="center"/>
                </w:tcPr>
                <w:p>
                  <w:pPr>
                    <w:pStyle w:val="82"/>
                  </w:pPr>
                  <w:r>
                    <w:rPr>
                      <w:rFonts w:hint="eastAsia"/>
                      <w:lang w:val="en-US" w:eastAsia="zh-CN"/>
                    </w:rPr>
                    <w:t>1483.4</w:t>
                  </w:r>
                  <w:r>
                    <w:t>m</w:t>
                  </w:r>
                  <w:r>
                    <w:rPr>
                      <w:vertAlign w:val="superscript"/>
                    </w:rPr>
                    <w:t>3</w:t>
                  </w:r>
                  <w:r>
                    <w:t>/d</w:t>
                  </w:r>
                </w:p>
              </w:tc>
              <w:tc>
                <w:tcPr>
                  <w:tcW w:w="603" w:type="pct"/>
                  <w:vAlign w:val="center"/>
                </w:tcPr>
                <w:p>
                  <w:pPr>
                    <w:pStyle w:val="82"/>
                    <w:rPr>
                      <w:rFonts w:hint="default" w:eastAsia="宋体"/>
                      <w:lang w:val="en-US" w:eastAsia="zh-CN"/>
                    </w:rPr>
                  </w:pPr>
                  <w:r>
                    <w:rPr>
                      <w:rFonts w:hint="eastAsia"/>
                      <w:lang w:val="en-US" w:eastAsia="zh-CN"/>
                    </w:rPr>
                    <w:t>1500</w:t>
                  </w:r>
                </w:p>
              </w:tc>
              <w:tc>
                <w:tcPr>
                  <w:tcW w:w="690" w:type="pct"/>
                  <w:vAlign w:val="center"/>
                </w:tcPr>
                <w:p>
                  <w:pPr>
                    <w:pStyle w:val="82"/>
                    <w:rPr>
                      <w:rFonts w:hint="default" w:eastAsia="宋体"/>
                      <w:lang w:val="en-US" w:eastAsia="zh-CN"/>
                    </w:rPr>
                  </w:pPr>
                  <w:r>
                    <w:rPr>
                      <w:rFonts w:hint="eastAsia"/>
                      <w:lang w:val="en-US" w:eastAsia="zh-CN"/>
                    </w:rPr>
                    <w:t>800</w:t>
                  </w:r>
                </w:p>
              </w:tc>
              <w:tc>
                <w:tcPr>
                  <w:tcW w:w="639" w:type="pct"/>
                  <w:vAlign w:val="center"/>
                </w:tcPr>
                <w:p>
                  <w:pPr>
                    <w:pStyle w:val="82"/>
                    <w:rPr>
                      <w:rFonts w:hint="default" w:eastAsia="宋体"/>
                      <w:lang w:val="en-US" w:eastAsia="zh-CN"/>
                    </w:rPr>
                  </w:pPr>
                  <w:r>
                    <w:rPr>
                      <w:rFonts w:hint="eastAsia"/>
                      <w:lang w:val="en-US" w:eastAsia="zh-CN"/>
                    </w:rPr>
                    <w:t>40</w:t>
                  </w:r>
                </w:p>
              </w:tc>
              <w:tc>
                <w:tcPr>
                  <w:tcW w:w="561" w:type="pct"/>
                  <w:vAlign w:val="center"/>
                </w:tcPr>
                <w:p>
                  <w:pPr>
                    <w:pStyle w:val="82"/>
                    <w:rPr>
                      <w:rFonts w:hint="default" w:eastAsia="宋体"/>
                      <w:lang w:val="en-US" w:eastAsia="zh-CN"/>
                    </w:rPr>
                  </w:pPr>
                  <w:r>
                    <w:rPr>
                      <w:rFonts w:hint="eastAsia"/>
                      <w:lang w:val="en-US" w:eastAsia="zh-CN"/>
                    </w:rPr>
                    <w:t>50</w:t>
                  </w:r>
                </w:p>
              </w:tc>
              <w:tc>
                <w:tcPr>
                  <w:tcW w:w="639" w:type="pct"/>
                  <w:vAlign w:val="center"/>
                </w:tcPr>
                <w:p>
                  <w:pPr>
                    <w:pStyle w:val="82"/>
                    <w:rPr>
                      <w:rFonts w:hint="default" w:eastAsia="宋体"/>
                      <w:lang w:val="en-US" w:eastAsia="zh-CN"/>
                    </w:rPr>
                  </w:pPr>
                  <w:r>
                    <w:rPr>
                      <w:rFonts w:hint="eastAsia"/>
                      <w:lang w:val="en-US" w:eastAsia="zh-CN"/>
                    </w:rPr>
                    <w:t>20</w:t>
                  </w:r>
                </w:p>
              </w:tc>
              <w:tc>
                <w:tcPr>
                  <w:tcW w:w="642" w:type="pct"/>
                  <w:vAlign w:val="center"/>
                </w:tcPr>
                <w:p>
                  <w:pPr>
                    <w:pStyle w:val="82"/>
                    <w:rPr>
                      <w:rFonts w:hint="default" w:eastAsia="宋体"/>
                      <w:lang w:val="en-US" w:eastAsia="zh-CN"/>
                    </w:rPr>
                  </w:pPr>
                  <w:r>
                    <w:rPr>
                      <w:rFonts w:hint="eastAsia"/>
                      <w:lang w:val="en-US" w:eastAsia="zh-CN"/>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0" w:type="pct"/>
                  <w:vAlign w:val="center"/>
                </w:tcPr>
                <w:p>
                  <w:pPr>
                    <w:pStyle w:val="82"/>
                  </w:pPr>
                  <w:r>
                    <w:rPr>
                      <w:rFonts w:hint="eastAsia"/>
                    </w:rPr>
                    <w:t>出水</w:t>
                  </w:r>
                </w:p>
              </w:tc>
              <w:tc>
                <w:tcPr>
                  <w:tcW w:w="792" w:type="pct"/>
                  <w:vAlign w:val="center"/>
                </w:tcPr>
                <w:p>
                  <w:pPr>
                    <w:pStyle w:val="82"/>
                  </w:pPr>
                  <w:r>
                    <w:rPr>
                      <w:rFonts w:hint="eastAsia"/>
                      <w:lang w:val="en-US" w:eastAsia="zh-CN"/>
                    </w:rPr>
                    <w:t>1444.2</w:t>
                  </w:r>
                  <w:r>
                    <w:t>m</w:t>
                  </w:r>
                  <w:r>
                    <w:rPr>
                      <w:vertAlign w:val="superscript"/>
                    </w:rPr>
                    <w:t>3</w:t>
                  </w:r>
                  <w:r>
                    <w:t>/d</w:t>
                  </w:r>
                </w:p>
              </w:tc>
              <w:tc>
                <w:tcPr>
                  <w:tcW w:w="603" w:type="pct"/>
                  <w:vAlign w:val="center"/>
                </w:tcPr>
                <w:p>
                  <w:pPr>
                    <w:pStyle w:val="82"/>
                  </w:pPr>
                  <w:r>
                    <w:t>≤30</w:t>
                  </w:r>
                </w:p>
              </w:tc>
              <w:tc>
                <w:tcPr>
                  <w:tcW w:w="690" w:type="pct"/>
                  <w:vAlign w:val="center"/>
                </w:tcPr>
                <w:p>
                  <w:pPr>
                    <w:pStyle w:val="82"/>
                  </w:pPr>
                  <w:r>
                    <w:t>≤6</w:t>
                  </w:r>
                </w:p>
              </w:tc>
              <w:tc>
                <w:tcPr>
                  <w:tcW w:w="639" w:type="pct"/>
                  <w:vAlign w:val="center"/>
                </w:tcPr>
                <w:p>
                  <w:pPr>
                    <w:pStyle w:val="82"/>
                  </w:pPr>
                  <w:r>
                    <w:t>≤1.5</w:t>
                  </w:r>
                </w:p>
              </w:tc>
              <w:tc>
                <w:tcPr>
                  <w:tcW w:w="561" w:type="pct"/>
                  <w:vAlign w:val="center"/>
                </w:tcPr>
                <w:p>
                  <w:pPr>
                    <w:pStyle w:val="82"/>
                  </w:pPr>
                  <w:r>
                    <w:t>≤</w:t>
                  </w:r>
                  <w:r>
                    <w:rPr>
                      <w:rFonts w:hint="eastAsia"/>
                    </w:rPr>
                    <w:t>1</w:t>
                  </w:r>
                  <w:r>
                    <w:t>5</w:t>
                  </w:r>
                </w:p>
              </w:tc>
              <w:tc>
                <w:tcPr>
                  <w:tcW w:w="639" w:type="pct"/>
                  <w:vAlign w:val="center"/>
                </w:tcPr>
                <w:p>
                  <w:pPr>
                    <w:pStyle w:val="82"/>
                  </w:pPr>
                  <w:r>
                    <w:t>≤</w:t>
                  </w:r>
                  <w:r>
                    <w:rPr>
                      <w:rFonts w:hint="eastAsia"/>
                    </w:rPr>
                    <w:t>0.</w:t>
                  </w:r>
                  <w:r>
                    <w:t>3</w:t>
                  </w:r>
                </w:p>
              </w:tc>
              <w:tc>
                <w:tcPr>
                  <w:tcW w:w="642" w:type="pct"/>
                  <w:vAlign w:val="center"/>
                </w:tcPr>
                <w:p>
                  <w:pPr>
                    <w:pStyle w:val="82"/>
                  </w:pPr>
                  <w:r>
                    <w:t>≤5</w:t>
                  </w:r>
                </w:p>
              </w:tc>
            </w:tr>
          </w:tbl>
          <w:p>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本次技改项目</w:t>
            </w:r>
            <w:r>
              <w:rPr>
                <w:rFonts w:hint="default" w:ascii="Times New Roman" w:hAnsi="Times New Roman" w:eastAsia="宋体" w:cs="Times New Roman"/>
                <w:color w:val="auto"/>
                <w:kern w:val="0"/>
                <w:sz w:val="24"/>
                <w:szCs w:val="24"/>
                <w:lang w:val="en-US" w:eastAsia="zh-CN"/>
              </w:rPr>
              <w:t>对</w:t>
            </w:r>
            <w:r>
              <w:rPr>
                <w:rFonts w:hint="default" w:ascii="Times New Roman" w:hAnsi="Times New Roman" w:eastAsia="宋体" w:cs="Times New Roman"/>
                <w:color w:val="auto"/>
                <w:sz w:val="24"/>
                <w:szCs w:val="24"/>
              </w:rPr>
              <w:t>原污水处理站为2×1250吨/d双系统水处理，因此提标改造时，对原设施进行改造部分，可分组进行，确保污水站能够正常运行。新增系统需全部到位后进行无缝对接。</w:t>
            </w:r>
            <w:r>
              <w:rPr>
                <w:rFonts w:hint="default" w:ascii="Times New Roman" w:hAnsi="Times New Roman" w:eastAsia="宋体" w:cs="Times New Roman"/>
                <w:color w:val="auto"/>
                <w:kern w:val="0"/>
                <w:sz w:val="24"/>
                <w:szCs w:val="24"/>
                <w:lang w:val="en-US" w:eastAsia="zh-CN"/>
              </w:rPr>
              <w:t>改造</w:t>
            </w:r>
            <w:r>
              <w:rPr>
                <w:rFonts w:hint="default" w:ascii="Times New Roman" w:hAnsi="Times New Roman" w:eastAsia="宋体" w:cs="Times New Roman"/>
                <w:color w:val="auto"/>
                <w:kern w:val="0"/>
                <w:sz w:val="24"/>
                <w:szCs w:val="24"/>
              </w:rPr>
              <w:t>后废水处理规模不变，设计处理能力仍为</w:t>
            </w:r>
            <w:r>
              <w:rPr>
                <w:rFonts w:hint="default" w:ascii="Times New Roman" w:hAnsi="Times New Roman" w:eastAsia="宋体" w:cs="Times New Roman"/>
                <w:color w:val="auto"/>
                <w:kern w:val="0"/>
                <w:sz w:val="24"/>
                <w:szCs w:val="24"/>
                <w:lang w:val="en-US" w:eastAsia="zh-CN"/>
              </w:rPr>
              <w:t>1250</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/d，污水处理厂处理工艺发生变化，采用“</w:t>
            </w:r>
            <w:r>
              <w:rPr>
                <w:rFonts w:hint="default" w:ascii="Times New Roman" w:hAnsi="Times New Roman" w:eastAsia="宋体" w:cs="Times New Roman"/>
                <w:color w:val="auto"/>
                <w:kern w:val="0"/>
                <w:sz w:val="24"/>
                <w:szCs w:val="24"/>
                <w:lang w:eastAsia="zh-CN"/>
              </w:rPr>
              <w:t>预处理+好氧+除磷+粉末C吸附</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主线工艺</w:t>
            </w:r>
            <w:r>
              <w:rPr>
                <w:rFonts w:hint="default" w:ascii="Times New Roman" w:hAnsi="Times New Roman" w:eastAsia="宋体" w:cs="Times New Roman"/>
                <w:color w:val="auto"/>
                <w:kern w:val="0"/>
                <w:sz w:val="24"/>
                <w:szCs w:val="24"/>
              </w:rPr>
              <w:t>，提高了废水中各污染物的去除效率，技改</w:t>
            </w:r>
            <w:r>
              <w:rPr>
                <w:rFonts w:hint="default" w:ascii="Times New Roman" w:hAnsi="Times New Roman" w:eastAsia="宋体"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工艺流程及排污节点分析如下：</w:t>
            </w:r>
          </w:p>
          <w:p>
            <w:pPr>
              <w:spacing w:line="360" w:lineRule="auto"/>
              <w:ind w:firstLine="482" w:firstLineChars="200"/>
              <w:rPr>
                <w:rFonts w:ascii="宋体" w:hAnsi="宋体" w:eastAsia="宋体"/>
                <w:b/>
                <w:bCs/>
                <w:sz w:val="24"/>
                <w:szCs w:val="24"/>
              </w:rPr>
            </w:pPr>
            <w:r>
              <w:rPr>
                <w:rFonts w:ascii="宋体" w:hAnsi="宋体" w:eastAsia="宋体"/>
                <w:b/>
                <w:bCs/>
                <w:sz w:val="24"/>
                <w:szCs w:val="24"/>
              </w:rPr>
              <w:t>1</w:t>
            </w:r>
            <w:r>
              <w:rPr>
                <w:rFonts w:hint="eastAsia" w:ascii="宋体" w:hAnsi="宋体" w:eastAsia="宋体"/>
                <w:b/>
                <w:bCs/>
                <w:sz w:val="24"/>
                <w:szCs w:val="24"/>
              </w:rPr>
              <w:t>、预处理系统</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原水经过机械格栅去除部分大颗粒杂物后自流进入调节池调节水质水量，调节池内设潜水搅拌机，有效防止沉淀产生，并均匀污废水水质，避免冲击负荷，使后续工艺能均质高效运行，同时能够防止污废水储存时腐化发臭散发异味。</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由于生产车间不定时有冲洗废水进入，此股废水一般呈酸性，须进行P</w:t>
            </w:r>
            <w:r>
              <w:rPr>
                <w:rFonts w:ascii="宋体" w:hAnsi="宋体" w:eastAsia="宋体"/>
                <w:sz w:val="24"/>
                <w:szCs w:val="24"/>
              </w:rPr>
              <w:t>H</w:t>
            </w:r>
            <w:r>
              <w:rPr>
                <w:rFonts w:hint="eastAsia" w:ascii="宋体" w:hAnsi="宋体" w:eastAsia="宋体"/>
                <w:sz w:val="24"/>
                <w:szCs w:val="24"/>
              </w:rPr>
              <w:t>调节。因此在调节池中投加石灰、酸来调节废水</w:t>
            </w:r>
            <w:r>
              <w:rPr>
                <w:rFonts w:ascii="宋体" w:hAnsi="宋体" w:eastAsia="宋体"/>
                <w:sz w:val="24"/>
                <w:szCs w:val="24"/>
              </w:rPr>
              <w:t>PH</w:t>
            </w:r>
            <w:r>
              <w:rPr>
                <w:rFonts w:hint="eastAsia" w:ascii="宋体" w:hAnsi="宋体" w:eastAsia="宋体"/>
                <w:sz w:val="24"/>
                <w:szCs w:val="24"/>
              </w:rPr>
              <w:t>值在7左右。</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调节池出水经泵提升进入预处理气浮装置，在预处理气浮中通过投加P</w:t>
            </w:r>
            <w:r>
              <w:rPr>
                <w:rFonts w:ascii="宋体" w:hAnsi="宋体" w:eastAsia="宋体"/>
                <w:sz w:val="24"/>
                <w:szCs w:val="24"/>
              </w:rPr>
              <w:t>AC</w:t>
            </w:r>
            <w:r>
              <w:rPr>
                <w:rFonts w:hint="eastAsia" w:ascii="宋体" w:hAnsi="宋体" w:eastAsia="宋体"/>
                <w:sz w:val="24"/>
                <w:szCs w:val="24"/>
              </w:rPr>
              <w:t>、P</w:t>
            </w:r>
            <w:r>
              <w:rPr>
                <w:rFonts w:ascii="宋体" w:hAnsi="宋体" w:eastAsia="宋体"/>
                <w:sz w:val="24"/>
                <w:szCs w:val="24"/>
              </w:rPr>
              <w:t>AM</w:t>
            </w:r>
            <w:r>
              <w:rPr>
                <w:rFonts w:hint="eastAsia" w:ascii="宋体" w:hAnsi="宋体" w:eastAsia="宋体"/>
                <w:sz w:val="24"/>
                <w:szCs w:val="24"/>
              </w:rPr>
              <w:t>-进行混凝反应，使废水中的污染物反应生成絮体从废水中析出。混凝反应后的废水自流进入水解酸化池，析出的浮渣进入污泥浓缩池中进一步浓缩后压滤处理。</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2、水解酸化池</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水解酸化池可有效降解废水中的有机污染物，使难降解的大分子有机物被分解为比较容易降解的小分子物质，这样才能进入细菌细胞内进一步降解。酸化阶段是有机物降解的提速过程，因为它将水解后的小分子有机物进一步转化为简单的化合物并分泌到细胞外。从而去除废水中部分悬浮物、C</w:t>
            </w:r>
            <w:r>
              <w:rPr>
                <w:rFonts w:ascii="宋体" w:hAnsi="宋体" w:eastAsia="宋体"/>
                <w:sz w:val="24"/>
                <w:szCs w:val="24"/>
              </w:rPr>
              <w:t>OD</w:t>
            </w:r>
            <w:r>
              <w:rPr>
                <w:rFonts w:hint="eastAsia" w:ascii="宋体" w:hAnsi="宋体" w:eastAsia="宋体"/>
                <w:sz w:val="24"/>
                <w:szCs w:val="24"/>
              </w:rPr>
              <w:t>等，并能改善废水的可生化性。</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3、厌氧塔</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水解酸化池出水经泵进入厌氧塔。厌氧塔由布水器、三相分离器、污泥床组成。污水从厌氧塔底部的布水器进入厌氧塔内，污泥床内有大量厌氧微生物，污水进入污泥床后，污水中的有机物被厌氧微生物分解成沼气，沼气、分解后的污水、污泥床内的污泥同时进入三相分离器内，在三相分离器的作用下，污泥床内的污泥回落到厌氧塔内，沼气从三相分离器的顶部排出，处理后的废水从三相分离器的侧面自流进入缺氧池中。</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厌氧塔污泥定期排泥至污泥浓缩池中进一步浓缩后压滤处理。</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4、缺氧池</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厌氧塔出水自流进入缺氧池，同时接触氧化池硝化液回流至缺氧池。在缺氧池中，反硝化菌利用污水中的有机物作碳源，将回流混合液中带入的大量N</w:t>
            </w:r>
            <w:r>
              <w:rPr>
                <w:rFonts w:ascii="宋体" w:hAnsi="宋体" w:eastAsia="宋体"/>
                <w:sz w:val="24"/>
                <w:szCs w:val="24"/>
              </w:rPr>
              <w:t>O3-N</w:t>
            </w:r>
            <w:r>
              <w:rPr>
                <w:rFonts w:hint="eastAsia" w:ascii="宋体" w:hAnsi="宋体" w:eastAsia="宋体"/>
                <w:sz w:val="24"/>
                <w:szCs w:val="24"/>
              </w:rPr>
              <w:t>和N</w:t>
            </w:r>
            <w:r>
              <w:rPr>
                <w:rFonts w:ascii="宋体" w:hAnsi="宋体" w:eastAsia="宋体"/>
                <w:sz w:val="24"/>
                <w:szCs w:val="24"/>
              </w:rPr>
              <w:t>O2-N</w:t>
            </w:r>
            <w:r>
              <w:rPr>
                <w:rFonts w:hint="eastAsia" w:ascii="宋体" w:hAnsi="宋体" w:eastAsia="宋体"/>
                <w:sz w:val="24"/>
                <w:szCs w:val="24"/>
              </w:rPr>
              <w:t>还原为N</w:t>
            </w:r>
            <w:r>
              <w:rPr>
                <w:rFonts w:ascii="宋体" w:hAnsi="宋体" w:eastAsia="宋体"/>
                <w:sz w:val="24"/>
                <w:szCs w:val="24"/>
              </w:rPr>
              <w:t>2</w:t>
            </w:r>
            <w:r>
              <w:rPr>
                <w:rFonts w:hint="eastAsia" w:ascii="宋体" w:hAnsi="宋体" w:eastAsia="宋体"/>
                <w:sz w:val="24"/>
                <w:szCs w:val="24"/>
              </w:rPr>
              <w:t>释放至空气，去除B</w:t>
            </w:r>
            <w:r>
              <w:rPr>
                <w:rFonts w:ascii="宋体" w:hAnsi="宋体" w:eastAsia="宋体"/>
                <w:sz w:val="24"/>
                <w:szCs w:val="24"/>
              </w:rPr>
              <w:t>OD5</w:t>
            </w:r>
            <w:r>
              <w:rPr>
                <w:rFonts w:hint="eastAsia" w:ascii="宋体" w:hAnsi="宋体" w:eastAsia="宋体"/>
                <w:sz w:val="24"/>
                <w:szCs w:val="24"/>
              </w:rPr>
              <w:t>。</w:t>
            </w:r>
          </w:p>
          <w:p>
            <w:pPr>
              <w:spacing w:line="360" w:lineRule="auto"/>
              <w:ind w:firstLine="482" w:firstLineChars="200"/>
              <w:rPr>
                <w:rFonts w:hint="eastAsia" w:ascii="宋体" w:hAnsi="宋体" w:eastAsia="宋体"/>
                <w:b/>
                <w:bCs/>
                <w:sz w:val="24"/>
                <w:szCs w:val="24"/>
              </w:rPr>
            </w:pPr>
            <w:r>
              <w:rPr>
                <w:rFonts w:hint="eastAsia" w:ascii="宋体" w:hAnsi="宋体" w:eastAsia="宋体"/>
                <w:b/>
                <w:bCs/>
                <w:sz w:val="24"/>
                <w:szCs w:val="24"/>
              </w:rPr>
              <w:t>5、接触氧化池</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接触氧化池用罗茨风机进行曝气，兼具活性污泥法与生物滤池两者的优点，即为具有活性污泥法特点的生物膜法，能够接受较高的有机负荷率，处理效果好，并能够在间歇条件下运行，仍保持良好的处理效果；接触氧化池采用组合填料，易挂膜、耐用、比表面积大、操作简单、运行方便、易于维护管理，不产生污泥膨胀等现象，污泥生成量少，污泥颗粒较大，易于沉淀；接触氧化池设硝化液回流泵，将氧化池水回流至缺氧池，完成反硝化脱氮的过程。</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6、沉淀池</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接触氧化池出水进入沉淀池中，沉淀池部分污泥回流至厌氧塔及厌氧池中，提高处理效果，并减少总污泥处理量，减轻外运泥饼、污泥工作量。另一部分污泥进入污泥浓缩池中进一步浓缩后压滤处理。</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7、除磷气浮装置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沉淀池出水进入清水池后由泵提升进入除磷气浮装置。在混凝反应槽中投加P</w:t>
            </w:r>
            <w:r>
              <w:rPr>
                <w:rFonts w:ascii="宋体" w:hAnsi="宋体" w:eastAsia="宋体"/>
                <w:sz w:val="24"/>
                <w:szCs w:val="24"/>
              </w:rPr>
              <w:t>AM</w:t>
            </w:r>
            <w:r>
              <w:rPr>
                <w:rFonts w:hint="eastAsia" w:ascii="宋体" w:hAnsi="宋体" w:eastAsia="宋体"/>
                <w:sz w:val="24"/>
                <w:szCs w:val="24"/>
              </w:rPr>
              <w:t>-、除磷剂、粉末活性炭。在废水中投加除磷剂后，除磷剂极易与水中的磷离子结合产生沉淀物，然后后续通过沉淀池去除，从而达到除磷的效果。为确保出水水质C</w:t>
            </w:r>
            <w:r>
              <w:rPr>
                <w:rFonts w:ascii="宋体" w:hAnsi="宋体" w:eastAsia="宋体"/>
                <w:sz w:val="24"/>
                <w:szCs w:val="24"/>
              </w:rPr>
              <w:t>OD</w:t>
            </w:r>
            <w:r>
              <w:rPr>
                <w:rFonts w:hint="eastAsia" w:ascii="宋体" w:hAnsi="宋体" w:eastAsia="宋体"/>
                <w:sz w:val="24"/>
                <w:szCs w:val="24"/>
              </w:rPr>
              <w:t>稳定达标排放，在粉末炭搅拌槽内投加粉末活性炭，其具有吸附速度快、吸附能力强的特点，可以确保出水C</w:t>
            </w:r>
            <w:r>
              <w:rPr>
                <w:rFonts w:ascii="宋体" w:hAnsi="宋体" w:eastAsia="宋体"/>
                <w:sz w:val="24"/>
                <w:szCs w:val="24"/>
              </w:rPr>
              <w:t>OD</w:t>
            </w:r>
            <w:r>
              <w:rPr>
                <w:rFonts w:hint="eastAsia" w:ascii="宋体" w:hAnsi="宋体" w:eastAsia="宋体"/>
                <w:sz w:val="24"/>
                <w:szCs w:val="24"/>
              </w:rPr>
              <w:t>达标。</w:t>
            </w:r>
          </w:p>
          <w:p>
            <w:pPr>
              <w:spacing w:line="360" w:lineRule="auto"/>
              <w:ind w:firstLine="482" w:firstLineChars="200"/>
              <w:rPr>
                <w:rFonts w:ascii="宋体" w:hAnsi="宋体" w:eastAsia="宋体"/>
                <w:b/>
                <w:bCs/>
                <w:sz w:val="24"/>
                <w:szCs w:val="24"/>
              </w:rPr>
            </w:pPr>
            <w:r>
              <w:rPr>
                <w:rFonts w:hint="eastAsia" w:ascii="宋体" w:hAnsi="宋体" w:eastAsia="宋体"/>
                <w:b/>
                <w:bCs/>
                <w:sz w:val="24"/>
                <w:szCs w:val="24"/>
              </w:rPr>
              <w:t>8、事故池</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当调节池来水水质或水量波动较大时，</w:t>
            </w:r>
            <w:r>
              <w:rPr>
                <w:rFonts w:ascii="宋体" w:hAnsi="宋体" w:eastAsia="宋体"/>
                <w:sz w:val="24"/>
                <w:szCs w:val="24"/>
              </w:rPr>
              <w:t>会给</w:t>
            </w:r>
            <w:r>
              <w:rPr>
                <w:rFonts w:hint="eastAsia" w:ascii="宋体" w:hAnsi="宋体" w:eastAsia="宋体"/>
                <w:sz w:val="24"/>
                <w:szCs w:val="24"/>
              </w:rPr>
              <w:t>后续</w:t>
            </w:r>
            <w:r>
              <w:rPr>
                <w:rFonts w:ascii="宋体" w:hAnsi="宋体" w:eastAsia="宋体"/>
                <w:sz w:val="24"/>
                <w:szCs w:val="24"/>
              </w:rPr>
              <w:t>生</w:t>
            </w:r>
            <w:r>
              <w:rPr>
                <w:rFonts w:hint="eastAsia" w:ascii="宋体" w:hAnsi="宋体" w:eastAsia="宋体"/>
                <w:sz w:val="24"/>
                <w:szCs w:val="24"/>
              </w:rPr>
              <w:t>化</w:t>
            </w:r>
            <w:r>
              <w:rPr>
                <w:rFonts w:ascii="宋体" w:hAnsi="宋体" w:eastAsia="宋体"/>
                <w:sz w:val="24"/>
                <w:szCs w:val="24"/>
              </w:rPr>
              <w:t>处理系统带来很高的冲击负荷，造成的影响需要很长时间来恢复，有时会造成致命的破坏</w:t>
            </w:r>
            <w:r>
              <w:rPr>
                <w:rFonts w:hint="eastAsia" w:ascii="宋体" w:hAnsi="宋体" w:eastAsia="宋体"/>
                <w:sz w:val="24"/>
                <w:szCs w:val="24"/>
              </w:rPr>
              <w:t>；或系统出现故障短时检修时，设事故池用于储存事故废水，以防后续处理系统遭到破坏。待系统稳定后，污水经泵定量少量提升进入调节池中进行处理。</w:t>
            </w:r>
          </w:p>
          <w:p>
            <w:pPr>
              <w:spacing w:line="360" w:lineRule="auto"/>
              <w:ind w:firstLine="482" w:firstLineChars="200"/>
              <w:rPr>
                <w:rFonts w:hint="eastAsia"/>
                <w:b/>
                <w:color w:val="0000FF"/>
                <w:kern w:val="0"/>
                <w:sz w:val="24"/>
                <w:szCs w:val="24"/>
              </w:rPr>
            </w:pPr>
          </w:p>
          <w:p>
            <w:pPr>
              <w:spacing w:line="360" w:lineRule="auto"/>
              <w:ind w:firstLine="482" w:firstLineChars="200"/>
              <w:rPr>
                <w:rFonts w:hint="eastAsia"/>
                <w:b/>
                <w:color w:val="0000FF"/>
                <w:kern w:val="0"/>
                <w:sz w:val="24"/>
                <w:szCs w:val="24"/>
              </w:rPr>
            </w:pPr>
          </w:p>
          <w:p>
            <w:pPr>
              <w:spacing w:line="360" w:lineRule="auto"/>
              <w:ind w:firstLine="482" w:firstLineChars="200"/>
              <w:rPr>
                <w:rFonts w:hint="eastAsia"/>
                <w:b/>
                <w:color w:val="0000FF"/>
                <w:kern w:val="0"/>
                <w:sz w:val="24"/>
                <w:szCs w:val="24"/>
              </w:rPr>
            </w:pPr>
          </w:p>
          <w:p>
            <w:pPr>
              <w:spacing w:line="360" w:lineRule="auto"/>
              <w:ind w:firstLine="482" w:firstLineChars="200"/>
              <w:rPr>
                <w:rFonts w:hint="eastAsia"/>
                <w:b/>
                <w:color w:val="0000FF"/>
                <w:kern w:val="0"/>
                <w:sz w:val="24"/>
                <w:szCs w:val="24"/>
              </w:rPr>
            </w:pPr>
          </w:p>
          <w:p>
            <w:pPr>
              <w:spacing w:line="360" w:lineRule="auto"/>
              <w:ind w:firstLine="482" w:firstLineChars="200"/>
              <w:rPr>
                <w:rFonts w:hint="eastAsia"/>
                <w:b/>
                <w:color w:val="0000FF"/>
                <w:kern w:val="0"/>
                <w:sz w:val="24"/>
                <w:szCs w:val="24"/>
              </w:rPr>
            </w:pPr>
          </w:p>
          <w:p>
            <w:pPr>
              <w:spacing w:line="360" w:lineRule="auto"/>
              <w:ind w:firstLine="482" w:firstLineChars="200"/>
              <w:rPr>
                <w:b/>
                <w:color w:val="0000FF"/>
                <w:kern w:val="0"/>
                <w:sz w:val="24"/>
                <w:szCs w:val="24"/>
              </w:rPr>
            </w:pPr>
            <w:r>
              <w:rPr>
                <w:rFonts w:hint="eastAsia"/>
                <w:b/>
                <w:color w:val="auto"/>
                <w:kern w:val="0"/>
                <w:sz w:val="24"/>
                <w:szCs w:val="24"/>
                <w:lang w:eastAsia="zh-CN"/>
              </w:rPr>
              <w:t>二</w:t>
            </w:r>
            <w:r>
              <w:rPr>
                <w:rFonts w:hint="eastAsia"/>
                <w:b/>
                <w:color w:val="auto"/>
                <w:kern w:val="0"/>
                <w:sz w:val="24"/>
                <w:szCs w:val="24"/>
              </w:rPr>
              <w:t>、</w:t>
            </w:r>
            <w:r>
              <w:rPr>
                <w:rFonts w:hint="eastAsia"/>
                <w:color w:val="auto"/>
                <w:sz w:val="24"/>
                <w:szCs w:val="24"/>
              </w:rPr>
              <w:t>污</w:t>
            </w:r>
            <w:r>
              <w:rPr>
                <w:rFonts w:hint="eastAsia"/>
                <w:sz w:val="24"/>
                <w:szCs w:val="24"/>
              </w:rPr>
              <w:t>泥处理工艺流程</w:t>
            </w:r>
          </w:p>
          <w:p>
            <w:pPr>
              <w:spacing w:line="360" w:lineRule="auto"/>
              <w:rPr>
                <w:color w:val="0000FF"/>
                <w:kern w:val="0"/>
                <w:sz w:val="24"/>
                <w:szCs w:val="24"/>
              </w:rPr>
            </w:pPr>
            <w:r>
              <w:rPr>
                <w:rFonts w:hint="eastAsia"/>
              </w:rPr>
              <w:drawing>
                <wp:inline distT="0" distB="0" distL="114300" distR="114300">
                  <wp:extent cx="5106670" cy="1759585"/>
                  <wp:effectExtent l="0" t="0" r="17780" b="1206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3"/>
                          <a:stretch>
                            <a:fillRect/>
                          </a:stretch>
                        </pic:blipFill>
                        <pic:spPr>
                          <a:xfrm>
                            <a:off x="0" y="0"/>
                            <a:ext cx="5106670" cy="1759585"/>
                          </a:xfrm>
                          <a:prstGeom prst="rect">
                            <a:avLst/>
                          </a:prstGeom>
                          <a:noFill/>
                          <a:ln>
                            <a:noFill/>
                          </a:ln>
                        </pic:spPr>
                      </pic:pic>
                    </a:graphicData>
                  </a:graphic>
                </wp:inline>
              </w:drawing>
            </w:r>
          </w:p>
          <w:p>
            <w:pPr>
              <w:pStyle w:val="88"/>
              <w:rPr>
                <w:bCs/>
                <w:color w:val="auto"/>
                <w:sz w:val="24"/>
                <w:szCs w:val="24"/>
              </w:rPr>
            </w:pPr>
            <w:r>
              <w:rPr>
                <w:bCs/>
                <w:color w:val="auto"/>
                <w:sz w:val="24"/>
                <w:szCs w:val="24"/>
              </w:rPr>
              <w:t xml:space="preserve">表24  </w:t>
            </w:r>
            <w:r>
              <w:rPr>
                <w:rFonts w:hint="eastAsia"/>
                <w:bCs/>
                <w:color w:val="auto"/>
                <w:sz w:val="24"/>
                <w:szCs w:val="24"/>
              </w:rPr>
              <w:t>技改</w:t>
            </w:r>
            <w:r>
              <w:rPr>
                <w:bCs/>
                <w:color w:val="auto"/>
                <w:sz w:val="24"/>
                <w:szCs w:val="24"/>
              </w:rPr>
              <w:t>后项目主要排污节点一览表</w:t>
            </w:r>
          </w:p>
          <w:tbl>
            <w:tblPr>
              <w:tblStyle w:val="316"/>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60"/>
              <w:gridCol w:w="1961"/>
              <w:gridCol w:w="1587"/>
              <w:gridCol w:w="2892"/>
              <w:gridCol w:w="13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Align w:val="center"/>
                </w:tcPr>
                <w:p>
                  <w:pPr>
                    <w:pStyle w:val="93"/>
                    <w:jc w:val="center"/>
                    <w:rPr>
                      <w:color w:val="auto"/>
                    </w:rPr>
                  </w:pPr>
                  <w:r>
                    <w:rPr>
                      <w:color w:val="auto"/>
                    </w:rPr>
                    <w:t>类别</w:t>
                  </w:r>
                </w:p>
              </w:tc>
              <w:tc>
                <w:tcPr>
                  <w:tcW w:w="1164" w:type="pct"/>
                  <w:vAlign w:val="center"/>
                </w:tcPr>
                <w:p>
                  <w:pPr>
                    <w:pStyle w:val="93"/>
                    <w:jc w:val="center"/>
                    <w:rPr>
                      <w:color w:val="auto"/>
                    </w:rPr>
                  </w:pPr>
                  <w:r>
                    <w:rPr>
                      <w:color w:val="auto"/>
                    </w:rPr>
                    <w:t>生产工序</w:t>
                  </w:r>
                </w:p>
              </w:tc>
              <w:tc>
                <w:tcPr>
                  <w:tcW w:w="942" w:type="pct"/>
                  <w:vAlign w:val="center"/>
                </w:tcPr>
                <w:p>
                  <w:pPr>
                    <w:pStyle w:val="93"/>
                    <w:jc w:val="center"/>
                    <w:rPr>
                      <w:color w:val="auto"/>
                    </w:rPr>
                  </w:pPr>
                  <w:r>
                    <w:rPr>
                      <w:color w:val="auto"/>
                    </w:rPr>
                    <w:t>主要污染物</w:t>
                  </w:r>
                </w:p>
              </w:tc>
              <w:tc>
                <w:tcPr>
                  <w:tcW w:w="1717" w:type="pct"/>
                  <w:vAlign w:val="center"/>
                </w:tcPr>
                <w:p>
                  <w:pPr>
                    <w:pStyle w:val="93"/>
                    <w:jc w:val="center"/>
                    <w:rPr>
                      <w:color w:val="auto"/>
                    </w:rPr>
                  </w:pPr>
                  <w:r>
                    <w:rPr>
                      <w:color w:val="auto"/>
                    </w:rPr>
                    <w:t>治理措施</w:t>
                  </w:r>
                </w:p>
              </w:tc>
              <w:tc>
                <w:tcPr>
                  <w:tcW w:w="783" w:type="pct"/>
                  <w:vAlign w:val="center"/>
                </w:tcPr>
                <w:p>
                  <w:pPr>
                    <w:pStyle w:val="93"/>
                    <w:jc w:val="center"/>
                    <w:rPr>
                      <w:color w:val="auto"/>
                    </w:rPr>
                  </w:pPr>
                  <w:r>
                    <w:rPr>
                      <w:color w:val="auto"/>
                    </w:rPr>
                    <w:t>排放特征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Merge w:val="restart"/>
                  <w:vAlign w:val="center"/>
                </w:tcPr>
                <w:p>
                  <w:pPr>
                    <w:pStyle w:val="93"/>
                    <w:jc w:val="center"/>
                    <w:rPr>
                      <w:color w:val="auto"/>
                    </w:rPr>
                  </w:pPr>
                  <w:r>
                    <w:rPr>
                      <w:color w:val="auto"/>
                    </w:rPr>
                    <w:t>废气</w:t>
                  </w:r>
                </w:p>
              </w:tc>
              <w:tc>
                <w:tcPr>
                  <w:tcW w:w="1164" w:type="pct"/>
                  <w:vAlign w:val="center"/>
                </w:tcPr>
                <w:p>
                  <w:pPr>
                    <w:pStyle w:val="93"/>
                    <w:jc w:val="center"/>
                    <w:rPr>
                      <w:rFonts w:hint="default" w:eastAsia="宋体"/>
                      <w:color w:val="auto"/>
                      <w:lang w:val="en-US" w:eastAsia="zh-CN"/>
                    </w:rPr>
                  </w:pPr>
                  <w:r>
                    <w:rPr>
                      <w:rFonts w:hint="eastAsia"/>
                      <w:color w:val="auto"/>
                      <w:lang w:val="en-US" w:eastAsia="zh-CN"/>
                    </w:rPr>
                    <w:t>调节池</w:t>
                  </w:r>
                </w:p>
              </w:tc>
              <w:tc>
                <w:tcPr>
                  <w:tcW w:w="942" w:type="pct"/>
                  <w:vMerge w:val="restart"/>
                  <w:vAlign w:val="center"/>
                </w:tcPr>
                <w:p>
                  <w:pPr>
                    <w:pStyle w:val="93"/>
                    <w:jc w:val="center"/>
                    <w:rPr>
                      <w:color w:val="auto"/>
                    </w:rPr>
                  </w:pPr>
                  <w:r>
                    <w:rPr>
                      <w:color w:val="auto"/>
                    </w:rPr>
                    <w:t>NH</w:t>
                  </w:r>
                  <w:r>
                    <w:rPr>
                      <w:color w:val="auto"/>
                      <w:vertAlign w:val="subscript"/>
                    </w:rPr>
                    <w:t>3</w:t>
                  </w:r>
                  <w:r>
                    <w:rPr>
                      <w:color w:val="auto"/>
                    </w:rPr>
                    <w:t>、H</w:t>
                  </w:r>
                  <w:r>
                    <w:rPr>
                      <w:color w:val="auto"/>
                      <w:vertAlign w:val="subscript"/>
                    </w:rPr>
                    <w:t>2</w:t>
                  </w:r>
                  <w:r>
                    <w:rPr>
                      <w:color w:val="auto"/>
                    </w:rPr>
                    <w:t>S、臭气浓度</w:t>
                  </w:r>
                </w:p>
              </w:tc>
              <w:tc>
                <w:tcPr>
                  <w:tcW w:w="1717" w:type="pct"/>
                  <w:vMerge w:val="restart"/>
                  <w:vAlign w:val="center"/>
                </w:tcPr>
                <w:p>
                  <w:pPr>
                    <w:pStyle w:val="93"/>
                    <w:jc w:val="center"/>
                    <w:rPr>
                      <w:color w:val="auto"/>
                    </w:rPr>
                  </w:pPr>
                  <w:r>
                    <w:rPr>
                      <w:rFonts w:hint="eastAsia"/>
                      <w:color w:val="auto"/>
                    </w:rPr>
                    <w:t>收集经</w:t>
                  </w:r>
                  <w:r>
                    <w:rPr>
                      <w:rFonts w:hint="eastAsia"/>
                      <w:color w:val="auto"/>
                      <w:lang w:val="en-US" w:eastAsia="zh-CN"/>
                    </w:rPr>
                    <w:t>生物除臭+光氧设备+活性炭吸附装置</w:t>
                  </w:r>
                  <w:r>
                    <w:rPr>
                      <w:rFonts w:hint="eastAsia"/>
                      <w:color w:val="auto"/>
                    </w:rPr>
                    <w:t>处理，再</w:t>
                  </w:r>
                  <w:r>
                    <w:rPr>
                      <w:color w:val="auto"/>
                    </w:rPr>
                    <w:t>经</w:t>
                  </w:r>
                  <w:r>
                    <w:rPr>
                      <w:rFonts w:hint="eastAsia"/>
                      <w:color w:val="auto"/>
                    </w:rPr>
                    <w:t>15m排气筒</w:t>
                  </w:r>
                  <w:r>
                    <w:rPr>
                      <w:color w:val="auto"/>
                    </w:rPr>
                    <w:t>排放</w:t>
                  </w:r>
                </w:p>
              </w:tc>
              <w:tc>
                <w:tcPr>
                  <w:tcW w:w="783" w:type="pct"/>
                  <w:vMerge w:val="restart"/>
                  <w:vAlign w:val="center"/>
                </w:tcPr>
                <w:p>
                  <w:pPr>
                    <w:pStyle w:val="93"/>
                    <w:jc w:val="center"/>
                    <w:rPr>
                      <w:color w:val="auto"/>
                    </w:rPr>
                  </w:pPr>
                  <w:r>
                    <w:rPr>
                      <w:color w:val="auto"/>
                    </w:rPr>
                    <w:t>连续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Merge w:val="continue"/>
                  <w:vAlign w:val="center"/>
                </w:tcPr>
                <w:p>
                  <w:pPr>
                    <w:pStyle w:val="93"/>
                    <w:jc w:val="center"/>
                    <w:rPr>
                      <w:color w:val="auto"/>
                    </w:rPr>
                  </w:pPr>
                </w:p>
              </w:tc>
              <w:tc>
                <w:tcPr>
                  <w:tcW w:w="1164" w:type="pct"/>
                  <w:vAlign w:val="center"/>
                </w:tcPr>
                <w:p>
                  <w:pPr>
                    <w:pStyle w:val="93"/>
                    <w:jc w:val="center"/>
                    <w:rPr>
                      <w:rFonts w:hint="eastAsia" w:eastAsia="宋体"/>
                      <w:color w:val="auto"/>
                      <w:lang w:val="en-US" w:eastAsia="zh-CN"/>
                    </w:rPr>
                  </w:pPr>
                  <w:r>
                    <w:rPr>
                      <w:rFonts w:hint="eastAsia"/>
                      <w:color w:val="auto"/>
                      <w:lang w:val="en-US" w:eastAsia="zh-CN"/>
                    </w:rPr>
                    <w:t>水解池</w:t>
                  </w:r>
                </w:p>
              </w:tc>
              <w:tc>
                <w:tcPr>
                  <w:tcW w:w="942" w:type="pct"/>
                  <w:vMerge w:val="continue"/>
                  <w:vAlign w:val="center"/>
                </w:tcPr>
                <w:p>
                  <w:pPr>
                    <w:pStyle w:val="93"/>
                    <w:jc w:val="center"/>
                    <w:rPr>
                      <w:color w:val="auto"/>
                    </w:rPr>
                  </w:pPr>
                </w:p>
              </w:tc>
              <w:tc>
                <w:tcPr>
                  <w:tcW w:w="1717" w:type="pct"/>
                  <w:vMerge w:val="continue"/>
                  <w:vAlign w:val="center"/>
                </w:tcPr>
                <w:p>
                  <w:pPr>
                    <w:pStyle w:val="93"/>
                    <w:jc w:val="center"/>
                    <w:rPr>
                      <w:color w:val="auto"/>
                    </w:rPr>
                  </w:pPr>
                </w:p>
              </w:tc>
              <w:tc>
                <w:tcPr>
                  <w:tcW w:w="783" w:type="pct"/>
                  <w:vMerge w:val="continue"/>
                  <w:vAlign w:val="center"/>
                </w:tcPr>
                <w:p>
                  <w:pPr>
                    <w:pStyle w:val="93"/>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Merge w:val="continue"/>
                  <w:vAlign w:val="center"/>
                </w:tcPr>
                <w:p>
                  <w:pPr>
                    <w:pStyle w:val="93"/>
                    <w:jc w:val="center"/>
                    <w:rPr>
                      <w:color w:val="auto"/>
                    </w:rPr>
                  </w:pPr>
                </w:p>
              </w:tc>
              <w:tc>
                <w:tcPr>
                  <w:tcW w:w="1164" w:type="pct"/>
                  <w:vAlign w:val="center"/>
                </w:tcPr>
                <w:p>
                  <w:pPr>
                    <w:pStyle w:val="93"/>
                    <w:jc w:val="center"/>
                    <w:rPr>
                      <w:rFonts w:hint="eastAsia" w:eastAsia="宋体"/>
                      <w:color w:val="auto"/>
                      <w:lang w:val="en-US" w:eastAsia="zh-CN"/>
                    </w:rPr>
                  </w:pPr>
                  <w:r>
                    <w:rPr>
                      <w:rFonts w:hint="eastAsia"/>
                      <w:color w:val="auto"/>
                      <w:lang w:val="en-US" w:eastAsia="zh-CN"/>
                    </w:rPr>
                    <w:t>缺氧池</w:t>
                  </w:r>
                </w:p>
              </w:tc>
              <w:tc>
                <w:tcPr>
                  <w:tcW w:w="942" w:type="pct"/>
                  <w:vMerge w:val="continue"/>
                  <w:vAlign w:val="center"/>
                </w:tcPr>
                <w:p>
                  <w:pPr>
                    <w:pStyle w:val="93"/>
                    <w:jc w:val="center"/>
                    <w:rPr>
                      <w:color w:val="auto"/>
                    </w:rPr>
                  </w:pPr>
                </w:p>
              </w:tc>
              <w:tc>
                <w:tcPr>
                  <w:tcW w:w="1717" w:type="pct"/>
                  <w:vMerge w:val="continue"/>
                  <w:vAlign w:val="center"/>
                </w:tcPr>
                <w:p>
                  <w:pPr>
                    <w:pStyle w:val="93"/>
                    <w:jc w:val="center"/>
                    <w:rPr>
                      <w:color w:val="auto"/>
                    </w:rPr>
                  </w:pPr>
                </w:p>
              </w:tc>
              <w:tc>
                <w:tcPr>
                  <w:tcW w:w="783" w:type="pct"/>
                  <w:vMerge w:val="continue"/>
                  <w:vAlign w:val="center"/>
                </w:tcPr>
                <w:p>
                  <w:pPr>
                    <w:pStyle w:val="93"/>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Merge w:val="continue"/>
                  <w:vAlign w:val="center"/>
                </w:tcPr>
                <w:p>
                  <w:pPr>
                    <w:pStyle w:val="93"/>
                    <w:jc w:val="center"/>
                    <w:rPr>
                      <w:color w:val="auto"/>
                    </w:rPr>
                  </w:pPr>
                </w:p>
              </w:tc>
              <w:tc>
                <w:tcPr>
                  <w:tcW w:w="1164" w:type="pct"/>
                  <w:vAlign w:val="center"/>
                </w:tcPr>
                <w:p>
                  <w:pPr>
                    <w:pStyle w:val="93"/>
                    <w:jc w:val="center"/>
                    <w:rPr>
                      <w:rFonts w:hint="eastAsia" w:eastAsia="宋体"/>
                      <w:color w:val="auto"/>
                      <w:lang w:val="en-US" w:eastAsia="zh-CN"/>
                    </w:rPr>
                  </w:pPr>
                  <w:r>
                    <w:rPr>
                      <w:rFonts w:hint="eastAsia"/>
                      <w:color w:val="auto"/>
                      <w:lang w:val="en-US" w:eastAsia="zh-CN"/>
                    </w:rPr>
                    <w:t>好氧池</w:t>
                  </w:r>
                </w:p>
              </w:tc>
              <w:tc>
                <w:tcPr>
                  <w:tcW w:w="942" w:type="pct"/>
                  <w:vMerge w:val="continue"/>
                  <w:vAlign w:val="center"/>
                </w:tcPr>
                <w:p>
                  <w:pPr>
                    <w:pStyle w:val="93"/>
                    <w:jc w:val="center"/>
                    <w:rPr>
                      <w:color w:val="auto"/>
                    </w:rPr>
                  </w:pPr>
                </w:p>
              </w:tc>
              <w:tc>
                <w:tcPr>
                  <w:tcW w:w="1717" w:type="pct"/>
                  <w:vMerge w:val="continue"/>
                  <w:vAlign w:val="center"/>
                </w:tcPr>
                <w:p>
                  <w:pPr>
                    <w:pStyle w:val="93"/>
                    <w:jc w:val="center"/>
                    <w:rPr>
                      <w:color w:val="auto"/>
                    </w:rPr>
                  </w:pPr>
                </w:p>
              </w:tc>
              <w:tc>
                <w:tcPr>
                  <w:tcW w:w="783" w:type="pct"/>
                  <w:vMerge w:val="continue"/>
                  <w:vAlign w:val="center"/>
                </w:tcPr>
                <w:p>
                  <w:pPr>
                    <w:pStyle w:val="93"/>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 w:hRule="atLeast"/>
              </w:trPr>
              <w:tc>
                <w:tcPr>
                  <w:tcW w:w="392" w:type="pct"/>
                  <w:vMerge w:val="continue"/>
                  <w:vAlign w:val="center"/>
                </w:tcPr>
                <w:p>
                  <w:pPr>
                    <w:pStyle w:val="93"/>
                    <w:jc w:val="center"/>
                    <w:rPr>
                      <w:color w:val="auto"/>
                    </w:rPr>
                  </w:pPr>
                </w:p>
              </w:tc>
              <w:tc>
                <w:tcPr>
                  <w:tcW w:w="1164" w:type="pct"/>
                  <w:vAlign w:val="center"/>
                </w:tcPr>
                <w:p>
                  <w:pPr>
                    <w:pStyle w:val="93"/>
                    <w:jc w:val="center"/>
                    <w:rPr>
                      <w:rFonts w:hint="eastAsia" w:eastAsia="宋体"/>
                      <w:color w:val="auto"/>
                      <w:lang w:val="en-US" w:eastAsia="zh-CN"/>
                    </w:rPr>
                  </w:pPr>
                  <w:r>
                    <w:rPr>
                      <w:rFonts w:hint="eastAsia"/>
                      <w:color w:val="auto"/>
                      <w:lang w:val="en-US" w:eastAsia="zh-CN"/>
                    </w:rPr>
                    <w:t>沉淀池</w:t>
                  </w:r>
                </w:p>
              </w:tc>
              <w:tc>
                <w:tcPr>
                  <w:tcW w:w="942" w:type="pct"/>
                  <w:vMerge w:val="continue"/>
                  <w:vAlign w:val="center"/>
                </w:tcPr>
                <w:p>
                  <w:pPr>
                    <w:pStyle w:val="93"/>
                    <w:jc w:val="center"/>
                    <w:rPr>
                      <w:color w:val="auto"/>
                    </w:rPr>
                  </w:pPr>
                </w:p>
              </w:tc>
              <w:tc>
                <w:tcPr>
                  <w:tcW w:w="1717" w:type="pct"/>
                  <w:vMerge w:val="continue"/>
                  <w:vAlign w:val="center"/>
                </w:tcPr>
                <w:p>
                  <w:pPr>
                    <w:pStyle w:val="93"/>
                    <w:jc w:val="center"/>
                    <w:rPr>
                      <w:color w:val="auto"/>
                    </w:rPr>
                  </w:pPr>
                </w:p>
              </w:tc>
              <w:tc>
                <w:tcPr>
                  <w:tcW w:w="783" w:type="pct"/>
                  <w:vMerge w:val="continue"/>
                  <w:vAlign w:val="center"/>
                </w:tcPr>
                <w:p>
                  <w:pPr>
                    <w:pStyle w:val="93"/>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Merge w:val="continue"/>
                  <w:vAlign w:val="center"/>
                </w:tcPr>
                <w:p>
                  <w:pPr>
                    <w:pStyle w:val="93"/>
                    <w:jc w:val="center"/>
                    <w:rPr>
                      <w:color w:val="auto"/>
                    </w:rPr>
                  </w:pPr>
                </w:p>
              </w:tc>
              <w:tc>
                <w:tcPr>
                  <w:tcW w:w="1164" w:type="pct"/>
                  <w:vAlign w:val="center"/>
                </w:tcPr>
                <w:p>
                  <w:pPr>
                    <w:pStyle w:val="93"/>
                    <w:jc w:val="center"/>
                    <w:rPr>
                      <w:rFonts w:hint="eastAsia" w:eastAsia="宋体"/>
                      <w:color w:val="auto"/>
                      <w:lang w:val="en-US" w:eastAsia="zh-CN"/>
                    </w:rPr>
                  </w:pPr>
                  <w:r>
                    <w:rPr>
                      <w:rFonts w:hint="eastAsia"/>
                      <w:color w:val="auto"/>
                      <w:lang w:val="en-US" w:eastAsia="zh-CN"/>
                    </w:rPr>
                    <w:t>气浮池</w:t>
                  </w:r>
                </w:p>
              </w:tc>
              <w:tc>
                <w:tcPr>
                  <w:tcW w:w="942" w:type="pct"/>
                  <w:vMerge w:val="continue"/>
                  <w:vAlign w:val="center"/>
                </w:tcPr>
                <w:p>
                  <w:pPr>
                    <w:pStyle w:val="93"/>
                    <w:jc w:val="center"/>
                    <w:rPr>
                      <w:color w:val="auto"/>
                    </w:rPr>
                  </w:pPr>
                </w:p>
              </w:tc>
              <w:tc>
                <w:tcPr>
                  <w:tcW w:w="1717" w:type="pct"/>
                  <w:vMerge w:val="continue"/>
                  <w:vAlign w:val="center"/>
                </w:tcPr>
                <w:p>
                  <w:pPr>
                    <w:pStyle w:val="93"/>
                    <w:jc w:val="center"/>
                    <w:rPr>
                      <w:color w:val="auto"/>
                    </w:rPr>
                  </w:pPr>
                </w:p>
              </w:tc>
              <w:tc>
                <w:tcPr>
                  <w:tcW w:w="783" w:type="pct"/>
                  <w:vMerge w:val="continue"/>
                  <w:vAlign w:val="center"/>
                </w:tcPr>
                <w:p>
                  <w:pPr>
                    <w:pStyle w:val="93"/>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Merge w:val="continue"/>
                  <w:vAlign w:val="center"/>
                </w:tcPr>
                <w:p>
                  <w:pPr>
                    <w:pStyle w:val="93"/>
                    <w:jc w:val="center"/>
                    <w:rPr>
                      <w:color w:val="auto"/>
                    </w:rPr>
                  </w:pPr>
                </w:p>
              </w:tc>
              <w:tc>
                <w:tcPr>
                  <w:tcW w:w="1164" w:type="pct"/>
                  <w:vAlign w:val="center"/>
                </w:tcPr>
                <w:p>
                  <w:pPr>
                    <w:pStyle w:val="93"/>
                    <w:jc w:val="center"/>
                    <w:rPr>
                      <w:color w:val="auto"/>
                    </w:rPr>
                  </w:pPr>
                  <w:r>
                    <w:rPr>
                      <w:rFonts w:hint="eastAsia"/>
                      <w:color w:val="auto"/>
                    </w:rPr>
                    <w:t>储泥池</w:t>
                  </w:r>
                </w:p>
              </w:tc>
              <w:tc>
                <w:tcPr>
                  <w:tcW w:w="942" w:type="pct"/>
                  <w:vMerge w:val="continue"/>
                  <w:vAlign w:val="center"/>
                </w:tcPr>
                <w:p>
                  <w:pPr>
                    <w:pStyle w:val="93"/>
                    <w:jc w:val="center"/>
                    <w:rPr>
                      <w:color w:val="auto"/>
                    </w:rPr>
                  </w:pPr>
                </w:p>
              </w:tc>
              <w:tc>
                <w:tcPr>
                  <w:tcW w:w="1717" w:type="pct"/>
                  <w:vAlign w:val="center"/>
                </w:tcPr>
                <w:p>
                  <w:pPr>
                    <w:pStyle w:val="93"/>
                    <w:jc w:val="center"/>
                    <w:rPr>
                      <w:color w:val="auto"/>
                    </w:rPr>
                  </w:pPr>
                  <w:r>
                    <w:rPr>
                      <w:rFonts w:hint="eastAsia"/>
                      <w:color w:val="auto"/>
                    </w:rPr>
                    <w:t>加强厂区</w:t>
                  </w:r>
                  <w:r>
                    <w:rPr>
                      <w:color w:val="auto"/>
                    </w:rPr>
                    <w:t>绿化，无组织排放</w:t>
                  </w:r>
                </w:p>
              </w:tc>
              <w:tc>
                <w:tcPr>
                  <w:tcW w:w="783" w:type="pct"/>
                  <w:vMerge w:val="continue"/>
                  <w:vAlign w:val="center"/>
                </w:tcPr>
                <w:p>
                  <w:pPr>
                    <w:pStyle w:val="93"/>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Merge w:val="restart"/>
                  <w:vAlign w:val="center"/>
                </w:tcPr>
                <w:p>
                  <w:pPr>
                    <w:pStyle w:val="93"/>
                    <w:jc w:val="center"/>
                    <w:rPr>
                      <w:color w:val="auto"/>
                    </w:rPr>
                  </w:pPr>
                  <w:r>
                    <w:rPr>
                      <w:rFonts w:hint="eastAsia"/>
                      <w:color w:val="auto"/>
                    </w:rPr>
                    <w:t>废水</w:t>
                  </w:r>
                </w:p>
              </w:tc>
              <w:tc>
                <w:tcPr>
                  <w:tcW w:w="1164" w:type="pct"/>
                  <w:vAlign w:val="center"/>
                </w:tcPr>
                <w:p>
                  <w:pPr>
                    <w:pStyle w:val="93"/>
                    <w:jc w:val="center"/>
                    <w:rPr>
                      <w:color w:val="auto"/>
                      <w:szCs w:val="21"/>
                    </w:rPr>
                  </w:pPr>
                  <w:r>
                    <w:rPr>
                      <w:rFonts w:hint="eastAsia"/>
                      <w:color w:val="auto"/>
                      <w:szCs w:val="21"/>
                    </w:rPr>
                    <w:t>污泥浓缩排水</w:t>
                  </w:r>
                </w:p>
              </w:tc>
              <w:tc>
                <w:tcPr>
                  <w:tcW w:w="942" w:type="pct"/>
                  <w:vAlign w:val="center"/>
                </w:tcPr>
                <w:p>
                  <w:pPr>
                    <w:pStyle w:val="93"/>
                    <w:jc w:val="center"/>
                    <w:rPr>
                      <w:color w:val="auto"/>
                      <w:szCs w:val="21"/>
                    </w:rPr>
                  </w:pPr>
                  <w:r>
                    <w:rPr>
                      <w:rFonts w:hint="eastAsia"/>
                      <w:color w:val="auto"/>
                      <w:szCs w:val="21"/>
                    </w:rPr>
                    <w:t>pH、COD、SS、BOD</w:t>
                  </w:r>
                  <w:r>
                    <w:rPr>
                      <w:rFonts w:hint="eastAsia"/>
                      <w:color w:val="auto"/>
                      <w:szCs w:val="21"/>
                      <w:vertAlign w:val="subscript"/>
                    </w:rPr>
                    <w:t>5</w:t>
                  </w:r>
                  <w:r>
                    <w:rPr>
                      <w:rFonts w:hint="eastAsia"/>
                      <w:color w:val="auto"/>
                      <w:szCs w:val="21"/>
                    </w:rPr>
                    <w:t>、</w:t>
                  </w:r>
                  <w:r>
                    <w:rPr>
                      <w:color w:val="auto"/>
                      <w:szCs w:val="21"/>
                    </w:rPr>
                    <w:t>氨氮、总氮、总磷等</w:t>
                  </w:r>
                </w:p>
              </w:tc>
              <w:tc>
                <w:tcPr>
                  <w:tcW w:w="1717" w:type="pct"/>
                  <w:vAlign w:val="center"/>
                </w:tcPr>
                <w:p>
                  <w:pPr>
                    <w:pStyle w:val="93"/>
                    <w:jc w:val="center"/>
                    <w:rPr>
                      <w:color w:val="auto"/>
                      <w:szCs w:val="21"/>
                    </w:rPr>
                  </w:pPr>
                  <w:r>
                    <w:rPr>
                      <w:color w:val="auto"/>
                      <w:kern w:val="0"/>
                      <w:szCs w:val="21"/>
                    </w:rPr>
                    <w:t>全部返回污水处理</w:t>
                  </w:r>
                  <w:r>
                    <w:rPr>
                      <w:rFonts w:hint="eastAsia"/>
                      <w:color w:val="auto"/>
                      <w:kern w:val="0"/>
                      <w:szCs w:val="21"/>
                    </w:rPr>
                    <w:t>系统进行</w:t>
                  </w:r>
                  <w:r>
                    <w:rPr>
                      <w:color w:val="auto"/>
                      <w:kern w:val="0"/>
                      <w:szCs w:val="21"/>
                    </w:rPr>
                    <w:t>处理</w:t>
                  </w:r>
                </w:p>
              </w:tc>
              <w:tc>
                <w:tcPr>
                  <w:tcW w:w="783" w:type="pct"/>
                  <w:vAlign w:val="center"/>
                </w:tcPr>
                <w:p>
                  <w:pPr>
                    <w:pStyle w:val="93"/>
                    <w:jc w:val="center"/>
                    <w:rPr>
                      <w:color w:val="auto"/>
                    </w:rPr>
                  </w:pPr>
                  <w:r>
                    <w:rPr>
                      <w:rFonts w:hint="eastAsia"/>
                      <w:color w:val="auto"/>
                    </w:rPr>
                    <w:t>间断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Merge w:val="continue"/>
                  <w:vAlign w:val="center"/>
                </w:tcPr>
                <w:p>
                  <w:pPr>
                    <w:pStyle w:val="93"/>
                    <w:jc w:val="center"/>
                    <w:rPr>
                      <w:color w:val="auto"/>
                    </w:rPr>
                  </w:pPr>
                </w:p>
              </w:tc>
              <w:tc>
                <w:tcPr>
                  <w:tcW w:w="1164" w:type="pct"/>
                  <w:vAlign w:val="center"/>
                </w:tcPr>
                <w:p>
                  <w:pPr>
                    <w:pStyle w:val="93"/>
                    <w:jc w:val="center"/>
                    <w:rPr>
                      <w:color w:val="auto"/>
                    </w:rPr>
                  </w:pPr>
                  <w:r>
                    <w:rPr>
                      <w:rFonts w:hint="eastAsia"/>
                      <w:color w:val="auto"/>
                    </w:rPr>
                    <w:t>中水</w:t>
                  </w:r>
                </w:p>
              </w:tc>
              <w:tc>
                <w:tcPr>
                  <w:tcW w:w="942" w:type="pct"/>
                  <w:vAlign w:val="center"/>
                </w:tcPr>
                <w:p>
                  <w:pPr>
                    <w:pStyle w:val="93"/>
                    <w:jc w:val="center"/>
                    <w:rPr>
                      <w:rFonts w:hint="eastAsia" w:eastAsia="宋体"/>
                      <w:color w:val="auto"/>
                      <w:lang w:eastAsia="zh-CN"/>
                    </w:rPr>
                  </w:pPr>
                  <w:r>
                    <w:rPr>
                      <w:rFonts w:hint="eastAsia"/>
                      <w:color w:val="auto"/>
                    </w:rPr>
                    <w:t>pH、COD、SS、BOD</w:t>
                  </w:r>
                  <w:r>
                    <w:rPr>
                      <w:rFonts w:hint="eastAsia"/>
                      <w:color w:val="auto"/>
                      <w:vertAlign w:val="subscript"/>
                    </w:rPr>
                    <w:t>5</w:t>
                  </w:r>
                  <w:r>
                    <w:rPr>
                      <w:rFonts w:hint="eastAsia"/>
                      <w:color w:val="auto"/>
                    </w:rPr>
                    <w:t>、</w:t>
                  </w:r>
                  <w:r>
                    <w:rPr>
                      <w:color w:val="auto"/>
                    </w:rPr>
                    <w:t>氨氮</w:t>
                  </w:r>
                  <w:r>
                    <w:rPr>
                      <w:rFonts w:hint="eastAsia"/>
                      <w:color w:val="auto"/>
                      <w:lang w:eastAsia="zh-CN"/>
                    </w:rPr>
                    <w:t>、</w:t>
                  </w:r>
                  <w:r>
                    <w:rPr>
                      <w:color w:val="auto"/>
                      <w:szCs w:val="21"/>
                    </w:rPr>
                    <w:t>总氮、总磷</w:t>
                  </w:r>
                </w:p>
              </w:tc>
              <w:tc>
                <w:tcPr>
                  <w:tcW w:w="1717" w:type="pct"/>
                  <w:vAlign w:val="center"/>
                </w:tcPr>
                <w:p>
                  <w:pPr>
                    <w:pStyle w:val="11"/>
                    <w:spacing w:line="240" w:lineRule="auto"/>
                    <w:ind w:right="105" w:rightChars="50" w:firstLine="0"/>
                    <w:contextualSpacing/>
                    <w:jc w:val="center"/>
                    <w:rPr>
                      <w:rFonts w:hint="default" w:eastAsia="宋体"/>
                      <w:color w:val="auto"/>
                      <w:sz w:val="21"/>
                      <w:szCs w:val="21"/>
                      <w:lang w:val="en-US" w:eastAsia="zh-CN"/>
                    </w:rPr>
                  </w:pPr>
                  <w:r>
                    <w:rPr>
                      <w:rFonts w:hint="eastAsia"/>
                      <w:color w:val="auto"/>
                      <w:sz w:val="21"/>
                      <w:szCs w:val="21"/>
                      <w:lang w:val="en-US" w:eastAsia="zh-CN"/>
                    </w:rPr>
                    <w:t>部分用于绿化，</w:t>
                  </w:r>
                  <w:r>
                    <w:rPr>
                      <w:rFonts w:hint="default"/>
                      <w:color w:val="auto"/>
                      <w:sz w:val="21"/>
                      <w:szCs w:val="21"/>
                      <w:lang w:val="en-US" w:eastAsia="zh-CN"/>
                    </w:rPr>
                    <w:t>部分排入项目区北侧九支渠</w:t>
                  </w:r>
                </w:p>
              </w:tc>
              <w:tc>
                <w:tcPr>
                  <w:tcW w:w="783" w:type="pct"/>
                  <w:vAlign w:val="center"/>
                </w:tcPr>
                <w:p>
                  <w:pPr>
                    <w:pStyle w:val="93"/>
                    <w:jc w:val="center"/>
                    <w:rPr>
                      <w:color w:val="auto"/>
                    </w:rPr>
                  </w:pPr>
                  <w:r>
                    <w:rPr>
                      <w:rFonts w:hint="eastAsia"/>
                      <w:color w:val="auto"/>
                    </w:rPr>
                    <w:t>连续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Align w:val="center"/>
                </w:tcPr>
                <w:p>
                  <w:pPr>
                    <w:pStyle w:val="93"/>
                    <w:jc w:val="center"/>
                    <w:rPr>
                      <w:color w:val="auto"/>
                    </w:rPr>
                  </w:pPr>
                  <w:r>
                    <w:rPr>
                      <w:color w:val="auto"/>
                    </w:rPr>
                    <w:t>噪声</w:t>
                  </w:r>
                </w:p>
              </w:tc>
              <w:tc>
                <w:tcPr>
                  <w:tcW w:w="1164" w:type="pct"/>
                  <w:vAlign w:val="center"/>
                </w:tcPr>
                <w:p>
                  <w:pPr>
                    <w:pStyle w:val="93"/>
                    <w:jc w:val="center"/>
                    <w:rPr>
                      <w:color w:val="auto"/>
                    </w:rPr>
                  </w:pPr>
                  <w:r>
                    <w:rPr>
                      <w:color w:val="auto"/>
                    </w:rPr>
                    <w:t>风机、泵等</w:t>
                  </w:r>
                </w:p>
              </w:tc>
              <w:tc>
                <w:tcPr>
                  <w:tcW w:w="942" w:type="pct"/>
                  <w:vAlign w:val="center"/>
                </w:tcPr>
                <w:p>
                  <w:pPr>
                    <w:pStyle w:val="93"/>
                    <w:jc w:val="center"/>
                    <w:rPr>
                      <w:color w:val="auto"/>
                    </w:rPr>
                  </w:pPr>
                  <w:r>
                    <w:rPr>
                      <w:color w:val="auto"/>
                    </w:rPr>
                    <w:t>L</w:t>
                  </w:r>
                  <w:r>
                    <w:rPr>
                      <w:color w:val="auto"/>
                      <w:vertAlign w:val="subscript"/>
                    </w:rPr>
                    <w:t>eq</w:t>
                  </w:r>
                </w:p>
              </w:tc>
              <w:tc>
                <w:tcPr>
                  <w:tcW w:w="1717" w:type="pct"/>
                  <w:vAlign w:val="center"/>
                </w:tcPr>
                <w:p>
                  <w:pPr>
                    <w:pStyle w:val="93"/>
                    <w:jc w:val="center"/>
                    <w:rPr>
                      <w:color w:val="auto"/>
                    </w:rPr>
                  </w:pPr>
                  <w:r>
                    <w:rPr>
                      <w:color w:val="auto"/>
                    </w:rPr>
                    <w:t>基础减振</w:t>
                  </w:r>
                </w:p>
              </w:tc>
              <w:tc>
                <w:tcPr>
                  <w:tcW w:w="783" w:type="pct"/>
                  <w:vAlign w:val="center"/>
                </w:tcPr>
                <w:p>
                  <w:pPr>
                    <w:pStyle w:val="93"/>
                    <w:jc w:val="center"/>
                    <w:rPr>
                      <w:color w:val="auto"/>
                      <w:szCs w:val="21"/>
                    </w:rPr>
                  </w:pPr>
                  <w:r>
                    <w:rPr>
                      <w:color w:val="auto"/>
                    </w:rPr>
                    <w:t>连续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Merge w:val="restart"/>
                  <w:vAlign w:val="center"/>
                </w:tcPr>
                <w:p>
                  <w:pPr>
                    <w:pStyle w:val="93"/>
                    <w:jc w:val="center"/>
                    <w:rPr>
                      <w:color w:val="auto"/>
                      <w:szCs w:val="21"/>
                    </w:rPr>
                  </w:pPr>
                  <w:r>
                    <w:rPr>
                      <w:color w:val="auto"/>
                      <w:szCs w:val="21"/>
                    </w:rPr>
                    <w:t>固废</w:t>
                  </w:r>
                </w:p>
              </w:tc>
              <w:tc>
                <w:tcPr>
                  <w:tcW w:w="1164" w:type="pct"/>
                  <w:vMerge w:val="restart"/>
                  <w:vAlign w:val="center"/>
                </w:tcPr>
                <w:p>
                  <w:pPr>
                    <w:pStyle w:val="93"/>
                    <w:jc w:val="center"/>
                    <w:rPr>
                      <w:color w:val="auto"/>
                      <w:szCs w:val="21"/>
                    </w:rPr>
                  </w:pPr>
                  <w:r>
                    <w:rPr>
                      <w:rFonts w:hint="eastAsia"/>
                      <w:color w:val="auto"/>
                      <w:szCs w:val="21"/>
                    </w:rPr>
                    <w:t>格栅</w:t>
                  </w:r>
                </w:p>
              </w:tc>
              <w:tc>
                <w:tcPr>
                  <w:tcW w:w="942" w:type="pct"/>
                  <w:vMerge w:val="restart"/>
                  <w:vAlign w:val="center"/>
                </w:tcPr>
                <w:p>
                  <w:pPr>
                    <w:pStyle w:val="93"/>
                    <w:jc w:val="center"/>
                    <w:rPr>
                      <w:color w:val="auto"/>
                      <w:szCs w:val="21"/>
                    </w:rPr>
                  </w:pPr>
                  <w:r>
                    <w:rPr>
                      <w:rFonts w:hint="eastAsia"/>
                      <w:color w:val="auto"/>
                      <w:szCs w:val="21"/>
                    </w:rPr>
                    <w:t>栅渣</w:t>
                  </w:r>
                </w:p>
              </w:tc>
              <w:tc>
                <w:tcPr>
                  <w:tcW w:w="1717" w:type="pct"/>
                  <w:vMerge w:val="restart"/>
                  <w:vAlign w:val="center"/>
                </w:tcPr>
                <w:p>
                  <w:pPr>
                    <w:pStyle w:val="93"/>
                    <w:jc w:val="center"/>
                    <w:rPr>
                      <w:rFonts w:hint="default" w:eastAsia="宋体"/>
                      <w:color w:val="auto"/>
                      <w:szCs w:val="21"/>
                      <w:lang w:val="en-US" w:eastAsia="zh-CN"/>
                    </w:rPr>
                  </w:pPr>
                  <w:r>
                    <w:rPr>
                      <w:rFonts w:hint="eastAsia"/>
                      <w:color w:val="auto"/>
                      <w:szCs w:val="21"/>
                      <w:lang w:val="en-US" w:eastAsia="zh-CN"/>
                    </w:rPr>
                    <w:t>外售生物肥厂作堆肥原料</w:t>
                  </w:r>
                </w:p>
              </w:tc>
              <w:tc>
                <w:tcPr>
                  <w:tcW w:w="783" w:type="pct"/>
                  <w:vAlign w:val="center"/>
                </w:tcPr>
                <w:p>
                  <w:pPr>
                    <w:pStyle w:val="93"/>
                    <w:jc w:val="center"/>
                    <w:rPr>
                      <w:color w:val="auto"/>
                    </w:rPr>
                  </w:pPr>
                  <w:r>
                    <w:rPr>
                      <w:color w:val="auto"/>
                    </w:rPr>
                    <w:t>间断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2" w:type="pct"/>
                  <w:vMerge w:val="continue"/>
                  <w:vAlign w:val="center"/>
                </w:tcPr>
                <w:p>
                  <w:pPr>
                    <w:pStyle w:val="93"/>
                    <w:jc w:val="center"/>
                    <w:rPr>
                      <w:color w:val="auto"/>
                      <w:szCs w:val="21"/>
                    </w:rPr>
                  </w:pPr>
                </w:p>
              </w:tc>
              <w:tc>
                <w:tcPr>
                  <w:tcW w:w="1164" w:type="pct"/>
                  <w:vMerge w:val="continue"/>
                  <w:vAlign w:val="center"/>
                </w:tcPr>
                <w:p>
                  <w:pPr>
                    <w:pStyle w:val="93"/>
                    <w:jc w:val="center"/>
                    <w:rPr>
                      <w:color w:val="auto"/>
                      <w:szCs w:val="21"/>
                    </w:rPr>
                  </w:pPr>
                </w:p>
              </w:tc>
              <w:tc>
                <w:tcPr>
                  <w:tcW w:w="942" w:type="pct"/>
                  <w:vMerge w:val="continue"/>
                  <w:vAlign w:val="center"/>
                </w:tcPr>
                <w:p>
                  <w:pPr>
                    <w:pStyle w:val="93"/>
                    <w:jc w:val="center"/>
                    <w:rPr>
                      <w:color w:val="auto"/>
                      <w:szCs w:val="21"/>
                    </w:rPr>
                  </w:pPr>
                </w:p>
              </w:tc>
              <w:tc>
                <w:tcPr>
                  <w:tcW w:w="1717" w:type="pct"/>
                  <w:vMerge w:val="continue"/>
                  <w:vAlign w:val="center"/>
                </w:tcPr>
                <w:p>
                  <w:pPr>
                    <w:pStyle w:val="93"/>
                    <w:jc w:val="center"/>
                    <w:rPr>
                      <w:color w:val="auto"/>
                      <w:szCs w:val="21"/>
                    </w:rPr>
                  </w:pPr>
                </w:p>
              </w:tc>
              <w:tc>
                <w:tcPr>
                  <w:tcW w:w="783" w:type="pct"/>
                  <w:vAlign w:val="center"/>
                </w:tcPr>
                <w:p>
                  <w:pPr>
                    <w:pStyle w:val="93"/>
                    <w:jc w:val="center"/>
                    <w:rPr>
                      <w:color w:val="auto"/>
                    </w:rPr>
                  </w:pPr>
                  <w:r>
                    <w:rPr>
                      <w:rFonts w:hint="eastAsia"/>
                      <w:color w:val="auto"/>
                    </w:rPr>
                    <w:t>间断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Merge w:val="continue"/>
                  <w:vAlign w:val="center"/>
                </w:tcPr>
                <w:p>
                  <w:pPr>
                    <w:pStyle w:val="93"/>
                    <w:jc w:val="center"/>
                    <w:rPr>
                      <w:color w:val="auto"/>
                      <w:szCs w:val="21"/>
                    </w:rPr>
                  </w:pPr>
                </w:p>
              </w:tc>
              <w:tc>
                <w:tcPr>
                  <w:tcW w:w="1164" w:type="pct"/>
                  <w:vAlign w:val="center"/>
                </w:tcPr>
                <w:p>
                  <w:pPr>
                    <w:pStyle w:val="93"/>
                    <w:jc w:val="center"/>
                    <w:rPr>
                      <w:color w:val="auto"/>
                      <w:szCs w:val="21"/>
                    </w:rPr>
                  </w:pPr>
                  <w:r>
                    <w:rPr>
                      <w:rFonts w:hint="eastAsia"/>
                      <w:color w:val="auto"/>
                      <w:szCs w:val="21"/>
                    </w:rPr>
                    <w:t>沉砂池</w:t>
                  </w:r>
                </w:p>
              </w:tc>
              <w:tc>
                <w:tcPr>
                  <w:tcW w:w="942" w:type="pct"/>
                  <w:vAlign w:val="center"/>
                </w:tcPr>
                <w:p>
                  <w:pPr>
                    <w:pStyle w:val="93"/>
                    <w:jc w:val="center"/>
                    <w:rPr>
                      <w:color w:val="auto"/>
                      <w:szCs w:val="21"/>
                    </w:rPr>
                  </w:pPr>
                  <w:r>
                    <w:rPr>
                      <w:rFonts w:hint="eastAsia"/>
                      <w:color w:val="auto"/>
                      <w:szCs w:val="21"/>
                    </w:rPr>
                    <w:t>沉砂</w:t>
                  </w:r>
                </w:p>
              </w:tc>
              <w:tc>
                <w:tcPr>
                  <w:tcW w:w="1717" w:type="pct"/>
                  <w:vMerge w:val="continue"/>
                  <w:vAlign w:val="center"/>
                </w:tcPr>
                <w:p>
                  <w:pPr>
                    <w:pStyle w:val="93"/>
                    <w:jc w:val="center"/>
                    <w:rPr>
                      <w:color w:val="auto"/>
                      <w:szCs w:val="21"/>
                    </w:rPr>
                  </w:pPr>
                </w:p>
              </w:tc>
              <w:tc>
                <w:tcPr>
                  <w:tcW w:w="783" w:type="pct"/>
                  <w:vAlign w:val="center"/>
                </w:tcPr>
                <w:p>
                  <w:pPr>
                    <w:pStyle w:val="93"/>
                    <w:jc w:val="center"/>
                    <w:rPr>
                      <w:color w:val="auto"/>
                    </w:rPr>
                  </w:pPr>
                  <w:r>
                    <w:rPr>
                      <w:rFonts w:hint="eastAsia"/>
                      <w:color w:val="auto"/>
                    </w:rPr>
                    <w:t>间断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2" w:type="pct"/>
                  <w:vMerge w:val="continue"/>
                  <w:vAlign w:val="center"/>
                </w:tcPr>
                <w:p>
                  <w:pPr>
                    <w:pStyle w:val="93"/>
                    <w:jc w:val="center"/>
                    <w:rPr>
                      <w:color w:val="auto"/>
                      <w:szCs w:val="21"/>
                    </w:rPr>
                  </w:pPr>
                </w:p>
              </w:tc>
              <w:tc>
                <w:tcPr>
                  <w:tcW w:w="1164" w:type="pct"/>
                  <w:vAlign w:val="center"/>
                </w:tcPr>
                <w:p>
                  <w:pPr>
                    <w:pStyle w:val="93"/>
                    <w:jc w:val="center"/>
                    <w:rPr>
                      <w:rFonts w:hint="eastAsia" w:eastAsia="宋体"/>
                      <w:color w:val="auto"/>
                      <w:szCs w:val="21"/>
                      <w:lang w:val="en-US" w:eastAsia="zh-CN"/>
                    </w:rPr>
                  </w:pPr>
                  <w:r>
                    <w:rPr>
                      <w:rFonts w:hint="eastAsia"/>
                      <w:color w:val="auto"/>
                      <w:szCs w:val="21"/>
                      <w:lang w:val="en-US" w:eastAsia="zh-CN"/>
                    </w:rPr>
                    <w:t>气浮装置</w:t>
                  </w:r>
                </w:p>
              </w:tc>
              <w:tc>
                <w:tcPr>
                  <w:tcW w:w="942" w:type="pct"/>
                  <w:vAlign w:val="center"/>
                </w:tcPr>
                <w:p>
                  <w:pPr>
                    <w:pStyle w:val="93"/>
                    <w:jc w:val="center"/>
                    <w:rPr>
                      <w:rFonts w:hint="eastAsia" w:eastAsia="宋体"/>
                      <w:color w:val="auto"/>
                      <w:szCs w:val="21"/>
                      <w:lang w:val="en-US" w:eastAsia="zh-CN"/>
                    </w:rPr>
                  </w:pPr>
                  <w:r>
                    <w:rPr>
                      <w:rFonts w:hint="eastAsia"/>
                      <w:color w:val="auto"/>
                      <w:szCs w:val="21"/>
                      <w:lang w:val="en-US" w:eastAsia="zh-CN"/>
                    </w:rPr>
                    <w:t>浮渣</w:t>
                  </w:r>
                </w:p>
              </w:tc>
              <w:tc>
                <w:tcPr>
                  <w:tcW w:w="1717" w:type="pct"/>
                  <w:vMerge w:val="continue"/>
                  <w:vAlign w:val="center"/>
                </w:tcPr>
                <w:p>
                  <w:pPr>
                    <w:pStyle w:val="93"/>
                    <w:jc w:val="center"/>
                    <w:rPr>
                      <w:color w:val="auto"/>
                      <w:szCs w:val="21"/>
                    </w:rPr>
                  </w:pPr>
                </w:p>
              </w:tc>
              <w:tc>
                <w:tcPr>
                  <w:tcW w:w="783" w:type="pct"/>
                  <w:vAlign w:val="center"/>
                </w:tcPr>
                <w:p>
                  <w:pPr>
                    <w:pStyle w:val="93"/>
                    <w:jc w:val="center"/>
                    <w:rPr>
                      <w:color w:val="auto"/>
                    </w:rPr>
                  </w:pPr>
                  <w:r>
                    <w:rPr>
                      <w:rFonts w:hint="eastAsia"/>
                      <w:color w:val="auto"/>
                    </w:rPr>
                    <w:t>间断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92" w:type="pct"/>
                  <w:vMerge w:val="continue"/>
                  <w:vAlign w:val="center"/>
                </w:tcPr>
                <w:p>
                  <w:pPr>
                    <w:pStyle w:val="93"/>
                    <w:jc w:val="center"/>
                    <w:rPr>
                      <w:color w:val="auto"/>
                      <w:szCs w:val="21"/>
                    </w:rPr>
                  </w:pPr>
                </w:p>
              </w:tc>
              <w:tc>
                <w:tcPr>
                  <w:tcW w:w="1164" w:type="pct"/>
                  <w:vAlign w:val="center"/>
                </w:tcPr>
                <w:p>
                  <w:pPr>
                    <w:pStyle w:val="93"/>
                    <w:jc w:val="center"/>
                    <w:rPr>
                      <w:color w:val="auto"/>
                      <w:szCs w:val="21"/>
                    </w:rPr>
                  </w:pPr>
                  <w:r>
                    <w:rPr>
                      <w:color w:val="auto"/>
                      <w:szCs w:val="21"/>
                    </w:rPr>
                    <w:t>污泥</w:t>
                  </w:r>
                  <w:r>
                    <w:rPr>
                      <w:rFonts w:hint="eastAsia"/>
                      <w:color w:val="auto"/>
                      <w:szCs w:val="21"/>
                    </w:rPr>
                    <w:t>脱水</w:t>
                  </w:r>
                </w:p>
              </w:tc>
              <w:tc>
                <w:tcPr>
                  <w:tcW w:w="942" w:type="pct"/>
                  <w:vAlign w:val="center"/>
                </w:tcPr>
                <w:p>
                  <w:pPr>
                    <w:pStyle w:val="93"/>
                    <w:jc w:val="center"/>
                    <w:rPr>
                      <w:color w:val="auto"/>
                      <w:szCs w:val="21"/>
                    </w:rPr>
                  </w:pPr>
                  <w:r>
                    <w:rPr>
                      <w:color w:val="auto"/>
                      <w:szCs w:val="21"/>
                    </w:rPr>
                    <w:t>污泥</w:t>
                  </w:r>
                </w:p>
              </w:tc>
              <w:tc>
                <w:tcPr>
                  <w:tcW w:w="1717" w:type="pct"/>
                  <w:vMerge w:val="continue"/>
                  <w:vAlign w:val="center"/>
                </w:tcPr>
                <w:p>
                  <w:pPr>
                    <w:pStyle w:val="93"/>
                    <w:jc w:val="center"/>
                    <w:rPr>
                      <w:color w:val="auto"/>
                      <w:szCs w:val="21"/>
                    </w:rPr>
                  </w:pPr>
                </w:p>
              </w:tc>
              <w:tc>
                <w:tcPr>
                  <w:tcW w:w="783" w:type="pct"/>
                  <w:vAlign w:val="center"/>
                </w:tcPr>
                <w:p>
                  <w:pPr>
                    <w:pStyle w:val="93"/>
                    <w:jc w:val="center"/>
                    <w:rPr>
                      <w:color w:val="auto"/>
                    </w:rPr>
                  </w:pPr>
                  <w:r>
                    <w:rPr>
                      <w:rFonts w:hint="eastAsia"/>
                      <w:color w:val="auto"/>
                    </w:rPr>
                    <w:t>间断</w:t>
                  </w:r>
                </w:p>
              </w:tc>
            </w:tr>
          </w:tbl>
          <w:p>
            <w:pPr>
              <w:rPr>
                <w:rFonts w:hint="eastAsia"/>
                <w:kern w:val="0"/>
                <w:sz w:val="56"/>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9" w:hRule="atLeast"/>
        </w:trPr>
        <w:tc>
          <w:tcPr>
            <w:tcW w:w="8443" w:type="dxa"/>
            <w:shd w:val="clear" w:color="auto" w:fill="auto"/>
          </w:tcPr>
          <w:p>
            <w:pPr>
              <w:spacing w:line="360" w:lineRule="auto"/>
              <w:contextualSpacing/>
              <w:jc w:val="left"/>
              <w:rPr>
                <w:b/>
                <w:bCs/>
                <w:color w:val="000000"/>
                <w:kern w:val="0"/>
                <w:sz w:val="24"/>
                <w:szCs w:val="24"/>
              </w:rPr>
            </w:pPr>
            <w:r>
              <w:rPr>
                <w:b/>
                <w:bCs/>
                <w:color w:val="000000"/>
                <w:kern w:val="0"/>
                <w:sz w:val="24"/>
                <w:szCs w:val="24"/>
              </w:rPr>
              <w:t>主要污染工序：</w:t>
            </w:r>
          </w:p>
          <w:p>
            <w:pPr>
              <w:pStyle w:val="43"/>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1、施工期</w:t>
            </w:r>
            <w:r>
              <w:rPr>
                <w:rFonts w:ascii="Times New Roman" w:hAnsi="Times New Roman"/>
              </w:rPr>
              <w:t>主要污染工序</w:t>
            </w:r>
          </w:p>
          <w:p>
            <w:pPr>
              <w:pStyle w:val="43"/>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废气</w:t>
            </w:r>
            <w:r>
              <w:rPr>
                <w:rFonts w:ascii="Times New Roman" w:hAnsi="Times New Roman"/>
              </w:rPr>
              <w:t>：</w:t>
            </w:r>
            <w:r>
              <w:rPr>
                <w:rFonts w:hint="eastAsia" w:ascii="Times New Roman" w:hAnsi="Times New Roman"/>
              </w:rPr>
              <w:t>施工</w:t>
            </w:r>
            <w:r>
              <w:rPr>
                <w:rFonts w:ascii="Times New Roman" w:hAnsi="Times New Roman"/>
              </w:rPr>
              <w:t>扬尘；</w:t>
            </w:r>
          </w:p>
          <w:p>
            <w:pPr>
              <w:pStyle w:val="43"/>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废水</w:t>
            </w:r>
            <w:r>
              <w:rPr>
                <w:rFonts w:ascii="Times New Roman" w:hAnsi="Times New Roman"/>
              </w:rPr>
              <w:t>：</w:t>
            </w:r>
            <w:r>
              <w:rPr>
                <w:rFonts w:hint="eastAsia" w:ascii="Times New Roman" w:hAnsi="Times New Roman"/>
              </w:rPr>
              <w:t>施工</w:t>
            </w:r>
            <w:r>
              <w:rPr>
                <w:rFonts w:ascii="Times New Roman" w:hAnsi="Times New Roman"/>
              </w:rPr>
              <w:t>人员生活污水和施工废水；</w:t>
            </w:r>
          </w:p>
          <w:p>
            <w:pPr>
              <w:spacing w:line="360" w:lineRule="auto"/>
              <w:ind w:firstLine="480" w:firstLineChars="200"/>
              <w:jc w:val="left"/>
              <w:rPr>
                <w:kern w:val="0"/>
                <w:sz w:val="24"/>
                <w:szCs w:val="24"/>
              </w:rPr>
            </w:pPr>
            <w:r>
              <w:rPr>
                <w:rFonts w:hint="eastAsia"/>
                <w:kern w:val="0"/>
                <w:sz w:val="24"/>
                <w:szCs w:val="24"/>
              </w:rPr>
              <w:t>噪声</w:t>
            </w:r>
            <w:r>
              <w:rPr>
                <w:kern w:val="0"/>
                <w:sz w:val="24"/>
                <w:szCs w:val="24"/>
              </w:rPr>
              <w:t>：建筑材料、设备运输车辆产生的交通噪声；建构筑物基础挖掘、混凝土制备、浇注等工程机械产生的噪声、设备安装噪声；</w:t>
            </w:r>
          </w:p>
          <w:p>
            <w:pPr>
              <w:pStyle w:val="43"/>
              <w:spacing w:before="0" w:beforeAutospacing="0" w:after="0" w:afterAutospacing="0" w:line="360" w:lineRule="auto"/>
              <w:ind w:firstLine="480" w:firstLineChars="200"/>
              <w:jc w:val="both"/>
              <w:rPr>
                <w:rFonts w:ascii="Times New Roman" w:hAnsi="Times New Roman"/>
              </w:rPr>
            </w:pPr>
            <w:r>
              <w:rPr>
                <w:rFonts w:ascii="Times New Roman" w:hAnsi="Times New Roman"/>
              </w:rPr>
              <w:t>固体废物：建筑垃圾</w:t>
            </w:r>
            <w:r>
              <w:rPr>
                <w:rFonts w:hint="eastAsia" w:ascii="Times New Roman" w:hAnsi="Times New Roman"/>
              </w:rPr>
              <w:t>、</w:t>
            </w:r>
            <w:r>
              <w:rPr>
                <w:rFonts w:ascii="Times New Roman" w:hAnsi="Times New Roman"/>
              </w:rPr>
              <w:t>地基挖掘产生的弃土</w:t>
            </w:r>
            <w:r>
              <w:rPr>
                <w:rFonts w:hint="eastAsia" w:ascii="Times New Roman" w:hAnsi="Times New Roman"/>
              </w:rPr>
              <w:t>和</w:t>
            </w:r>
            <w:r>
              <w:rPr>
                <w:rFonts w:ascii="Times New Roman" w:hAnsi="Times New Roman"/>
              </w:rPr>
              <w:t>施工人员生活垃圾。</w:t>
            </w:r>
          </w:p>
          <w:p>
            <w:pPr>
              <w:pStyle w:val="43"/>
              <w:spacing w:before="0" w:beforeAutospacing="0" w:after="0" w:afterAutospacing="0" w:line="360" w:lineRule="auto"/>
              <w:ind w:firstLine="480" w:firstLineChars="200"/>
              <w:jc w:val="both"/>
              <w:rPr>
                <w:rFonts w:ascii="Times New Roman" w:hAnsi="Times New Roman"/>
                <w:bCs/>
                <w:color w:val="auto"/>
              </w:rPr>
            </w:pPr>
            <w:r>
              <w:rPr>
                <w:rFonts w:ascii="Times New Roman" w:hAnsi="Times New Roman"/>
                <w:bCs/>
                <w:color w:val="auto"/>
              </w:rPr>
              <w:t>2、营运期主要污染工序</w:t>
            </w:r>
          </w:p>
          <w:p>
            <w:pPr>
              <w:pStyle w:val="43"/>
              <w:spacing w:before="0" w:beforeAutospacing="0" w:after="0" w:afterAutospacing="0" w:line="360" w:lineRule="auto"/>
              <w:ind w:firstLine="480" w:firstLineChars="200"/>
              <w:jc w:val="both"/>
              <w:rPr>
                <w:rFonts w:ascii="Times New Roman" w:hAnsi="Times New Roman"/>
                <w:bCs/>
                <w:color w:val="auto"/>
              </w:rPr>
            </w:pPr>
            <w:r>
              <w:rPr>
                <w:rFonts w:ascii="Times New Roman" w:hAnsi="Times New Roman"/>
                <w:bCs/>
                <w:color w:val="auto"/>
              </w:rPr>
              <w:t>废气：</w:t>
            </w:r>
          </w:p>
          <w:p>
            <w:pPr>
              <w:pStyle w:val="43"/>
              <w:spacing w:before="0" w:beforeAutospacing="0" w:after="0" w:afterAutospacing="0" w:line="360" w:lineRule="auto"/>
              <w:ind w:firstLine="480" w:firstLineChars="200"/>
              <w:jc w:val="both"/>
              <w:rPr>
                <w:rFonts w:ascii="Times New Roman" w:hAnsi="Times New Roman"/>
                <w:bCs/>
                <w:color w:val="auto"/>
              </w:rPr>
            </w:pPr>
            <w:r>
              <w:rPr>
                <w:rFonts w:ascii="Times New Roman" w:hAnsi="Times New Roman"/>
                <w:bCs/>
                <w:color w:val="auto"/>
              </w:rPr>
              <w:t>废气：</w:t>
            </w:r>
            <w:r>
              <w:rPr>
                <w:rFonts w:hint="eastAsia"/>
                <w:color w:val="auto"/>
                <w:szCs w:val="21"/>
                <w:lang w:val="en-US" w:eastAsia="zh-CN"/>
              </w:rPr>
              <w:t>调节池、水解池、缺氧池、好氧池、沉淀池、气浮池产生的恶臭</w:t>
            </w:r>
            <w:r>
              <w:rPr>
                <w:rFonts w:hint="eastAsia" w:ascii="Times New Roman" w:hAnsi="Times New Roman"/>
                <w:color w:val="auto"/>
              </w:rPr>
              <w:t>；</w:t>
            </w:r>
          </w:p>
          <w:p>
            <w:pPr>
              <w:pStyle w:val="43"/>
              <w:spacing w:before="0" w:beforeAutospacing="0" w:after="0" w:afterAutospacing="0" w:line="360" w:lineRule="auto"/>
              <w:ind w:firstLine="480" w:firstLineChars="200"/>
              <w:jc w:val="both"/>
              <w:rPr>
                <w:rFonts w:ascii="Times New Roman" w:hAnsi="Times New Roman"/>
                <w:bCs/>
                <w:color w:val="auto"/>
              </w:rPr>
            </w:pPr>
            <w:r>
              <w:rPr>
                <w:rFonts w:ascii="Times New Roman" w:hAnsi="Times New Roman"/>
                <w:bCs/>
                <w:color w:val="auto"/>
              </w:rPr>
              <w:t>废水：</w:t>
            </w:r>
            <w:r>
              <w:rPr>
                <w:rFonts w:hint="eastAsia" w:ascii="Times New Roman" w:hAnsi="Times New Roman"/>
                <w:color w:val="auto"/>
                <w:lang w:val="en-US" w:eastAsia="zh-CN"/>
              </w:rPr>
              <w:t>生产及生活污水</w:t>
            </w:r>
            <w:r>
              <w:rPr>
                <w:rFonts w:hint="eastAsia" w:ascii="Times New Roman" w:hAnsi="Times New Roman"/>
                <w:bCs/>
                <w:color w:val="auto"/>
              </w:rPr>
              <w:t>；</w:t>
            </w:r>
          </w:p>
          <w:p>
            <w:pPr>
              <w:pStyle w:val="43"/>
              <w:spacing w:before="0" w:beforeAutospacing="0" w:after="0" w:afterAutospacing="0" w:line="360" w:lineRule="auto"/>
              <w:ind w:firstLine="480" w:firstLineChars="200"/>
              <w:jc w:val="both"/>
              <w:rPr>
                <w:rFonts w:ascii="Times New Roman" w:hAnsi="Times New Roman"/>
                <w:bCs/>
                <w:color w:val="auto"/>
              </w:rPr>
            </w:pPr>
            <w:r>
              <w:rPr>
                <w:rFonts w:ascii="Times New Roman" w:hAnsi="Times New Roman"/>
                <w:bCs/>
                <w:color w:val="auto"/>
              </w:rPr>
              <w:t>噪声：</w:t>
            </w:r>
            <w:r>
              <w:rPr>
                <w:rFonts w:hint="eastAsia" w:ascii="Times New Roman" w:hAnsi="Times New Roman"/>
                <w:bCs/>
                <w:color w:val="auto"/>
              </w:rPr>
              <w:t>泵类</w:t>
            </w:r>
            <w:r>
              <w:rPr>
                <w:rFonts w:ascii="Times New Roman" w:hAnsi="Times New Roman"/>
                <w:bCs/>
                <w:color w:val="auto"/>
              </w:rPr>
              <w:t>、风机等设备运行噪声</w:t>
            </w:r>
            <w:r>
              <w:rPr>
                <w:rFonts w:hint="eastAsia" w:ascii="Times New Roman" w:hAnsi="Times New Roman"/>
                <w:bCs/>
                <w:color w:val="auto"/>
              </w:rPr>
              <w:t>；</w:t>
            </w:r>
          </w:p>
          <w:p>
            <w:pPr>
              <w:pStyle w:val="43"/>
              <w:spacing w:before="0" w:beforeAutospacing="0" w:after="0" w:afterAutospacing="0" w:line="360" w:lineRule="auto"/>
              <w:ind w:firstLine="480" w:firstLineChars="200"/>
              <w:jc w:val="both"/>
              <w:rPr>
                <w:rFonts w:ascii="Times New Roman" w:hAnsi="Times New Roman"/>
                <w:bCs/>
                <w:color w:val="auto"/>
              </w:rPr>
            </w:pPr>
            <w:r>
              <w:rPr>
                <w:rFonts w:hint="eastAsia" w:ascii="Times New Roman" w:hAnsi="Times New Roman"/>
                <w:bCs/>
                <w:color w:val="auto"/>
              </w:rPr>
              <w:t>固废</w:t>
            </w:r>
            <w:r>
              <w:rPr>
                <w:rFonts w:ascii="Times New Roman" w:hAnsi="Times New Roman"/>
                <w:bCs/>
                <w:color w:val="auto"/>
              </w:rPr>
              <w:t>：</w:t>
            </w:r>
            <w:r>
              <w:rPr>
                <w:rFonts w:hint="eastAsia" w:ascii="Times New Roman" w:hAnsi="Times New Roman"/>
                <w:bCs/>
                <w:color w:val="auto"/>
              </w:rPr>
              <w:t>栅渣</w:t>
            </w:r>
            <w:r>
              <w:rPr>
                <w:rFonts w:ascii="Times New Roman" w:hAnsi="Times New Roman"/>
                <w:bCs/>
                <w:color w:val="auto"/>
              </w:rPr>
              <w:t>、</w:t>
            </w:r>
            <w:r>
              <w:rPr>
                <w:rFonts w:hint="eastAsia" w:ascii="Times New Roman" w:hAnsi="Times New Roman"/>
                <w:bCs/>
                <w:color w:val="auto"/>
                <w:lang w:val="en-US" w:eastAsia="zh-CN"/>
              </w:rPr>
              <w:t>浮渣</w:t>
            </w:r>
            <w:r>
              <w:rPr>
                <w:rFonts w:ascii="Times New Roman" w:hAnsi="Times New Roman"/>
                <w:bCs/>
                <w:color w:val="auto"/>
              </w:rPr>
              <w:t>、</w:t>
            </w:r>
            <w:r>
              <w:rPr>
                <w:rFonts w:hint="eastAsia" w:ascii="Times New Roman" w:hAnsi="Times New Roman"/>
                <w:bCs/>
                <w:color w:val="auto"/>
              </w:rPr>
              <w:t>污泥</w:t>
            </w:r>
            <w:r>
              <w:rPr>
                <w:rFonts w:ascii="Times New Roman" w:hAnsi="Times New Roman"/>
                <w:bCs/>
                <w:color w:val="auto"/>
              </w:rPr>
              <w:t xml:space="preserve">。 </w:t>
            </w:r>
          </w:p>
          <w:p>
            <w:pPr>
              <w:spacing w:line="360" w:lineRule="auto"/>
              <w:rPr>
                <w:bCs/>
                <w:color w:val="000000"/>
                <w:kern w:val="0"/>
                <w:sz w:val="24"/>
                <w:szCs w:val="24"/>
              </w:rPr>
            </w:pPr>
          </w:p>
          <w:p>
            <w:pPr>
              <w:spacing w:line="360" w:lineRule="auto"/>
              <w:rPr>
                <w:bCs/>
                <w:color w:val="000000"/>
                <w:kern w:val="0"/>
                <w:sz w:val="24"/>
                <w:szCs w:val="24"/>
              </w:rPr>
            </w:pPr>
          </w:p>
          <w:p>
            <w:pPr>
              <w:spacing w:line="360" w:lineRule="auto"/>
              <w:rPr>
                <w:bCs/>
                <w:color w:val="000000"/>
                <w:kern w:val="0"/>
                <w:sz w:val="24"/>
                <w:szCs w:val="24"/>
              </w:rPr>
            </w:pPr>
          </w:p>
          <w:p>
            <w:pPr>
              <w:spacing w:line="360" w:lineRule="auto"/>
              <w:rPr>
                <w:bCs/>
                <w:color w:val="000000"/>
                <w:kern w:val="0"/>
                <w:sz w:val="24"/>
                <w:szCs w:val="24"/>
              </w:rPr>
            </w:pPr>
          </w:p>
          <w:p>
            <w:pPr>
              <w:spacing w:line="360" w:lineRule="auto"/>
              <w:rPr>
                <w:bCs/>
                <w:color w:val="000000"/>
                <w:kern w:val="0"/>
                <w:sz w:val="24"/>
                <w:szCs w:val="24"/>
              </w:rPr>
            </w:pPr>
          </w:p>
          <w:p>
            <w:pPr>
              <w:spacing w:line="360" w:lineRule="auto"/>
              <w:rPr>
                <w:bCs/>
                <w:color w:val="000000"/>
                <w:kern w:val="0"/>
                <w:sz w:val="24"/>
                <w:szCs w:val="24"/>
              </w:rPr>
            </w:pPr>
          </w:p>
          <w:p>
            <w:pPr>
              <w:spacing w:line="360" w:lineRule="auto"/>
              <w:rPr>
                <w:bCs/>
                <w:color w:val="000000"/>
                <w:kern w:val="0"/>
                <w:sz w:val="24"/>
                <w:szCs w:val="24"/>
              </w:rPr>
            </w:pPr>
          </w:p>
          <w:p>
            <w:pPr>
              <w:spacing w:line="360" w:lineRule="auto"/>
              <w:rPr>
                <w:bCs/>
                <w:color w:val="000000"/>
                <w:kern w:val="0"/>
                <w:sz w:val="24"/>
                <w:szCs w:val="24"/>
              </w:rPr>
            </w:pPr>
          </w:p>
          <w:p>
            <w:pPr>
              <w:spacing w:line="360" w:lineRule="auto"/>
              <w:rPr>
                <w:bCs/>
                <w:color w:val="000000"/>
                <w:kern w:val="0"/>
                <w:sz w:val="24"/>
                <w:szCs w:val="24"/>
              </w:rPr>
            </w:pPr>
          </w:p>
          <w:p>
            <w:pPr>
              <w:spacing w:line="360" w:lineRule="auto"/>
              <w:rPr>
                <w:bCs/>
                <w:color w:val="000000"/>
                <w:kern w:val="0"/>
                <w:sz w:val="24"/>
                <w:szCs w:val="24"/>
              </w:rPr>
            </w:pPr>
          </w:p>
          <w:p>
            <w:pPr>
              <w:spacing w:line="360" w:lineRule="auto"/>
              <w:rPr>
                <w:bCs/>
                <w:color w:val="000000"/>
                <w:kern w:val="0"/>
                <w:sz w:val="24"/>
                <w:szCs w:val="24"/>
              </w:rPr>
            </w:pPr>
          </w:p>
          <w:p>
            <w:pPr>
              <w:spacing w:line="360" w:lineRule="auto"/>
              <w:rPr>
                <w:bCs/>
                <w:color w:val="000000"/>
                <w:kern w:val="0"/>
                <w:sz w:val="24"/>
                <w:szCs w:val="24"/>
              </w:rPr>
            </w:pPr>
          </w:p>
          <w:p>
            <w:pPr>
              <w:spacing w:line="360" w:lineRule="auto"/>
              <w:rPr>
                <w:bCs/>
                <w:color w:val="000000"/>
                <w:kern w:val="0"/>
                <w:sz w:val="24"/>
                <w:szCs w:val="24"/>
              </w:rPr>
            </w:pPr>
          </w:p>
        </w:tc>
      </w:tr>
    </w:tbl>
    <w:p>
      <w:pPr>
        <w:outlineLvl w:val="0"/>
        <w:rPr>
          <w:b/>
          <w:color w:val="000000"/>
          <w:sz w:val="30"/>
          <w:szCs w:val="30"/>
        </w:rPr>
      </w:pPr>
      <w:r>
        <w:rPr>
          <w:b/>
          <w:sz w:val="30"/>
          <w:szCs w:val="30"/>
        </w:rPr>
        <w:br w:type="page"/>
      </w:r>
      <w:r>
        <w:rPr>
          <w:rFonts w:hint="eastAsia"/>
          <w:b/>
          <w:color w:val="000000"/>
          <w:sz w:val="30"/>
          <w:szCs w:val="30"/>
        </w:rPr>
        <w:t>项目</w:t>
      </w:r>
      <w:r>
        <w:rPr>
          <w:b/>
          <w:color w:val="000000"/>
          <w:sz w:val="30"/>
          <w:szCs w:val="30"/>
        </w:rPr>
        <w:t>主要污染物产生及预计排放情况</w:t>
      </w:r>
    </w:p>
    <w:tbl>
      <w:tblPr>
        <w:tblStyle w:val="47"/>
        <w:tblW w:w="8673"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4" w:type="dxa"/>
          <w:bottom w:w="0" w:type="dxa"/>
          <w:right w:w="34" w:type="dxa"/>
        </w:tblCellMar>
      </w:tblPr>
      <w:tblGrid>
        <w:gridCol w:w="986"/>
        <w:gridCol w:w="1875"/>
        <w:gridCol w:w="1315"/>
        <w:gridCol w:w="2268"/>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368" w:hRule="atLeast"/>
        </w:trPr>
        <w:tc>
          <w:tcPr>
            <w:tcW w:w="986" w:type="dxa"/>
            <w:tcBorders>
              <w:tl2br w:val="nil"/>
              <w:tr2bl w:val="nil"/>
            </w:tcBorders>
            <w:vAlign w:val="center"/>
          </w:tcPr>
          <w:p>
            <w:pPr>
              <w:spacing w:line="400" w:lineRule="exact"/>
              <w:jc w:val="right"/>
              <w:rPr>
                <w:b/>
                <w:color w:val="000000"/>
                <w:szCs w:val="21"/>
              </w:rPr>
            </w:pPr>
            <w:r>
              <w:rPr>
                <w:b/>
                <w:color w:val="000000"/>
                <w:szCs w:val="21"/>
              </w:rPr>
              <w:pict>
                <v:shape id="AutoShape 4" o:spid="_x0000_s2120" o:spt="32" type="#_x0000_t32" style="position:absolute;left:0pt;margin-left:-0.7pt;margin-top:0.45pt;height:39.8pt;width:42.8pt;z-index:251658240;mso-width-relative:page;mso-height-relative:page;" o:connectortype="straight" filled="f" coordsize="21600,21600" adj="10800,-56524,-45067">
                  <v:path arrowok="t"/>
                  <v:fill on="f" focussize="0,0"/>
                  <v:stroke/>
                  <v:imagedata o:title=""/>
                  <o:lock v:ext="edit"/>
                </v:shape>
              </w:pict>
            </w:r>
            <w:r>
              <w:rPr>
                <w:b/>
                <w:color w:val="000000"/>
                <w:szCs w:val="21"/>
              </w:rPr>
              <w:t>内容</w:t>
            </w:r>
          </w:p>
          <w:p>
            <w:pPr>
              <w:spacing w:line="400" w:lineRule="exact"/>
              <w:jc w:val="left"/>
              <w:rPr>
                <w:b/>
                <w:color w:val="000000"/>
                <w:szCs w:val="21"/>
              </w:rPr>
            </w:pPr>
            <w:r>
              <w:rPr>
                <w:b/>
                <w:color w:val="000000"/>
                <w:szCs w:val="21"/>
              </w:rPr>
              <w:t>类型</w:t>
            </w:r>
          </w:p>
        </w:tc>
        <w:tc>
          <w:tcPr>
            <w:tcW w:w="1875" w:type="dxa"/>
            <w:tcBorders>
              <w:tl2br w:val="nil"/>
              <w:tr2bl w:val="nil"/>
            </w:tcBorders>
            <w:vAlign w:val="center"/>
          </w:tcPr>
          <w:p>
            <w:pPr>
              <w:spacing w:line="400" w:lineRule="exact"/>
              <w:jc w:val="center"/>
              <w:rPr>
                <w:b/>
                <w:color w:val="000000"/>
                <w:szCs w:val="21"/>
              </w:rPr>
            </w:pPr>
            <w:r>
              <w:rPr>
                <w:b/>
                <w:color w:val="000000"/>
                <w:szCs w:val="21"/>
              </w:rPr>
              <w:t>排放源</w:t>
            </w:r>
          </w:p>
          <w:p>
            <w:pPr>
              <w:spacing w:line="400" w:lineRule="exact"/>
              <w:jc w:val="center"/>
              <w:rPr>
                <w:b/>
                <w:color w:val="000000"/>
                <w:szCs w:val="21"/>
              </w:rPr>
            </w:pPr>
            <w:r>
              <w:rPr>
                <w:b/>
                <w:color w:val="000000"/>
                <w:szCs w:val="21"/>
              </w:rPr>
              <w:t>（编号）</w:t>
            </w:r>
          </w:p>
        </w:tc>
        <w:tc>
          <w:tcPr>
            <w:tcW w:w="1315" w:type="dxa"/>
            <w:tcBorders>
              <w:tl2br w:val="nil"/>
              <w:tr2bl w:val="nil"/>
            </w:tcBorders>
            <w:vAlign w:val="center"/>
          </w:tcPr>
          <w:p>
            <w:pPr>
              <w:spacing w:line="400" w:lineRule="exact"/>
              <w:jc w:val="center"/>
              <w:rPr>
                <w:b/>
                <w:color w:val="000000"/>
                <w:spacing w:val="-20"/>
                <w:szCs w:val="21"/>
              </w:rPr>
            </w:pPr>
            <w:r>
              <w:rPr>
                <w:b/>
                <w:color w:val="000000"/>
                <w:spacing w:val="-20"/>
                <w:szCs w:val="21"/>
              </w:rPr>
              <w:t>污染物</w:t>
            </w:r>
          </w:p>
          <w:p>
            <w:pPr>
              <w:spacing w:line="400" w:lineRule="exact"/>
              <w:jc w:val="center"/>
              <w:rPr>
                <w:b/>
                <w:color w:val="000000"/>
                <w:szCs w:val="21"/>
              </w:rPr>
            </w:pPr>
            <w:r>
              <w:rPr>
                <w:b/>
                <w:color w:val="000000"/>
                <w:spacing w:val="-20"/>
                <w:szCs w:val="21"/>
              </w:rPr>
              <w:t>名称</w:t>
            </w:r>
          </w:p>
        </w:tc>
        <w:tc>
          <w:tcPr>
            <w:tcW w:w="2268" w:type="dxa"/>
            <w:tcBorders>
              <w:tl2br w:val="nil"/>
              <w:tr2bl w:val="nil"/>
            </w:tcBorders>
            <w:vAlign w:val="center"/>
          </w:tcPr>
          <w:p>
            <w:pPr>
              <w:spacing w:line="400" w:lineRule="exact"/>
              <w:jc w:val="center"/>
              <w:rPr>
                <w:b/>
                <w:color w:val="000000"/>
                <w:szCs w:val="21"/>
              </w:rPr>
            </w:pPr>
            <w:r>
              <w:rPr>
                <w:b/>
                <w:color w:val="000000"/>
                <w:spacing w:val="-20"/>
                <w:szCs w:val="21"/>
              </w:rPr>
              <w:t>污染物产生浓度（速率）及产生量（单位）</w:t>
            </w:r>
          </w:p>
        </w:tc>
        <w:tc>
          <w:tcPr>
            <w:tcW w:w="2229" w:type="dxa"/>
            <w:tcBorders>
              <w:tl2br w:val="nil"/>
              <w:tr2bl w:val="nil"/>
            </w:tcBorders>
            <w:vAlign w:val="center"/>
          </w:tcPr>
          <w:p>
            <w:pPr>
              <w:spacing w:line="400" w:lineRule="exact"/>
              <w:jc w:val="center"/>
              <w:rPr>
                <w:b/>
                <w:color w:val="000000"/>
                <w:szCs w:val="21"/>
              </w:rPr>
            </w:pPr>
            <w:r>
              <w:rPr>
                <w:b/>
                <w:color w:val="000000"/>
                <w:szCs w:val="21"/>
              </w:rPr>
              <w:t>污染物排放浓度及排放量（单位）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114" w:hRule="atLeast"/>
        </w:trPr>
        <w:tc>
          <w:tcPr>
            <w:tcW w:w="986" w:type="dxa"/>
            <w:vMerge w:val="restart"/>
            <w:tcBorders>
              <w:tl2br w:val="nil"/>
              <w:tr2bl w:val="nil"/>
            </w:tcBorders>
            <w:vAlign w:val="center"/>
          </w:tcPr>
          <w:p>
            <w:pPr>
              <w:spacing w:line="400" w:lineRule="exact"/>
              <w:jc w:val="center"/>
              <w:rPr>
                <w:b/>
                <w:bCs/>
                <w:color w:val="000000"/>
                <w:szCs w:val="21"/>
              </w:rPr>
            </w:pPr>
            <w:r>
              <w:rPr>
                <w:rFonts w:hint="eastAsia"/>
                <w:b/>
                <w:bCs/>
                <w:color w:val="000000"/>
                <w:szCs w:val="21"/>
              </w:rPr>
              <w:t>大</w:t>
            </w:r>
          </w:p>
          <w:p>
            <w:pPr>
              <w:spacing w:line="400" w:lineRule="exact"/>
              <w:jc w:val="center"/>
              <w:rPr>
                <w:b/>
                <w:bCs/>
                <w:color w:val="000000"/>
                <w:szCs w:val="21"/>
              </w:rPr>
            </w:pPr>
            <w:r>
              <w:rPr>
                <w:rFonts w:hint="eastAsia"/>
                <w:b/>
                <w:bCs/>
                <w:color w:val="000000"/>
                <w:szCs w:val="21"/>
              </w:rPr>
              <w:t>气</w:t>
            </w:r>
          </w:p>
          <w:p>
            <w:pPr>
              <w:spacing w:line="400" w:lineRule="exact"/>
              <w:jc w:val="center"/>
              <w:rPr>
                <w:b/>
                <w:bCs/>
                <w:color w:val="000000"/>
                <w:szCs w:val="21"/>
              </w:rPr>
            </w:pPr>
            <w:r>
              <w:rPr>
                <w:b/>
                <w:bCs/>
                <w:color w:val="000000"/>
                <w:szCs w:val="21"/>
              </w:rPr>
              <w:t>污</w:t>
            </w:r>
          </w:p>
          <w:p>
            <w:pPr>
              <w:spacing w:line="400" w:lineRule="exact"/>
              <w:jc w:val="center"/>
              <w:rPr>
                <w:b/>
                <w:bCs/>
                <w:color w:val="000000"/>
                <w:szCs w:val="21"/>
              </w:rPr>
            </w:pPr>
            <w:r>
              <w:rPr>
                <w:b/>
                <w:bCs/>
                <w:color w:val="000000"/>
                <w:szCs w:val="21"/>
              </w:rPr>
              <w:t>染</w:t>
            </w:r>
          </w:p>
          <w:p>
            <w:pPr>
              <w:spacing w:line="400" w:lineRule="exact"/>
              <w:jc w:val="center"/>
              <w:rPr>
                <w:b/>
                <w:color w:val="000000"/>
                <w:szCs w:val="21"/>
              </w:rPr>
            </w:pPr>
            <w:r>
              <w:rPr>
                <w:b/>
                <w:bCs/>
                <w:color w:val="000000"/>
                <w:szCs w:val="21"/>
              </w:rPr>
              <w:t>物</w:t>
            </w:r>
          </w:p>
        </w:tc>
        <w:tc>
          <w:tcPr>
            <w:tcW w:w="1875" w:type="dxa"/>
            <w:vMerge w:val="restart"/>
            <w:tcBorders>
              <w:tl2br w:val="nil"/>
              <w:tr2bl w:val="nil"/>
            </w:tcBorders>
            <w:vAlign w:val="center"/>
          </w:tcPr>
          <w:p>
            <w:pPr>
              <w:spacing w:line="400" w:lineRule="exact"/>
              <w:jc w:val="center"/>
              <w:rPr>
                <w:b/>
                <w:color w:val="000000"/>
                <w:szCs w:val="21"/>
              </w:rPr>
            </w:pPr>
            <w:r>
              <w:rPr>
                <w:rFonts w:hint="eastAsia"/>
                <w:szCs w:val="21"/>
                <w:lang w:val="en-US" w:eastAsia="zh-CN"/>
              </w:rPr>
              <w:t>污水处理系统恶臭</w:t>
            </w:r>
            <w:r>
              <w:rPr>
                <w:szCs w:val="21"/>
              </w:rPr>
              <w:t>（P1）</w:t>
            </w:r>
          </w:p>
        </w:tc>
        <w:tc>
          <w:tcPr>
            <w:tcW w:w="1315" w:type="dxa"/>
            <w:tcBorders>
              <w:tl2br w:val="nil"/>
              <w:tr2bl w:val="nil"/>
            </w:tcBorders>
            <w:vAlign w:val="center"/>
          </w:tcPr>
          <w:p>
            <w:pPr>
              <w:spacing w:line="400" w:lineRule="exact"/>
              <w:jc w:val="center"/>
              <w:rPr>
                <w:b/>
                <w:color w:val="000000"/>
                <w:spacing w:val="-20"/>
                <w:szCs w:val="21"/>
              </w:rPr>
            </w:pPr>
            <w:r>
              <w:rPr>
                <w:szCs w:val="21"/>
              </w:rPr>
              <w:t>H</w:t>
            </w:r>
            <w:r>
              <w:rPr>
                <w:szCs w:val="21"/>
                <w:vertAlign w:val="subscript"/>
              </w:rPr>
              <w:t>2</w:t>
            </w:r>
            <w:r>
              <w:rPr>
                <w:szCs w:val="21"/>
              </w:rPr>
              <w:t>S</w:t>
            </w:r>
          </w:p>
        </w:tc>
        <w:tc>
          <w:tcPr>
            <w:tcW w:w="2268" w:type="dxa"/>
            <w:tcBorders>
              <w:tl2br w:val="nil"/>
              <w:tr2bl w:val="nil"/>
            </w:tcBorders>
            <w:vAlign w:val="center"/>
          </w:tcPr>
          <w:p>
            <w:pPr>
              <w:spacing w:line="400" w:lineRule="exact"/>
              <w:jc w:val="center"/>
              <w:rPr>
                <w:b/>
                <w:color w:val="000000"/>
                <w:spacing w:val="-20"/>
                <w:szCs w:val="21"/>
              </w:rPr>
            </w:pPr>
            <w:r>
              <w:rPr>
                <w:rFonts w:hint="eastAsia"/>
                <w:kern w:val="0"/>
                <w:szCs w:val="21"/>
                <w:lang w:val="en-US" w:eastAsia="zh-CN"/>
              </w:rPr>
              <w:t>80</w:t>
            </w:r>
            <w:r>
              <w:rPr>
                <w:kern w:val="0"/>
                <w:szCs w:val="21"/>
              </w:rPr>
              <w:t>mg/m</w:t>
            </w:r>
            <w:r>
              <w:rPr>
                <w:kern w:val="0"/>
                <w:szCs w:val="21"/>
                <w:vertAlign w:val="superscript"/>
              </w:rPr>
              <w:t xml:space="preserve">3 </w:t>
            </w:r>
            <w:r>
              <w:rPr>
                <w:rFonts w:hint="eastAsia"/>
                <w:kern w:val="0"/>
                <w:szCs w:val="21"/>
                <w:vertAlign w:val="baseline"/>
                <w:lang w:val="en-US" w:eastAsia="zh-CN"/>
              </w:rPr>
              <w:t>0.432</w:t>
            </w:r>
            <w:r>
              <w:rPr>
                <w:kern w:val="0"/>
                <w:szCs w:val="21"/>
              </w:rPr>
              <w:t>t/a</w:t>
            </w:r>
          </w:p>
        </w:tc>
        <w:tc>
          <w:tcPr>
            <w:tcW w:w="2229" w:type="dxa"/>
            <w:tcBorders>
              <w:tl2br w:val="nil"/>
              <w:tr2bl w:val="nil"/>
            </w:tcBorders>
            <w:vAlign w:val="center"/>
          </w:tcPr>
          <w:p>
            <w:pPr>
              <w:spacing w:line="400" w:lineRule="exact"/>
              <w:jc w:val="center"/>
              <w:rPr>
                <w:b/>
                <w:color w:val="000000"/>
                <w:szCs w:val="21"/>
              </w:rPr>
            </w:pPr>
            <w:r>
              <w:rPr>
                <w:rFonts w:hint="eastAsia"/>
                <w:kern w:val="0"/>
                <w:szCs w:val="21"/>
                <w:lang w:val="en-US" w:eastAsia="zh-CN"/>
              </w:rPr>
              <w:t>1.29</w:t>
            </w:r>
            <w:r>
              <w:rPr>
                <w:kern w:val="0"/>
                <w:szCs w:val="21"/>
              </w:rPr>
              <w:t>mg/m</w:t>
            </w:r>
            <w:r>
              <w:rPr>
                <w:kern w:val="0"/>
                <w:szCs w:val="21"/>
                <w:vertAlign w:val="superscript"/>
              </w:rPr>
              <w:t xml:space="preserve">3 </w:t>
            </w:r>
            <w:r>
              <w:rPr>
                <w:kern w:val="0"/>
                <w:szCs w:val="21"/>
              </w:rPr>
              <w:t>0.0</w:t>
            </w:r>
            <w:r>
              <w:rPr>
                <w:rFonts w:hint="eastAsia"/>
                <w:kern w:val="0"/>
                <w:szCs w:val="21"/>
                <w:lang w:val="en-US" w:eastAsia="zh-CN"/>
              </w:rPr>
              <w:t>7</w:t>
            </w:r>
            <w:r>
              <w:rPr>
                <w:kern w:val="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112" w:hRule="atLeast"/>
        </w:trPr>
        <w:tc>
          <w:tcPr>
            <w:tcW w:w="986" w:type="dxa"/>
            <w:vMerge w:val="continue"/>
            <w:tcBorders>
              <w:tl2br w:val="nil"/>
              <w:tr2bl w:val="nil"/>
            </w:tcBorders>
            <w:vAlign w:val="center"/>
          </w:tcPr>
          <w:p>
            <w:pPr>
              <w:spacing w:line="400" w:lineRule="exact"/>
              <w:jc w:val="center"/>
              <w:rPr>
                <w:b/>
                <w:color w:val="000000"/>
                <w:szCs w:val="21"/>
              </w:rPr>
            </w:pPr>
          </w:p>
        </w:tc>
        <w:tc>
          <w:tcPr>
            <w:tcW w:w="1875" w:type="dxa"/>
            <w:vMerge w:val="continue"/>
            <w:tcBorders>
              <w:tl2br w:val="nil"/>
              <w:tr2bl w:val="nil"/>
            </w:tcBorders>
            <w:vAlign w:val="center"/>
          </w:tcPr>
          <w:p>
            <w:pPr>
              <w:spacing w:line="400" w:lineRule="exact"/>
              <w:jc w:val="center"/>
              <w:rPr>
                <w:b/>
                <w:color w:val="000000"/>
                <w:szCs w:val="21"/>
              </w:rPr>
            </w:pPr>
          </w:p>
        </w:tc>
        <w:tc>
          <w:tcPr>
            <w:tcW w:w="1315" w:type="dxa"/>
            <w:tcBorders>
              <w:tl2br w:val="nil"/>
              <w:tr2bl w:val="nil"/>
            </w:tcBorders>
            <w:vAlign w:val="center"/>
          </w:tcPr>
          <w:p>
            <w:pPr>
              <w:spacing w:line="400" w:lineRule="exact"/>
              <w:jc w:val="center"/>
              <w:rPr>
                <w:b/>
                <w:color w:val="000000"/>
                <w:spacing w:val="-20"/>
                <w:szCs w:val="21"/>
              </w:rPr>
            </w:pPr>
            <w:r>
              <w:rPr>
                <w:szCs w:val="21"/>
              </w:rPr>
              <w:t>NH</w:t>
            </w:r>
            <w:r>
              <w:rPr>
                <w:szCs w:val="21"/>
                <w:vertAlign w:val="subscript"/>
              </w:rPr>
              <w:t>3</w:t>
            </w:r>
          </w:p>
        </w:tc>
        <w:tc>
          <w:tcPr>
            <w:tcW w:w="2268" w:type="dxa"/>
            <w:tcBorders>
              <w:tl2br w:val="nil"/>
              <w:tr2bl w:val="nil"/>
            </w:tcBorders>
            <w:vAlign w:val="center"/>
          </w:tcPr>
          <w:p>
            <w:pPr>
              <w:spacing w:line="400" w:lineRule="exact"/>
              <w:jc w:val="center"/>
              <w:rPr>
                <w:b/>
                <w:color w:val="000000"/>
                <w:spacing w:val="-20"/>
                <w:szCs w:val="21"/>
              </w:rPr>
            </w:pPr>
            <w:r>
              <w:rPr>
                <w:rFonts w:hint="eastAsia"/>
                <w:kern w:val="0"/>
                <w:szCs w:val="21"/>
                <w:lang w:val="en-US" w:eastAsia="zh-CN"/>
              </w:rPr>
              <w:t>104</w:t>
            </w:r>
            <w:r>
              <w:rPr>
                <w:kern w:val="0"/>
                <w:szCs w:val="21"/>
              </w:rPr>
              <w:t>mg/m</w:t>
            </w:r>
            <w:r>
              <w:rPr>
                <w:kern w:val="0"/>
                <w:szCs w:val="21"/>
                <w:vertAlign w:val="superscript"/>
              </w:rPr>
              <w:t xml:space="preserve">3 </w:t>
            </w:r>
            <w:r>
              <w:rPr>
                <w:rFonts w:hint="eastAsia"/>
                <w:kern w:val="0"/>
                <w:szCs w:val="21"/>
                <w:lang w:val="en-US" w:eastAsia="zh-CN"/>
              </w:rPr>
              <w:t>5.616</w:t>
            </w:r>
            <w:r>
              <w:rPr>
                <w:kern w:val="0"/>
                <w:szCs w:val="21"/>
              </w:rPr>
              <w:t>t/a</w:t>
            </w:r>
          </w:p>
        </w:tc>
        <w:tc>
          <w:tcPr>
            <w:tcW w:w="2229" w:type="dxa"/>
            <w:tcBorders>
              <w:tl2br w:val="nil"/>
              <w:tr2bl w:val="nil"/>
            </w:tcBorders>
            <w:vAlign w:val="center"/>
          </w:tcPr>
          <w:p>
            <w:pPr>
              <w:spacing w:line="400" w:lineRule="exact"/>
              <w:jc w:val="center"/>
              <w:rPr>
                <w:b/>
                <w:color w:val="000000"/>
                <w:szCs w:val="21"/>
              </w:rPr>
            </w:pPr>
            <w:r>
              <w:rPr>
                <w:rFonts w:hint="eastAsia"/>
                <w:kern w:val="0"/>
                <w:szCs w:val="21"/>
                <w:lang w:val="en-US" w:eastAsia="zh-CN"/>
              </w:rPr>
              <w:t>16.87</w:t>
            </w:r>
            <w:r>
              <w:rPr>
                <w:kern w:val="0"/>
                <w:szCs w:val="21"/>
              </w:rPr>
              <w:t>mg/m</w:t>
            </w:r>
            <w:r>
              <w:rPr>
                <w:kern w:val="0"/>
                <w:szCs w:val="21"/>
                <w:vertAlign w:val="superscript"/>
              </w:rPr>
              <w:t xml:space="preserve">3 </w:t>
            </w:r>
            <w:r>
              <w:rPr>
                <w:kern w:val="0"/>
                <w:szCs w:val="21"/>
              </w:rPr>
              <w:t>0.</w:t>
            </w:r>
            <w:r>
              <w:rPr>
                <w:rFonts w:hint="eastAsia"/>
                <w:kern w:val="0"/>
                <w:szCs w:val="21"/>
                <w:lang w:val="en-US" w:eastAsia="zh-CN"/>
              </w:rPr>
              <w:t>168</w:t>
            </w:r>
            <w:r>
              <w:rPr>
                <w:kern w:val="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90" w:hRule="atLeast"/>
        </w:trPr>
        <w:tc>
          <w:tcPr>
            <w:tcW w:w="986" w:type="dxa"/>
            <w:vMerge w:val="continue"/>
            <w:tcBorders>
              <w:tl2br w:val="nil"/>
              <w:tr2bl w:val="nil"/>
            </w:tcBorders>
            <w:vAlign w:val="center"/>
          </w:tcPr>
          <w:p>
            <w:pPr>
              <w:spacing w:line="400" w:lineRule="exact"/>
              <w:jc w:val="center"/>
              <w:rPr>
                <w:b/>
                <w:color w:val="000000"/>
                <w:szCs w:val="21"/>
              </w:rPr>
            </w:pPr>
          </w:p>
        </w:tc>
        <w:tc>
          <w:tcPr>
            <w:tcW w:w="1875" w:type="dxa"/>
            <w:vMerge w:val="continue"/>
            <w:tcBorders>
              <w:tl2br w:val="nil"/>
              <w:tr2bl w:val="nil"/>
            </w:tcBorders>
            <w:vAlign w:val="center"/>
          </w:tcPr>
          <w:p>
            <w:pPr>
              <w:spacing w:line="400" w:lineRule="exact"/>
              <w:jc w:val="center"/>
              <w:rPr>
                <w:b/>
                <w:color w:val="000000"/>
                <w:szCs w:val="21"/>
              </w:rPr>
            </w:pPr>
          </w:p>
        </w:tc>
        <w:tc>
          <w:tcPr>
            <w:tcW w:w="1315" w:type="dxa"/>
            <w:tcBorders>
              <w:tl2br w:val="nil"/>
              <w:tr2bl w:val="nil"/>
            </w:tcBorders>
            <w:vAlign w:val="center"/>
          </w:tcPr>
          <w:p>
            <w:pPr>
              <w:spacing w:line="400" w:lineRule="exact"/>
              <w:jc w:val="center"/>
              <w:rPr>
                <w:b/>
                <w:color w:val="000000"/>
                <w:spacing w:val="-20"/>
                <w:szCs w:val="21"/>
              </w:rPr>
            </w:pPr>
            <w:r>
              <w:rPr>
                <w:rFonts w:hint="eastAsia"/>
                <w:szCs w:val="21"/>
              </w:rPr>
              <w:t>臭气浓度</w:t>
            </w:r>
          </w:p>
        </w:tc>
        <w:tc>
          <w:tcPr>
            <w:tcW w:w="2268" w:type="dxa"/>
            <w:tcBorders>
              <w:tl2br w:val="nil"/>
              <w:tr2bl w:val="nil"/>
            </w:tcBorders>
            <w:vAlign w:val="center"/>
          </w:tcPr>
          <w:p>
            <w:pPr>
              <w:spacing w:line="400" w:lineRule="exact"/>
              <w:jc w:val="center"/>
              <w:rPr>
                <w:b/>
                <w:color w:val="000000"/>
                <w:spacing w:val="-20"/>
                <w:szCs w:val="21"/>
              </w:rPr>
            </w:pPr>
            <w:r>
              <w:rPr>
                <w:rFonts w:hint="eastAsia"/>
                <w:kern w:val="0"/>
                <w:szCs w:val="21"/>
              </w:rPr>
              <w:t>1</w:t>
            </w:r>
            <w:r>
              <w:rPr>
                <w:kern w:val="0"/>
                <w:szCs w:val="21"/>
              </w:rPr>
              <w:t>5</w:t>
            </w:r>
            <w:r>
              <w:rPr>
                <w:rFonts w:hint="eastAsia"/>
                <w:kern w:val="0"/>
                <w:szCs w:val="21"/>
              </w:rPr>
              <w:t>000（无量纲）</w:t>
            </w:r>
          </w:p>
        </w:tc>
        <w:tc>
          <w:tcPr>
            <w:tcW w:w="2229" w:type="dxa"/>
            <w:tcBorders>
              <w:tl2br w:val="nil"/>
              <w:tr2bl w:val="nil"/>
            </w:tcBorders>
            <w:vAlign w:val="center"/>
          </w:tcPr>
          <w:p>
            <w:pPr>
              <w:spacing w:line="400" w:lineRule="exact"/>
              <w:jc w:val="center"/>
              <w:rPr>
                <w:b/>
                <w:color w:val="000000"/>
                <w:szCs w:val="21"/>
              </w:rPr>
            </w:pPr>
            <w:r>
              <w:rPr>
                <w:rFonts w:hint="eastAsia"/>
                <w:kern w:val="0"/>
                <w:szCs w:val="21"/>
              </w:rPr>
              <w:t>1</w:t>
            </w:r>
            <w:r>
              <w:rPr>
                <w:kern w:val="0"/>
                <w:szCs w:val="21"/>
              </w:rPr>
              <w:t>5</w:t>
            </w:r>
            <w:r>
              <w:rPr>
                <w:rFonts w:hint="eastAsia"/>
                <w:kern w:val="0"/>
                <w:szCs w:val="21"/>
              </w:rPr>
              <w:t>00（无量纲）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47" w:hRule="atLeast"/>
        </w:trPr>
        <w:tc>
          <w:tcPr>
            <w:tcW w:w="986" w:type="dxa"/>
            <w:vMerge w:val="continue"/>
            <w:tcBorders>
              <w:tl2br w:val="nil"/>
              <w:tr2bl w:val="nil"/>
            </w:tcBorders>
            <w:vAlign w:val="center"/>
          </w:tcPr>
          <w:p>
            <w:pPr>
              <w:spacing w:line="400" w:lineRule="exact"/>
              <w:jc w:val="center"/>
              <w:rPr>
                <w:b/>
                <w:bCs/>
                <w:color w:val="000000"/>
                <w:szCs w:val="21"/>
              </w:rPr>
            </w:pPr>
          </w:p>
        </w:tc>
        <w:tc>
          <w:tcPr>
            <w:tcW w:w="1875" w:type="dxa"/>
            <w:vMerge w:val="restart"/>
            <w:tcBorders>
              <w:tl2br w:val="nil"/>
              <w:tr2bl w:val="nil"/>
            </w:tcBorders>
            <w:vAlign w:val="center"/>
          </w:tcPr>
          <w:p>
            <w:pPr>
              <w:pStyle w:val="93"/>
              <w:rPr>
                <w:szCs w:val="21"/>
              </w:rPr>
            </w:pPr>
            <w:r>
              <w:rPr>
                <w:rFonts w:hint="eastAsia"/>
                <w:bCs/>
                <w:kern w:val="0"/>
                <w:szCs w:val="21"/>
              </w:rPr>
              <w:t>无组织</w:t>
            </w:r>
            <w:r>
              <w:rPr>
                <w:bCs/>
                <w:kern w:val="0"/>
                <w:szCs w:val="21"/>
              </w:rPr>
              <w:t>废气</w:t>
            </w:r>
          </w:p>
        </w:tc>
        <w:tc>
          <w:tcPr>
            <w:tcW w:w="1315" w:type="dxa"/>
            <w:tcBorders>
              <w:tl2br w:val="nil"/>
              <w:tr2bl w:val="nil"/>
            </w:tcBorders>
            <w:vAlign w:val="center"/>
          </w:tcPr>
          <w:p>
            <w:pPr>
              <w:pStyle w:val="93"/>
              <w:rPr>
                <w:szCs w:val="21"/>
              </w:rPr>
            </w:pPr>
            <w:r>
              <w:rPr>
                <w:szCs w:val="21"/>
              </w:rPr>
              <w:t>H</w:t>
            </w:r>
            <w:r>
              <w:rPr>
                <w:szCs w:val="21"/>
                <w:vertAlign w:val="subscript"/>
              </w:rPr>
              <w:t>2</w:t>
            </w:r>
            <w:r>
              <w:rPr>
                <w:szCs w:val="21"/>
              </w:rPr>
              <w:t>S</w:t>
            </w:r>
          </w:p>
        </w:tc>
        <w:tc>
          <w:tcPr>
            <w:tcW w:w="2268" w:type="dxa"/>
            <w:tcBorders>
              <w:tl2br w:val="nil"/>
              <w:tr2bl w:val="nil"/>
            </w:tcBorders>
            <w:shd w:val="clear" w:color="auto" w:fill="auto"/>
            <w:vAlign w:val="center"/>
          </w:tcPr>
          <w:p>
            <w:pPr>
              <w:spacing w:line="276" w:lineRule="auto"/>
              <w:jc w:val="center"/>
              <w:rPr>
                <w:kern w:val="0"/>
                <w:szCs w:val="21"/>
              </w:rPr>
            </w:pPr>
            <w:r>
              <w:rPr>
                <w:kern w:val="0"/>
                <w:szCs w:val="21"/>
              </w:rPr>
              <w:t xml:space="preserve">0.0003 kg/h </w:t>
            </w:r>
            <w:r>
              <w:rPr>
                <w:rFonts w:hint="eastAsia"/>
                <w:kern w:val="0"/>
                <w:szCs w:val="21"/>
              </w:rPr>
              <w:t>、</w:t>
            </w:r>
            <w:r>
              <w:rPr>
                <w:kern w:val="0"/>
                <w:szCs w:val="21"/>
              </w:rPr>
              <w:t>0.003t/a</w:t>
            </w:r>
          </w:p>
        </w:tc>
        <w:tc>
          <w:tcPr>
            <w:tcW w:w="2229" w:type="dxa"/>
            <w:tcBorders>
              <w:tl2br w:val="nil"/>
              <w:tr2bl w:val="nil"/>
            </w:tcBorders>
            <w:shd w:val="clear" w:color="auto" w:fill="auto"/>
            <w:vAlign w:val="center"/>
          </w:tcPr>
          <w:p>
            <w:pPr>
              <w:spacing w:line="276" w:lineRule="auto"/>
              <w:jc w:val="center"/>
              <w:rPr>
                <w:kern w:val="0"/>
                <w:szCs w:val="21"/>
              </w:rPr>
            </w:pPr>
            <w:r>
              <w:rPr>
                <w:kern w:val="0"/>
                <w:szCs w:val="21"/>
              </w:rPr>
              <w:t xml:space="preserve">0.0003 kg/h </w:t>
            </w:r>
            <w:r>
              <w:rPr>
                <w:rFonts w:hint="eastAsia"/>
                <w:kern w:val="0"/>
                <w:szCs w:val="21"/>
              </w:rPr>
              <w:t>、</w:t>
            </w:r>
            <w:r>
              <w:rPr>
                <w:kern w:val="0"/>
                <w:szCs w:val="21"/>
              </w:rPr>
              <w:t>0.003t/a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454" w:hRule="atLeast"/>
        </w:trPr>
        <w:tc>
          <w:tcPr>
            <w:tcW w:w="986" w:type="dxa"/>
            <w:vMerge w:val="continue"/>
            <w:tcBorders>
              <w:tl2br w:val="nil"/>
              <w:tr2bl w:val="nil"/>
            </w:tcBorders>
            <w:vAlign w:val="center"/>
          </w:tcPr>
          <w:p>
            <w:pPr>
              <w:spacing w:line="400" w:lineRule="exact"/>
              <w:jc w:val="center"/>
              <w:rPr>
                <w:b/>
                <w:bCs/>
                <w:color w:val="000000"/>
                <w:szCs w:val="21"/>
              </w:rPr>
            </w:pPr>
          </w:p>
        </w:tc>
        <w:tc>
          <w:tcPr>
            <w:tcW w:w="1875" w:type="dxa"/>
            <w:vMerge w:val="continue"/>
            <w:tcBorders>
              <w:tl2br w:val="nil"/>
              <w:tr2bl w:val="nil"/>
            </w:tcBorders>
            <w:vAlign w:val="center"/>
          </w:tcPr>
          <w:p>
            <w:pPr>
              <w:pStyle w:val="93"/>
              <w:rPr>
                <w:szCs w:val="21"/>
              </w:rPr>
            </w:pPr>
          </w:p>
        </w:tc>
        <w:tc>
          <w:tcPr>
            <w:tcW w:w="1315" w:type="dxa"/>
            <w:tcBorders>
              <w:tl2br w:val="nil"/>
              <w:tr2bl w:val="nil"/>
            </w:tcBorders>
            <w:vAlign w:val="center"/>
          </w:tcPr>
          <w:p>
            <w:pPr>
              <w:pStyle w:val="93"/>
              <w:rPr>
                <w:szCs w:val="21"/>
              </w:rPr>
            </w:pPr>
            <w:r>
              <w:rPr>
                <w:szCs w:val="21"/>
              </w:rPr>
              <w:t>NH</w:t>
            </w:r>
            <w:r>
              <w:rPr>
                <w:szCs w:val="21"/>
                <w:vertAlign w:val="subscript"/>
              </w:rPr>
              <w:t>3</w:t>
            </w:r>
          </w:p>
        </w:tc>
        <w:tc>
          <w:tcPr>
            <w:tcW w:w="2268" w:type="dxa"/>
            <w:tcBorders>
              <w:tl2br w:val="nil"/>
              <w:tr2bl w:val="nil"/>
            </w:tcBorders>
            <w:shd w:val="clear" w:color="auto" w:fill="auto"/>
            <w:vAlign w:val="center"/>
          </w:tcPr>
          <w:p>
            <w:pPr>
              <w:spacing w:line="276" w:lineRule="auto"/>
              <w:jc w:val="center"/>
              <w:rPr>
                <w:kern w:val="0"/>
                <w:szCs w:val="21"/>
              </w:rPr>
            </w:pPr>
            <w:r>
              <w:rPr>
                <w:kern w:val="0"/>
                <w:szCs w:val="21"/>
              </w:rPr>
              <w:t>0.01 kg/h</w:t>
            </w:r>
            <w:r>
              <w:rPr>
                <w:rFonts w:hint="eastAsia"/>
                <w:kern w:val="0"/>
                <w:szCs w:val="21"/>
              </w:rPr>
              <w:t>、</w:t>
            </w:r>
            <w:r>
              <w:rPr>
                <w:kern w:val="0"/>
                <w:szCs w:val="21"/>
              </w:rPr>
              <w:t>0.088t/a</w:t>
            </w:r>
          </w:p>
        </w:tc>
        <w:tc>
          <w:tcPr>
            <w:tcW w:w="2229" w:type="dxa"/>
            <w:tcBorders>
              <w:tl2br w:val="nil"/>
              <w:tr2bl w:val="nil"/>
            </w:tcBorders>
            <w:shd w:val="clear" w:color="auto" w:fill="auto"/>
            <w:vAlign w:val="center"/>
          </w:tcPr>
          <w:p>
            <w:pPr>
              <w:spacing w:line="276" w:lineRule="auto"/>
              <w:jc w:val="center"/>
              <w:rPr>
                <w:kern w:val="0"/>
                <w:szCs w:val="21"/>
              </w:rPr>
            </w:pPr>
            <w:r>
              <w:rPr>
                <w:kern w:val="0"/>
                <w:szCs w:val="21"/>
              </w:rPr>
              <w:t>0.01kg/h</w:t>
            </w:r>
            <w:r>
              <w:rPr>
                <w:rFonts w:hint="eastAsia"/>
                <w:kern w:val="0"/>
                <w:szCs w:val="21"/>
              </w:rPr>
              <w:t>、</w:t>
            </w:r>
            <w:r>
              <w:rPr>
                <w:kern w:val="0"/>
                <w:szCs w:val="21"/>
              </w:rPr>
              <w:t>0.088t/a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496" w:hRule="atLeast"/>
        </w:trPr>
        <w:tc>
          <w:tcPr>
            <w:tcW w:w="986" w:type="dxa"/>
            <w:vMerge w:val="continue"/>
            <w:tcBorders>
              <w:tl2br w:val="nil"/>
              <w:tr2bl w:val="nil"/>
            </w:tcBorders>
            <w:vAlign w:val="center"/>
          </w:tcPr>
          <w:p>
            <w:pPr>
              <w:spacing w:line="400" w:lineRule="exact"/>
              <w:jc w:val="center"/>
              <w:rPr>
                <w:b/>
                <w:bCs/>
                <w:color w:val="000000"/>
                <w:szCs w:val="21"/>
              </w:rPr>
            </w:pPr>
          </w:p>
        </w:tc>
        <w:tc>
          <w:tcPr>
            <w:tcW w:w="1875" w:type="dxa"/>
            <w:vMerge w:val="continue"/>
            <w:tcBorders>
              <w:tl2br w:val="nil"/>
              <w:tr2bl w:val="nil"/>
            </w:tcBorders>
            <w:vAlign w:val="center"/>
          </w:tcPr>
          <w:p>
            <w:pPr>
              <w:pStyle w:val="93"/>
              <w:rPr>
                <w:szCs w:val="21"/>
              </w:rPr>
            </w:pPr>
          </w:p>
        </w:tc>
        <w:tc>
          <w:tcPr>
            <w:tcW w:w="1315" w:type="dxa"/>
            <w:tcBorders>
              <w:tl2br w:val="nil"/>
              <w:tr2bl w:val="nil"/>
            </w:tcBorders>
            <w:vAlign w:val="center"/>
          </w:tcPr>
          <w:p>
            <w:pPr>
              <w:pStyle w:val="93"/>
              <w:rPr>
                <w:szCs w:val="21"/>
              </w:rPr>
            </w:pPr>
            <w:r>
              <w:rPr>
                <w:rFonts w:hint="eastAsia"/>
                <w:szCs w:val="21"/>
              </w:rPr>
              <w:t>臭气浓度</w:t>
            </w:r>
          </w:p>
        </w:tc>
        <w:tc>
          <w:tcPr>
            <w:tcW w:w="2268" w:type="dxa"/>
            <w:tcBorders>
              <w:tl2br w:val="nil"/>
              <w:tr2bl w:val="nil"/>
            </w:tcBorders>
            <w:shd w:val="clear" w:color="auto" w:fill="auto"/>
            <w:vAlign w:val="center"/>
          </w:tcPr>
          <w:p>
            <w:pPr>
              <w:spacing w:line="276" w:lineRule="auto"/>
              <w:jc w:val="center"/>
              <w:rPr>
                <w:kern w:val="0"/>
                <w:szCs w:val="21"/>
              </w:rPr>
            </w:pPr>
            <w:r>
              <w:rPr>
                <w:rFonts w:hint="eastAsia"/>
                <w:kern w:val="0"/>
                <w:szCs w:val="21"/>
              </w:rPr>
              <w:t>——</w:t>
            </w:r>
          </w:p>
        </w:tc>
        <w:tc>
          <w:tcPr>
            <w:tcW w:w="2229" w:type="dxa"/>
            <w:tcBorders>
              <w:tl2br w:val="nil"/>
              <w:tr2bl w:val="nil"/>
            </w:tcBorders>
            <w:shd w:val="clear" w:color="auto" w:fill="auto"/>
            <w:vAlign w:val="center"/>
          </w:tcPr>
          <w:p>
            <w:pPr>
              <w:spacing w:line="276" w:lineRule="auto"/>
              <w:jc w:val="center"/>
              <w:rPr>
                <w:kern w:val="0"/>
                <w:szCs w:val="21"/>
              </w:rPr>
            </w:pPr>
            <w:r>
              <w:rPr>
                <w:kern w:val="0"/>
                <w:szCs w:val="21"/>
              </w:rPr>
              <w:t>≤20</w:t>
            </w:r>
            <w:r>
              <w:rPr>
                <w:rFonts w:hint="eastAsia"/>
                <w:kern w:val="0"/>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225" w:hRule="atLeast"/>
        </w:trPr>
        <w:tc>
          <w:tcPr>
            <w:tcW w:w="986" w:type="dxa"/>
            <w:vMerge w:val="restart"/>
            <w:tcBorders>
              <w:tl2br w:val="nil"/>
              <w:tr2bl w:val="nil"/>
            </w:tcBorders>
            <w:vAlign w:val="center"/>
          </w:tcPr>
          <w:p>
            <w:pPr>
              <w:spacing w:line="400" w:lineRule="exact"/>
              <w:jc w:val="center"/>
              <w:rPr>
                <w:b/>
                <w:color w:val="000000"/>
                <w:szCs w:val="21"/>
              </w:rPr>
            </w:pPr>
            <w:r>
              <w:rPr>
                <w:b/>
                <w:color w:val="000000"/>
                <w:szCs w:val="21"/>
              </w:rPr>
              <w:t>水</w:t>
            </w:r>
          </w:p>
          <w:p>
            <w:pPr>
              <w:spacing w:line="400" w:lineRule="exact"/>
              <w:jc w:val="center"/>
              <w:rPr>
                <w:b/>
                <w:color w:val="000000"/>
                <w:szCs w:val="21"/>
              </w:rPr>
            </w:pPr>
            <w:r>
              <w:rPr>
                <w:b/>
                <w:color w:val="000000"/>
                <w:szCs w:val="21"/>
              </w:rPr>
              <w:t>污</w:t>
            </w:r>
          </w:p>
          <w:p>
            <w:pPr>
              <w:spacing w:line="400" w:lineRule="exact"/>
              <w:jc w:val="center"/>
              <w:rPr>
                <w:b/>
                <w:color w:val="000000"/>
                <w:szCs w:val="21"/>
              </w:rPr>
            </w:pPr>
            <w:r>
              <w:rPr>
                <w:b/>
                <w:color w:val="000000"/>
                <w:szCs w:val="21"/>
              </w:rPr>
              <w:t>染</w:t>
            </w:r>
          </w:p>
          <w:p>
            <w:pPr>
              <w:spacing w:line="400" w:lineRule="exact"/>
              <w:jc w:val="center"/>
              <w:rPr>
                <w:b/>
                <w:bCs/>
                <w:color w:val="000000"/>
                <w:szCs w:val="21"/>
              </w:rPr>
            </w:pPr>
            <w:r>
              <w:rPr>
                <w:b/>
                <w:color w:val="000000"/>
                <w:szCs w:val="21"/>
              </w:rPr>
              <w:t>物</w:t>
            </w:r>
          </w:p>
        </w:tc>
        <w:tc>
          <w:tcPr>
            <w:tcW w:w="1875" w:type="dxa"/>
            <w:vMerge w:val="restart"/>
            <w:tcBorders>
              <w:tl2br w:val="nil"/>
              <w:tr2bl w:val="nil"/>
            </w:tcBorders>
            <w:vAlign w:val="center"/>
          </w:tcPr>
          <w:p>
            <w:pPr>
              <w:spacing w:line="400" w:lineRule="exact"/>
              <w:jc w:val="center"/>
              <w:rPr>
                <w:szCs w:val="21"/>
              </w:rPr>
            </w:pPr>
            <w:r>
              <w:rPr>
                <w:szCs w:val="21"/>
              </w:rPr>
              <w:t>全厂废水</w:t>
            </w:r>
          </w:p>
          <w:p>
            <w:pPr>
              <w:spacing w:line="400" w:lineRule="exact"/>
              <w:jc w:val="center"/>
              <w:rPr>
                <w:szCs w:val="21"/>
              </w:rPr>
            </w:pPr>
            <w:r>
              <w:rPr>
                <w:rFonts w:hint="eastAsia"/>
                <w:szCs w:val="21"/>
                <w:lang w:val="en-US" w:eastAsia="zh-CN"/>
              </w:rPr>
              <w:t>1444.2</w:t>
            </w:r>
            <w:r>
              <w:rPr>
                <w:rFonts w:hint="eastAsia"/>
                <w:szCs w:val="21"/>
              </w:rPr>
              <w:t>m</w:t>
            </w:r>
            <w:r>
              <w:rPr>
                <w:rFonts w:hint="eastAsia"/>
                <w:szCs w:val="21"/>
                <w:vertAlign w:val="superscript"/>
              </w:rPr>
              <w:t>3</w:t>
            </w:r>
            <w:r>
              <w:rPr>
                <w:rFonts w:hint="eastAsia"/>
                <w:szCs w:val="21"/>
              </w:rPr>
              <w:t>/d</w:t>
            </w:r>
          </w:p>
        </w:tc>
        <w:tc>
          <w:tcPr>
            <w:tcW w:w="1315" w:type="dxa"/>
            <w:tcBorders>
              <w:tl2br w:val="nil"/>
              <w:tr2bl w:val="nil"/>
            </w:tcBorders>
            <w:vAlign w:val="center"/>
          </w:tcPr>
          <w:p>
            <w:pPr>
              <w:pStyle w:val="83"/>
              <w:rPr>
                <w:sz w:val="21"/>
                <w:szCs w:val="21"/>
              </w:rPr>
            </w:pPr>
            <w:r>
              <w:rPr>
                <w:sz w:val="21"/>
                <w:szCs w:val="21"/>
              </w:rPr>
              <w:t>COD</w:t>
            </w:r>
          </w:p>
        </w:tc>
        <w:tc>
          <w:tcPr>
            <w:tcW w:w="2268" w:type="dxa"/>
            <w:tcBorders>
              <w:tl2br w:val="nil"/>
              <w:tr2bl w:val="nil"/>
            </w:tcBorders>
            <w:vAlign w:val="center"/>
          </w:tcPr>
          <w:p>
            <w:pPr>
              <w:adjustRightInd w:val="0"/>
              <w:snapToGrid w:val="0"/>
              <w:spacing w:line="400" w:lineRule="exact"/>
              <w:jc w:val="center"/>
              <w:rPr>
                <w:bCs/>
                <w:color w:val="auto"/>
                <w:szCs w:val="21"/>
                <w:highlight w:val="none"/>
              </w:rPr>
            </w:pPr>
            <w:r>
              <w:rPr>
                <w:rFonts w:hint="eastAsia"/>
                <w:bCs/>
                <w:color w:val="auto"/>
                <w:szCs w:val="21"/>
                <w:highlight w:val="none"/>
                <w:lang w:val="en-US" w:eastAsia="zh-CN"/>
              </w:rPr>
              <w:t>1500</w:t>
            </w:r>
            <w:r>
              <w:rPr>
                <w:bCs/>
                <w:color w:val="auto"/>
                <w:szCs w:val="21"/>
                <w:highlight w:val="none"/>
              </w:rPr>
              <w:t>mg/L</w:t>
            </w:r>
            <w:r>
              <w:rPr>
                <w:rFonts w:hint="eastAsia"/>
                <w:bCs/>
                <w:color w:val="auto"/>
                <w:szCs w:val="21"/>
                <w:highlight w:val="none"/>
              </w:rPr>
              <w:t>、</w:t>
            </w:r>
            <w:r>
              <w:rPr>
                <w:rFonts w:hint="eastAsia"/>
                <w:bCs/>
                <w:color w:val="auto"/>
                <w:szCs w:val="21"/>
                <w:highlight w:val="none"/>
                <w:lang w:val="en-US" w:eastAsia="zh-CN"/>
              </w:rPr>
              <w:t>649.89</w:t>
            </w:r>
            <w:r>
              <w:rPr>
                <w:bCs/>
                <w:color w:val="auto"/>
                <w:szCs w:val="21"/>
                <w:highlight w:val="none"/>
              </w:rPr>
              <w:t>t/a</w:t>
            </w:r>
          </w:p>
        </w:tc>
        <w:tc>
          <w:tcPr>
            <w:tcW w:w="2229" w:type="dxa"/>
            <w:tcBorders>
              <w:tl2br w:val="nil"/>
              <w:tr2bl w:val="nil"/>
            </w:tcBorders>
            <w:shd w:val="clear" w:color="auto" w:fill="auto"/>
            <w:vAlign w:val="center"/>
          </w:tcPr>
          <w:p>
            <w:pPr>
              <w:adjustRightInd w:val="0"/>
              <w:snapToGrid w:val="0"/>
              <w:spacing w:line="400" w:lineRule="exact"/>
              <w:jc w:val="center"/>
              <w:rPr>
                <w:bCs/>
                <w:color w:val="auto"/>
                <w:szCs w:val="21"/>
              </w:rPr>
            </w:pPr>
            <w:r>
              <w:rPr>
                <w:bCs/>
                <w:color w:val="auto"/>
                <w:szCs w:val="21"/>
              </w:rPr>
              <w:t>30mg/L</w:t>
            </w:r>
            <w:r>
              <w:rPr>
                <w:rFonts w:hint="eastAsia"/>
                <w:bCs/>
                <w:color w:val="auto"/>
                <w:szCs w:val="21"/>
              </w:rPr>
              <w:t>、</w:t>
            </w:r>
            <w:r>
              <w:rPr>
                <w:rFonts w:hint="eastAsia"/>
                <w:bCs/>
                <w:color w:val="auto"/>
                <w:szCs w:val="21"/>
                <w:lang w:val="en-US" w:eastAsia="zh-CN"/>
              </w:rPr>
              <w:t>12.998</w:t>
            </w:r>
            <w:r>
              <w:rPr>
                <w:bCs/>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223" w:hRule="atLeast"/>
        </w:trPr>
        <w:tc>
          <w:tcPr>
            <w:tcW w:w="986" w:type="dxa"/>
            <w:vMerge w:val="continue"/>
            <w:tcBorders>
              <w:tl2br w:val="nil"/>
              <w:tr2bl w:val="nil"/>
            </w:tcBorders>
            <w:vAlign w:val="center"/>
          </w:tcPr>
          <w:p>
            <w:pPr>
              <w:spacing w:line="400" w:lineRule="exact"/>
              <w:jc w:val="center"/>
              <w:rPr>
                <w:b/>
                <w:color w:val="000000"/>
                <w:szCs w:val="21"/>
              </w:rPr>
            </w:pPr>
          </w:p>
        </w:tc>
        <w:tc>
          <w:tcPr>
            <w:tcW w:w="1875" w:type="dxa"/>
            <w:vMerge w:val="continue"/>
            <w:tcBorders>
              <w:tl2br w:val="nil"/>
              <w:tr2bl w:val="nil"/>
            </w:tcBorders>
            <w:vAlign w:val="center"/>
          </w:tcPr>
          <w:p>
            <w:pPr>
              <w:spacing w:line="400" w:lineRule="exact"/>
              <w:jc w:val="center"/>
              <w:rPr>
                <w:szCs w:val="21"/>
              </w:rPr>
            </w:pPr>
          </w:p>
        </w:tc>
        <w:tc>
          <w:tcPr>
            <w:tcW w:w="1315" w:type="dxa"/>
            <w:tcBorders>
              <w:tl2br w:val="nil"/>
              <w:tr2bl w:val="nil"/>
            </w:tcBorders>
            <w:vAlign w:val="center"/>
          </w:tcPr>
          <w:p>
            <w:pPr>
              <w:pStyle w:val="83"/>
              <w:rPr>
                <w:sz w:val="21"/>
                <w:szCs w:val="21"/>
                <w:vertAlign w:val="subscript"/>
              </w:rPr>
            </w:pPr>
            <w:r>
              <w:rPr>
                <w:sz w:val="21"/>
                <w:szCs w:val="21"/>
              </w:rPr>
              <w:t>BOD</w:t>
            </w:r>
            <w:r>
              <w:rPr>
                <w:sz w:val="21"/>
                <w:szCs w:val="21"/>
                <w:vertAlign w:val="subscript"/>
              </w:rPr>
              <w:t>5</w:t>
            </w:r>
          </w:p>
        </w:tc>
        <w:tc>
          <w:tcPr>
            <w:tcW w:w="2268" w:type="dxa"/>
            <w:tcBorders>
              <w:tl2br w:val="nil"/>
              <w:tr2bl w:val="nil"/>
            </w:tcBorders>
            <w:vAlign w:val="center"/>
          </w:tcPr>
          <w:p>
            <w:pPr>
              <w:adjustRightInd w:val="0"/>
              <w:snapToGrid w:val="0"/>
              <w:spacing w:line="400" w:lineRule="exact"/>
              <w:jc w:val="center"/>
              <w:rPr>
                <w:bCs/>
                <w:color w:val="auto"/>
                <w:szCs w:val="21"/>
                <w:highlight w:val="none"/>
              </w:rPr>
            </w:pPr>
            <w:r>
              <w:rPr>
                <w:rFonts w:hint="eastAsia"/>
                <w:bCs/>
                <w:color w:val="auto"/>
                <w:szCs w:val="21"/>
                <w:highlight w:val="none"/>
                <w:lang w:val="en-US" w:eastAsia="zh-CN"/>
              </w:rPr>
              <w:t>800</w:t>
            </w:r>
            <w:r>
              <w:rPr>
                <w:bCs/>
                <w:color w:val="auto"/>
                <w:szCs w:val="21"/>
                <w:highlight w:val="none"/>
              </w:rPr>
              <w:t xml:space="preserve">mg/L </w:t>
            </w:r>
            <w:r>
              <w:rPr>
                <w:rFonts w:hint="eastAsia"/>
                <w:bCs/>
                <w:color w:val="auto"/>
                <w:szCs w:val="21"/>
                <w:highlight w:val="none"/>
              </w:rPr>
              <w:t>、</w:t>
            </w:r>
            <w:r>
              <w:rPr>
                <w:rFonts w:hint="eastAsia"/>
                <w:bCs/>
                <w:color w:val="auto"/>
                <w:szCs w:val="21"/>
                <w:highlight w:val="none"/>
                <w:lang w:val="en-US" w:eastAsia="zh-CN"/>
              </w:rPr>
              <w:t>346.608</w:t>
            </w:r>
            <w:r>
              <w:rPr>
                <w:bCs/>
                <w:color w:val="auto"/>
                <w:szCs w:val="21"/>
                <w:highlight w:val="none"/>
              </w:rPr>
              <w:t>t/a</w:t>
            </w:r>
          </w:p>
        </w:tc>
        <w:tc>
          <w:tcPr>
            <w:tcW w:w="2229" w:type="dxa"/>
            <w:tcBorders>
              <w:tl2br w:val="nil"/>
              <w:tr2bl w:val="nil"/>
            </w:tcBorders>
            <w:shd w:val="clear" w:color="auto" w:fill="auto"/>
            <w:vAlign w:val="center"/>
          </w:tcPr>
          <w:p>
            <w:pPr>
              <w:adjustRightInd w:val="0"/>
              <w:snapToGrid w:val="0"/>
              <w:spacing w:line="400" w:lineRule="exact"/>
              <w:jc w:val="center"/>
              <w:rPr>
                <w:bCs/>
                <w:color w:val="auto"/>
                <w:szCs w:val="21"/>
              </w:rPr>
            </w:pPr>
            <w:r>
              <w:rPr>
                <w:bCs/>
                <w:color w:val="auto"/>
                <w:szCs w:val="21"/>
              </w:rPr>
              <w:t xml:space="preserve">6mg/L </w:t>
            </w:r>
            <w:r>
              <w:rPr>
                <w:rFonts w:hint="eastAsia"/>
                <w:bCs/>
                <w:color w:val="auto"/>
                <w:szCs w:val="21"/>
              </w:rPr>
              <w:t>、</w:t>
            </w:r>
            <w:r>
              <w:rPr>
                <w:rFonts w:hint="eastAsia"/>
                <w:bCs/>
                <w:color w:val="auto"/>
                <w:szCs w:val="21"/>
                <w:lang w:val="en-US" w:eastAsia="zh-CN"/>
              </w:rPr>
              <w:t>2.599</w:t>
            </w:r>
            <w:r>
              <w:rPr>
                <w:bCs/>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223" w:hRule="atLeast"/>
        </w:trPr>
        <w:tc>
          <w:tcPr>
            <w:tcW w:w="986" w:type="dxa"/>
            <w:vMerge w:val="continue"/>
            <w:tcBorders>
              <w:tl2br w:val="nil"/>
              <w:tr2bl w:val="nil"/>
            </w:tcBorders>
            <w:vAlign w:val="center"/>
          </w:tcPr>
          <w:p>
            <w:pPr>
              <w:spacing w:line="400" w:lineRule="exact"/>
              <w:jc w:val="center"/>
              <w:rPr>
                <w:b/>
                <w:color w:val="000000"/>
                <w:szCs w:val="21"/>
              </w:rPr>
            </w:pPr>
          </w:p>
        </w:tc>
        <w:tc>
          <w:tcPr>
            <w:tcW w:w="1875" w:type="dxa"/>
            <w:vMerge w:val="continue"/>
            <w:tcBorders>
              <w:tl2br w:val="nil"/>
              <w:tr2bl w:val="nil"/>
            </w:tcBorders>
            <w:vAlign w:val="center"/>
          </w:tcPr>
          <w:p>
            <w:pPr>
              <w:spacing w:line="400" w:lineRule="exact"/>
              <w:jc w:val="center"/>
              <w:rPr>
                <w:szCs w:val="21"/>
              </w:rPr>
            </w:pPr>
          </w:p>
        </w:tc>
        <w:tc>
          <w:tcPr>
            <w:tcW w:w="1315" w:type="dxa"/>
            <w:tcBorders>
              <w:tl2br w:val="nil"/>
              <w:tr2bl w:val="nil"/>
            </w:tcBorders>
            <w:vAlign w:val="center"/>
          </w:tcPr>
          <w:p>
            <w:pPr>
              <w:pStyle w:val="83"/>
              <w:rPr>
                <w:sz w:val="21"/>
                <w:szCs w:val="21"/>
              </w:rPr>
            </w:pPr>
            <w:r>
              <w:rPr>
                <w:sz w:val="21"/>
                <w:szCs w:val="21"/>
              </w:rPr>
              <w:t>NH</w:t>
            </w:r>
            <w:r>
              <w:rPr>
                <w:sz w:val="21"/>
                <w:szCs w:val="21"/>
                <w:vertAlign w:val="subscript"/>
              </w:rPr>
              <w:t>3</w:t>
            </w:r>
            <w:r>
              <w:rPr>
                <w:sz w:val="21"/>
                <w:szCs w:val="21"/>
              </w:rPr>
              <w:t>-N</w:t>
            </w:r>
          </w:p>
        </w:tc>
        <w:tc>
          <w:tcPr>
            <w:tcW w:w="2268" w:type="dxa"/>
            <w:tcBorders>
              <w:tl2br w:val="nil"/>
              <w:tr2bl w:val="nil"/>
            </w:tcBorders>
            <w:vAlign w:val="center"/>
          </w:tcPr>
          <w:p>
            <w:pPr>
              <w:adjustRightInd w:val="0"/>
              <w:snapToGrid w:val="0"/>
              <w:spacing w:line="400" w:lineRule="exact"/>
              <w:jc w:val="center"/>
              <w:rPr>
                <w:bCs/>
                <w:color w:val="auto"/>
                <w:szCs w:val="21"/>
                <w:highlight w:val="none"/>
              </w:rPr>
            </w:pPr>
            <w:r>
              <w:rPr>
                <w:rFonts w:hint="eastAsia"/>
                <w:bCs/>
                <w:color w:val="auto"/>
                <w:szCs w:val="21"/>
                <w:highlight w:val="none"/>
                <w:lang w:val="en-US" w:eastAsia="zh-CN"/>
              </w:rPr>
              <w:t>40</w:t>
            </w:r>
            <w:r>
              <w:rPr>
                <w:bCs/>
                <w:color w:val="auto"/>
                <w:szCs w:val="21"/>
                <w:highlight w:val="none"/>
              </w:rPr>
              <w:t>mg/L</w:t>
            </w:r>
            <w:r>
              <w:rPr>
                <w:rFonts w:hint="eastAsia"/>
                <w:bCs/>
                <w:color w:val="auto"/>
                <w:szCs w:val="21"/>
                <w:highlight w:val="none"/>
              </w:rPr>
              <w:t>、</w:t>
            </w:r>
            <w:r>
              <w:rPr>
                <w:bCs/>
                <w:color w:val="auto"/>
                <w:szCs w:val="21"/>
                <w:highlight w:val="none"/>
              </w:rPr>
              <w:t xml:space="preserve"> </w:t>
            </w:r>
            <w:r>
              <w:rPr>
                <w:rFonts w:hint="eastAsia"/>
                <w:bCs/>
                <w:color w:val="auto"/>
                <w:szCs w:val="21"/>
                <w:highlight w:val="none"/>
                <w:lang w:val="en-US" w:eastAsia="zh-CN"/>
              </w:rPr>
              <w:t>17.33</w:t>
            </w:r>
            <w:r>
              <w:rPr>
                <w:bCs/>
                <w:color w:val="auto"/>
                <w:szCs w:val="21"/>
                <w:highlight w:val="none"/>
              </w:rPr>
              <w:t>t/a</w:t>
            </w:r>
          </w:p>
        </w:tc>
        <w:tc>
          <w:tcPr>
            <w:tcW w:w="2229" w:type="dxa"/>
            <w:tcBorders>
              <w:tl2br w:val="nil"/>
              <w:tr2bl w:val="nil"/>
            </w:tcBorders>
            <w:shd w:val="clear" w:color="auto" w:fill="auto"/>
            <w:vAlign w:val="center"/>
          </w:tcPr>
          <w:p>
            <w:pPr>
              <w:adjustRightInd w:val="0"/>
              <w:snapToGrid w:val="0"/>
              <w:spacing w:line="400" w:lineRule="exact"/>
              <w:jc w:val="center"/>
              <w:rPr>
                <w:bCs/>
                <w:color w:val="auto"/>
                <w:szCs w:val="21"/>
              </w:rPr>
            </w:pPr>
            <w:r>
              <w:rPr>
                <w:bCs/>
                <w:color w:val="auto"/>
                <w:szCs w:val="21"/>
              </w:rPr>
              <w:t xml:space="preserve">1.5mg/L </w:t>
            </w:r>
            <w:r>
              <w:rPr>
                <w:rFonts w:hint="eastAsia"/>
                <w:bCs/>
                <w:color w:val="auto"/>
                <w:szCs w:val="21"/>
              </w:rPr>
              <w:t>、</w:t>
            </w:r>
            <w:r>
              <w:rPr>
                <w:rFonts w:hint="eastAsia"/>
                <w:bCs/>
                <w:color w:val="auto"/>
                <w:szCs w:val="21"/>
                <w:lang w:val="en-US" w:eastAsia="zh-CN"/>
              </w:rPr>
              <w:t>0.649</w:t>
            </w:r>
            <w:r>
              <w:rPr>
                <w:bCs/>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223" w:hRule="atLeast"/>
        </w:trPr>
        <w:tc>
          <w:tcPr>
            <w:tcW w:w="986" w:type="dxa"/>
            <w:vMerge w:val="continue"/>
            <w:tcBorders>
              <w:tl2br w:val="nil"/>
              <w:tr2bl w:val="nil"/>
            </w:tcBorders>
            <w:vAlign w:val="center"/>
          </w:tcPr>
          <w:p>
            <w:pPr>
              <w:spacing w:line="400" w:lineRule="exact"/>
              <w:jc w:val="center"/>
              <w:rPr>
                <w:b/>
                <w:color w:val="000000"/>
                <w:szCs w:val="21"/>
              </w:rPr>
            </w:pPr>
          </w:p>
        </w:tc>
        <w:tc>
          <w:tcPr>
            <w:tcW w:w="1875" w:type="dxa"/>
            <w:vMerge w:val="continue"/>
            <w:tcBorders>
              <w:tl2br w:val="nil"/>
              <w:tr2bl w:val="nil"/>
            </w:tcBorders>
            <w:vAlign w:val="center"/>
          </w:tcPr>
          <w:p>
            <w:pPr>
              <w:spacing w:line="400" w:lineRule="exact"/>
              <w:jc w:val="center"/>
              <w:rPr>
                <w:szCs w:val="21"/>
              </w:rPr>
            </w:pPr>
          </w:p>
        </w:tc>
        <w:tc>
          <w:tcPr>
            <w:tcW w:w="1315" w:type="dxa"/>
            <w:tcBorders>
              <w:tl2br w:val="nil"/>
              <w:tr2bl w:val="nil"/>
            </w:tcBorders>
            <w:vAlign w:val="center"/>
          </w:tcPr>
          <w:p>
            <w:pPr>
              <w:pStyle w:val="83"/>
              <w:rPr>
                <w:sz w:val="21"/>
                <w:szCs w:val="21"/>
              </w:rPr>
            </w:pPr>
            <w:r>
              <w:rPr>
                <w:sz w:val="21"/>
                <w:szCs w:val="21"/>
              </w:rPr>
              <w:t>SS</w:t>
            </w:r>
          </w:p>
        </w:tc>
        <w:tc>
          <w:tcPr>
            <w:tcW w:w="2268" w:type="dxa"/>
            <w:tcBorders>
              <w:tl2br w:val="nil"/>
              <w:tr2bl w:val="nil"/>
            </w:tcBorders>
            <w:vAlign w:val="center"/>
          </w:tcPr>
          <w:p>
            <w:pPr>
              <w:adjustRightInd w:val="0"/>
              <w:snapToGrid w:val="0"/>
              <w:spacing w:line="400" w:lineRule="exact"/>
              <w:jc w:val="center"/>
              <w:rPr>
                <w:bCs/>
                <w:color w:val="auto"/>
                <w:szCs w:val="21"/>
                <w:highlight w:val="none"/>
              </w:rPr>
            </w:pPr>
            <w:r>
              <w:rPr>
                <w:rFonts w:hint="eastAsia"/>
                <w:bCs/>
                <w:color w:val="auto"/>
                <w:szCs w:val="21"/>
                <w:highlight w:val="none"/>
                <w:lang w:val="en-US" w:eastAsia="zh-CN"/>
              </w:rPr>
              <w:t>300</w:t>
            </w:r>
            <w:r>
              <w:rPr>
                <w:bCs/>
                <w:color w:val="auto"/>
                <w:szCs w:val="21"/>
                <w:highlight w:val="none"/>
              </w:rPr>
              <w:t xml:space="preserve">mg/L </w:t>
            </w:r>
            <w:r>
              <w:rPr>
                <w:rFonts w:hint="eastAsia"/>
                <w:bCs/>
                <w:color w:val="auto"/>
                <w:szCs w:val="21"/>
                <w:highlight w:val="none"/>
              </w:rPr>
              <w:t>、</w:t>
            </w:r>
            <w:r>
              <w:rPr>
                <w:rFonts w:hint="eastAsia"/>
                <w:bCs/>
                <w:color w:val="auto"/>
                <w:szCs w:val="21"/>
                <w:highlight w:val="none"/>
                <w:lang w:val="en-US" w:eastAsia="zh-CN"/>
              </w:rPr>
              <w:t>129.98</w:t>
            </w:r>
            <w:r>
              <w:rPr>
                <w:bCs/>
                <w:color w:val="auto"/>
                <w:szCs w:val="21"/>
                <w:highlight w:val="none"/>
              </w:rPr>
              <w:t>t/a</w:t>
            </w:r>
          </w:p>
        </w:tc>
        <w:tc>
          <w:tcPr>
            <w:tcW w:w="2229" w:type="dxa"/>
            <w:tcBorders>
              <w:tl2br w:val="nil"/>
              <w:tr2bl w:val="nil"/>
            </w:tcBorders>
            <w:shd w:val="clear" w:color="auto" w:fill="auto"/>
            <w:vAlign w:val="center"/>
          </w:tcPr>
          <w:p>
            <w:pPr>
              <w:adjustRightInd w:val="0"/>
              <w:snapToGrid w:val="0"/>
              <w:spacing w:line="400" w:lineRule="exact"/>
              <w:jc w:val="center"/>
              <w:rPr>
                <w:bCs/>
                <w:color w:val="auto"/>
                <w:szCs w:val="21"/>
              </w:rPr>
            </w:pPr>
            <w:r>
              <w:rPr>
                <w:bCs/>
                <w:color w:val="auto"/>
                <w:szCs w:val="21"/>
              </w:rPr>
              <w:t xml:space="preserve">5mg/L </w:t>
            </w:r>
            <w:r>
              <w:rPr>
                <w:rFonts w:hint="eastAsia"/>
                <w:bCs/>
                <w:color w:val="auto"/>
                <w:szCs w:val="21"/>
              </w:rPr>
              <w:t>、</w:t>
            </w:r>
            <w:r>
              <w:rPr>
                <w:rFonts w:hint="eastAsia"/>
                <w:bCs/>
                <w:color w:val="auto"/>
                <w:szCs w:val="21"/>
                <w:lang w:val="en-US" w:eastAsia="zh-CN"/>
              </w:rPr>
              <w:t>2.166</w:t>
            </w:r>
            <w:r>
              <w:rPr>
                <w:bCs/>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223" w:hRule="atLeast"/>
        </w:trPr>
        <w:tc>
          <w:tcPr>
            <w:tcW w:w="986" w:type="dxa"/>
            <w:vMerge w:val="continue"/>
            <w:tcBorders>
              <w:tl2br w:val="nil"/>
              <w:tr2bl w:val="nil"/>
            </w:tcBorders>
            <w:vAlign w:val="center"/>
          </w:tcPr>
          <w:p>
            <w:pPr>
              <w:spacing w:line="400" w:lineRule="exact"/>
              <w:jc w:val="center"/>
              <w:rPr>
                <w:b/>
                <w:color w:val="000000"/>
                <w:szCs w:val="21"/>
              </w:rPr>
            </w:pPr>
          </w:p>
        </w:tc>
        <w:tc>
          <w:tcPr>
            <w:tcW w:w="1875" w:type="dxa"/>
            <w:vMerge w:val="continue"/>
            <w:tcBorders>
              <w:tl2br w:val="nil"/>
              <w:tr2bl w:val="nil"/>
            </w:tcBorders>
            <w:vAlign w:val="center"/>
          </w:tcPr>
          <w:p>
            <w:pPr>
              <w:spacing w:line="400" w:lineRule="exact"/>
              <w:jc w:val="center"/>
              <w:rPr>
                <w:szCs w:val="21"/>
              </w:rPr>
            </w:pPr>
          </w:p>
        </w:tc>
        <w:tc>
          <w:tcPr>
            <w:tcW w:w="1315" w:type="dxa"/>
            <w:tcBorders>
              <w:tl2br w:val="nil"/>
              <w:tr2bl w:val="nil"/>
            </w:tcBorders>
            <w:vAlign w:val="center"/>
          </w:tcPr>
          <w:p>
            <w:pPr>
              <w:pStyle w:val="83"/>
              <w:rPr>
                <w:sz w:val="21"/>
                <w:szCs w:val="21"/>
              </w:rPr>
            </w:pPr>
            <w:r>
              <w:rPr>
                <w:sz w:val="21"/>
                <w:szCs w:val="21"/>
              </w:rPr>
              <w:t>TN</w:t>
            </w:r>
          </w:p>
        </w:tc>
        <w:tc>
          <w:tcPr>
            <w:tcW w:w="2268" w:type="dxa"/>
            <w:tcBorders>
              <w:tl2br w:val="nil"/>
              <w:tr2bl w:val="nil"/>
            </w:tcBorders>
            <w:vAlign w:val="center"/>
          </w:tcPr>
          <w:p>
            <w:pPr>
              <w:adjustRightInd w:val="0"/>
              <w:snapToGrid w:val="0"/>
              <w:spacing w:line="400" w:lineRule="exact"/>
              <w:jc w:val="center"/>
              <w:rPr>
                <w:bCs/>
                <w:color w:val="auto"/>
                <w:szCs w:val="21"/>
                <w:highlight w:val="none"/>
              </w:rPr>
            </w:pPr>
            <w:r>
              <w:rPr>
                <w:rFonts w:hint="eastAsia"/>
                <w:bCs/>
                <w:color w:val="auto"/>
                <w:szCs w:val="21"/>
                <w:highlight w:val="none"/>
                <w:lang w:val="en-US" w:eastAsia="zh-CN"/>
              </w:rPr>
              <w:t>50</w:t>
            </w:r>
            <w:r>
              <w:rPr>
                <w:bCs/>
                <w:color w:val="auto"/>
                <w:szCs w:val="21"/>
                <w:highlight w:val="none"/>
              </w:rPr>
              <w:t xml:space="preserve"> mg/L </w:t>
            </w:r>
            <w:r>
              <w:rPr>
                <w:rFonts w:hint="eastAsia"/>
                <w:bCs/>
                <w:color w:val="auto"/>
                <w:szCs w:val="21"/>
                <w:highlight w:val="none"/>
              </w:rPr>
              <w:t>、</w:t>
            </w:r>
            <w:r>
              <w:rPr>
                <w:rFonts w:hint="eastAsia"/>
                <w:bCs/>
                <w:color w:val="auto"/>
                <w:szCs w:val="21"/>
                <w:highlight w:val="none"/>
                <w:lang w:val="en-US" w:eastAsia="zh-CN"/>
              </w:rPr>
              <w:t>21.66</w:t>
            </w:r>
            <w:r>
              <w:rPr>
                <w:bCs/>
                <w:color w:val="auto"/>
                <w:szCs w:val="21"/>
                <w:highlight w:val="none"/>
              </w:rPr>
              <w:t>t/a</w:t>
            </w:r>
          </w:p>
        </w:tc>
        <w:tc>
          <w:tcPr>
            <w:tcW w:w="2229" w:type="dxa"/>
            <w:tcBorders>
              <w:tl2br w:val="nil"/>
              <w:tr2bl w:val="nil"/>
            </w:tcBorders>
            <w:shd w:val="clear" w:color="auto" w:fill="auto"/>
            <w:vAlign w:val="center"/>
          </w:tcPr>
          <w:p>
            <w:pPr>
              <w:adjustRightInd w:val="0"/>
              <w:snapToGrid w:val="0"/>
              <w:spacing w:line="400" w:lineRule="exact"/>
              <w:jc w:val="center"/>
              <w:rPr>
                <w:bCs/>
                <w:color w:val="auto"/>
                <w:szCs w:val="21"/>
              </w:rPr>
            </w:pPr>
            <w:r>
              <w:rPr>
                <w:bCs/>
                <w:color w:val="auto"/>
                <w:szCs w:val="21"/>
              </w:rPr>
              <w:t>15mg/L</w:t>
            </w:r>
            <w:r>
              <w:rPr>
                <w:rFonts w:hint="eastAsia"/>
                <w:bCs/>
                <w:color w:val="auto"/>
                <w:szCs w:val="21"/>
              </w:rPr>
              <w:t>、</w:t>
            </w:r>
            <w:r>
              <w:rPr>
                <w:bCs/>
                <w:color w:val="auto"/>
                <w:szCs w:val="21"/>
              </w:rPr>
              <w:t xml:space="preserve"> </w:t>
            </w:r>
            <w:r>
              <w:rPr>
                <w:rFonts w:hint="eastAsia"/>
                <w:bCs/>
                <w:color w:val="auto"/>
                <w:szCs w:val="21"/>
                <w:lang w:val="en-US" w:eastAsia="zh-CN"/>
              </w:rPr>
              <w:t>6.49</w:t>
            </w:r>
            <w:r>
              <w:rPr>
                <w:bCs/>
                <w:color w:val="auto"/>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223" w:hRule="atLeast"/>
        </w:trPr>
        <w:tc>
          <w:tcPr>
            <w:tcW w:w="986" w:type="dxa"/>
            <w:vMerge w:val="continue"/>
            <w:tcBorders>
              <w:tl2br w:val="nil"/>
              <w:tr2bl w:val="nil"/>
            </w:tcBorders>
            <w:vAlign w:val="center"/>
          </w:tcPr>
          <w:p>
            <w:pPr>
              <w:spacing w:line="400" w:lineRule="exact"/>
              <w:jc w:val="center"/>
              <w:rPr>
                <w:b/>
                <w:color w:val="000000"/>
                <w:szCs w:val="21"/>
              </w:rPr>
            </w:pPr>
          </w:p>
        </w:tc>
        <w:tc>
          <w:tcPr>
            <w:tcW w:w="1875" w:type="dxa"/>
            <w:vMerge w:val="continue"/>
            <w:tcBorders>
              <w:tl2br w:val="nil"/>
              <w:tr2bl w:val="nil"/>
            </w:tcBorders>
            <w:vAlign w:val="center"/>
          </w:tcPr>
          <w:p>
            <w:pPr>
              <w:spacing w:line="400" w:lineRule="exact"/>
              <w:jc w:val="center"/>
              <w:rPr>
                <w:szCs w:val="21"/>
              </w:rPr>
            </w:pPr>
          </w:p>
        </w:tc>
        <w:tc>
          <w:tcPr>
            <w:tcW w:w="1315" w:type="dxa"/>
            <w:tcBorders>
              <w:tl2br w:val="nil"/>
              <w:tr2bl w:val="nil"/>
            </w:tcBorders>
            <w:vAlign w:val="center"/>
          </w:tcPr>
          <w:p>
            <w:pPr>
              <w:pStyle w:val="83"/>
              <w:rPr>
                <w:sz w:val="21"/>
                <w:szCs w:val="21"/>
              </w:rPr>
            </w:pPr>
            <w:r>
              <w:rPr>
                <w:sz w:val="21"/>
                <w:szCs w:val="21"/>
              </w:rPr>
              <w:t>TP</w:t>
            </w:r>
          </w:p>
        </w:tc>
        <w:tc>
          <w:tcPr>
            <w:tcW w:w="2268" w:type="dxa"/>
            <w:tcBorders>
              <w:tl2br w:val="nil"/>
              <w:tr2bl w:val="nil"/>
            </w:tcBorders>
            <w:vAlign w:val="center"/>
          </w:tcPr>
          <w:p>
            <w:pPr>
              <w:adjustRightInd w:val="0"/>
              <w:snapToGrid w:val="0"/>
              <w:spacing w:line="400" w:lineRule="exact"/>
              <w:jc w:val="center"/>
              <w:rPr>
                <w:bCs/>
                <w:color w:val="auto"/>
                <w:szCs w:val="21"/>
                <w:highlight w:val="none"/>
              </w:rPr>
            </w:pPr>
            <w:r>
              <w:rPr>
                <w:rFonts w:hint="eastAsia"/>
                <w:bCs/>
                <w:color w:val="auto"/>
                <w:szCs w:val="21"/>
                <w:highlight w:val="none"/>
                <w:lang w:val="en-US" w:eastAsia="zh-CN"/>
              </w:rPr>
              <w:t>20</w:t>
            </w:r>
            <w:r>
              <w:rPr>
                <w:bCs/>
                <w:color w:val="auto"/>
                <w:szCs w:val="21"/>
                <w:highlight w:val="none"/>
              </w:rPr>
              <w:t>mg/L</w:t>
            </w:r>
            <w:r>
              <w:rPr>
                <w:rFonts w:hint="eastAsia"/>
                <w:bCs/>
                <w:color w:val="auto"/>
                <w:szCs w:val="21"/>
                <w:highlight w:val="none"/>
              </w:rPr>
              <w:t>、</w:t>
            </w:r>
            <w:r>
              <w:rPr>
                <w:rFonts w:hint="eastAsia"/>
                <w:bCs/>
                <w:color w:val="auto"/>
                <w:szCs w:val="21"/>
                <w:highlight w:val="none"/>
                <w:lang w:val="en-US" w:eastAsia="zh-CN"/>
              </w:rPr>
              <w:t>8.665</w:t>
            </w:r>
            <w:r>
              <w:rPr>
                <w:bCs/>
                <w:color w:val="auto"/>
                <w:szCs w:val="21"/>
                <w:highlight w:val="none"/>
              </w:rPr>
              <w:t>t/a</w:t>
            </w:r>
          </w:p>
        </w:tc>
        <w:tc>
          <w:tcPr>
            <w:tcW w:w="2229" w:type="dxa"/>
            <w:tcBorders>
              <w:tl2br w:val="nil"/>
              <w:tr2bl w:val="nil"/>
            </w:tcBorders>
            <w:shd w:val="clear" w:color="auto" w:fill="auto"/>
            <w:vAlign w:val="center"/>
          </w:tcPr>
          <w:p>
            <w:pPr>
              <w:adjustRightInd w:val="0"/>
              <w:snapToGrid w:val="0"/>
              <w:spacing w:line="400" w:lineRule="exact"/>
              <w:jc w:val="center"/>
              <w:rPr>
                <w:bCs/>
                <w:color w:val="auto"/>
                <w:szCs w:val="21"/>
              </w:rPr>
            </w:pPr>
            <w:r>
              <w:rPr>
                <w:bCs/>
                <w:color w:val="auto"/>
                <w:szCs w:val="21"/>
              </w:rPr>
              <w:t>0.3mg/L；</w:t>
            </w:r>
            <w:r>
              <w:rPr>
                <w:rFonts w:hint="eastAsia"/>
                <w:bCs/>
                <w:color w:val="auto"/>
                <w:szCs w:val="21"/>
                <w:lang w:val="en-US" w:eastAsia="zh-CN"/>
              </w:rPr>
              <w:t>0.129</w:t>
            </w:r>
            <w:r>
              <w:rPr>
                <w:bCs/>
                <w:color w:val="auto"/>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511" w:hRule="atLeast"/>
        </w:trPr>
        <w:tc>
          <w:tcPr>
            <w:tcW w:w="986" w:type="dxa"/>
            <w:vMerge w:val="restart"/>
            <w:tcBorders>
              <w:tl2br w:val="nil"/>
              <w:tr2bl w:val="nil"/>
            </w:tcBorders>
            <w:vAlign w:val="center"/>
          </w:tcPr>
          <w:p>
            <w:pPr>
              <w:spacing w:line="400" w:lineRule="exact"/>
              <w:jc w:val="center"/>
              <w:rPr>
                <w:b/>
                <w:color w:val="000000"/>
                <w:szCs w:val="21"/>
              </w:rPr>
            </w:pPr>
            <w:r>
              <w:rPr>
                <w:b/>
                <w:color w:val="000000"/>
                <w:szCs w:val="21"/>
              </w:rPr>
              <w:t>固</w:t>
            </w:r>
          </w:p>
          <w:p>
            <w:pPr>
              <w:spacing w:line="400" w:lineRule="exact"/>
              <w:jc w:val="center"/>
              <w:rPr>
                <w:b/>
                <w:color w:val="000000"/>
                <w:szCs w:val="21"/>
              </w:rPr>
            </w:pPr>
            <w:r>
              <w:rPr>
                <w:b/>
                <w:color w:val="000000"/>
                <w:szCs w:val="21"/>
              </w:rPr>
              <w:t>体</w:t>
            </w:r>
          </w:p>
          <w:p>
            <w:pPr>
              <w:spacing w:line="400" w:lineRule="exact"/>
              <w:jc w:val="center"/>
              <w:rPr>
                <w:b/>
                <w:color w:val="000000"/>
                <w:szCs w:val="21"/>
              </w:rPr>
            </w:pPr>
            <w:r>
              <w:rPr>
                <w:b/>
                <w:color w:val="000000"/>
                <w:szCs w:val="21"/>
              </w:rPr>
              <w:t>废</w:t>
            </w:r>
          </w:p>
          <w:p>
            <w:pPr>
              <w:spacing w:line="400" w:lineRule="exact"/>
              <w:jc w:val="center"/>
              <w:rPr>
                <w:b/>
                <w:color w:val="000000"/>
                <w:szCs w:val="21"/>
              </w:rPr>
            </w:pPr>
            <w:r>
              <w:rPr>
                <w:b/>
                <w:color w:val="000000"/>
                <w:szCs w:val="21"/>
              </w:rPr>
              <w:t>物</w:t>
            </w:r>
          </w:p>
        </w:tc>
        <w:tc>
          <w:tcPr>
            <w:tcW w:w="1875" w:type="dxa"/>
            <w:tcBorders>
              <w:tl2br w:val="nil"/>
              <w:tr2bl w:val="nil"/>
            </w:tcBorders>
            <w:vAlign w:val="center"/>
          </w:tcPr>
          <w:p>
            <w:pPr>
              <w:spacing w:line="400" w:lineRule="exact"/>
              <w:ind w:left="-4" w:leftChars="-15" w:right="-31" w:rightChars="-15" w:hanging="27" w:hangingChars="13"/>
              <w:jc w:val="center"/>
              <w:rPr>
                <w:rFonts w:hint="eastAsia" w:eastAsia="宋体"/>
                <w:kern w:val="0"/>
                <w:szCs w:val="21"/>
                <w:lang w:eastAsia="zh-CN"/>
              </w:rPr>
            </w:pPr>
            <w:r>
              <w:rPr>
                <w:rFonts w:hint="eastAsia"/>
                <w:kern w:val="0"/>
                <w:szCs w:val="21"/>
                <w:lang w:val="en-US" w:eastAsia="zh-CN"/>
              </w:rPr>
              <w:t>格栅</w:t>
            </w:r>
          </w:p>
        </w:tc>
        <w:tc>
          <w:tcPr>
            <w:tcW w:w="1315" w:type="dxa"/>
            <w:tcBorders>
              <w:tl2br w:val="nil"/>
              <w:tr2bl w:val="nil"/>
            </w:tcBorders>
            <w:vAlign w:val="center"/>
          </w:tcPr>
          <w:p>
            <w:pPr>
              <w:widowControl/>
              <w:spacing w:line="400" w:lineRule="exact"/>
              <w:ind w:left="-4" w:leftChars="-15" w:right="-31" w:rightChars="-15" w:hanging="27" w:hangingChars="13"/>
              <w:jc w:val="center"/>
              <w:rPr>
                <w:kern w:val="0"/>
                <w:szCs w:val="21"/>
              </w:rPr>
            </w:pPr>
            <w:r>
              <w:rPr>
                <w:rFonts w:hint="eastAsia"/>
                <w:kern w:val="0"/>
                <w:szCs w:val="21"/>
              </w:rPr>
              <w:t>栅渣</w:t>
            </w:r>
          </w:p>
        </w:tc>
        <w:tc>
          <w:tcPr>
            <w:tcW w:w="2268" w:type="dxa"/>
            <w:tcBorders>
              <w:tl2br w:val="nil"/>
              <w:tr2bl w:val="nil"/>
            </w:tcBorders>
            <w:shd w:val="clear" w:color="auto" w:fill="auto"/>
            <w:vAlign w:val="center"/>
          </w:tcPr>
          <w:p>
            <w:pPr>
              <w:spacing w:line="276" w:lineRule="auto"/>
              <w:jc w:val="center"/>
              <w:rPr>
                <w:kern w:val="0"/>
                <w:szCs w:val="21"/>
              </w:rPr>
            </w:pPr>
            <w:r>
              <w:rPr>
                <w:rFonts w:hint="eastAsia"/>
                <w:kern w:val="0"/>
                <w:szCs w:val="21"/>
                <w:lang w:val="en-US" w:eastAsia="zh-CN"/>
              </w:rPr>
              <w:t>35.4</w:t>
            </w:r>
            <w:r>
              <w:rPr>
                <w:rFonts w:hint="eastAsia"/>
                <w:kern w:val="0"/>
                <w:szCs w:val="21"/>
              </w:rPr>
              <w:t>t</w:t>
            </w:r>
            <w:r>
              <w:rPr>
                <w:kern w:val="0"/>
                <w:szCs w:val="21"/>
              </w:rPr>
              <w:t>/a</w:t>
            </w:r>
          </w:p>
        </w:tc>
        <w:tc>
          <w:tcPr>
            <w:tcW w:w="2229" w:type="dxa"/>
            <w:vMerge w:val="restart"/>
            <w:tcBorders>
              <w:tl2br w:val="nil"/>
              <w:tr2bl w:val="nil"/>
            </w:tcBorders>
            <w:shd w:val="clear" w:color="auto" w:fill="auto"/>
            <w:vAlign w:val="center"/>
          </w:tcPr>
          <w:p>
            <w:pPr>
              <w:spacing w:line="276" w:lineRule="auto"/>
              <w:jc w:val="center"/>
              <w:rPr>
                <w:bCs/>
                <w:kern w:val="0"/>
                <w:szCs w:val="21"/>
              </w:rPr>
            </w:pPr>
            <w:r>
              <w:rPr>
                <w:rFonts w:hint="eastAsia"/>
                <w:bCs/>
                <w:kern w:val="0"/>
                <w:szCs w:val="21"/>
              </w:rPr>
              <w:t>全部</w:t>
            </w:r>
            <w:r>
              <w:rPr>
                <w:bCs/>
                <w:kern w:val="0"/>
                <w:szCs w:val="21"/>
              </w:rPr>
              <w:t>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418" w:hRule="atLeast"/>
        </w:trPr>
        <w:tc>
          <w:tcPr>
            <w:tcW w:w="986" w:type="dxa"/>
            <w:vMerge w:val="continue"/>
            <w:tcBorders>
              <w:tl2br w:val="nil"/>
              <w:tr2bl w:val="nil"/>
            </w:tcBorders>
            <w:vAlign w:val="center"/>
          </w:tcPr>
          <w:p>
            <w:pPr>
              <w:spacing w:line="400" w:lineRule="exact"/>
              <w:jc w:val="center"/>
              <w:rPr>
                <w:b/>
                <w:color w:val="000000"/>
                <w:szCs w:val="21"/>
              </w:rPr>
            </w:pPr>
          </w:p>
        </w:tc>
        <w:tc>
          <w:tcPr>
            <w:tcW w:w="1875" w:type="dxa"/>
            <w:tcBorders>
              <w:tl2br w:val="nil"/>
              <w:tr2bl w:val="nil"/>
            </w:tcBorders>
            <w:vAlign w:val="center"/>
          </w:tcPr>
          <w:p>
            <w:pPr>
              <w:spacing w:line="400" w:lineRule="exact"/>
              <w:ind w:left="-4" w:leftChars="-15" w:right="-31" w:rightChars="-15" w:hanging="27" w:hangingChars="13"/>
              <w:jc w:val="center"/>
              <w:rPr>
                <w:kern w:val="0"/>
                <w:szCs w:val="21"/>
              </w:rPr>
            </w:pPr>
            <w:r>
              <w:rPr>
                <w:rFonts w:hint="eastAsia"/>
                <w:kern w:val="0"/>
                <w:szCs w:val="21"/>
              </w:rPr>
              <w:t>污泥处理</w:t>
            </w:r>
            <w:r>
              <w:rPr>
                <w:kern w:val="0"/>
                <w:szCs w:val="21"/>
              </w:rPr>
              <w:t>系统</w:t>
            </w:r>
          </w:p>
        </w:tc>
        <w:tc>
          <w:tcPr>
            <w:tcW w:w="1315" w:type="dxa"/>
            <w:tcBorders>
              <w:tl2br w:val="nil"/>
              <w:tr2bl w:val="nil"/>
            </w:tcBorders>
            <w:vAlign w:val="center"/>
          </w:tcPr>
          <w:p>
            <w:pPr>
              <w:widowControl/>
              <w:spacing w:line="400" w:lineRule="exact"/>
              <w:ind w:left="-4" w:leftChars="-15" w:right="-31" w:rightChars="-15" w:hanging="27" w:hangingChars="13"/>
              <w:jc w:val="center"/>
              <w:rPr>
                <w:kern w:val="0"/>
                <w:szCs w:val="21"/>
              </w:rPr>
            </w:pPr>
            <w:r>
              <w:rPr>
                <w:rFonts w:hint="eastAsia"/>
                <w:kern w:val="0"/>
                <w:szCs w:val="21"/>
              </w:rPr>
              <w:t>污泥</w:t>
            </w:r>
          </w:p>
        </w:tc>
        <w:tc>
          <w:tcPr>
            <w:tcW w:w="2268" w:type="dxa"/>
            <w:tcBorders>
              <w:tl2br w:val="nil"/>
              <w:tr2bl w:val="nil"/>
            </w:tcBorders>
            <w:shd w:val="clear" w:color="auto" w:fill="auto"/>
            <w:vAlign w:val="center"/>
          </w:tcPr>
          <w:p>
            <w:pPr>
              <w:spacing w:line="276" w:lineRule="auto"/>
              <w:jc w:val="center"/>
              <w:rPr>
                <w:kern w:val="0"/>
                <w:szCs w:val="21"/>
              </w:rPr>
            </w:pPr>
            <w:r>
              <w:rPr>
                <w:rFonts w:hint="eastAsia"/>
                <w:szCs w:val="21"/>
                <w:lang w:val="en-US" w:eastAsia="zh-CN"/>
              </w:rPr>
              <w:t>298</w:t>
            </w:r>
            <w:r>
              <w:rPr>
                <w:rFonts w:hint="eastAsia"/>
                <w:kern w:val="0"/>
                <w:szCs w:val="21"/>
              </w:rPr>
              <w:t>t</w:t>
            </w:r>
            <w:r>
              <w:rPr>
                <w:kern w:val="0"/>
                <w:szCs w:val="21"/>
              </w:rPr>
              <w:t>/a</w:t>
            </w:r>
          </w:p>
        </w:tc>
        <w:tc>
          <w:tcPr>
            <w:tcW w:w="2229" w:type="dxa"/>
            <w:vMerge w:val="continue"/>
            <w:tcBorders>
              <w:tl2br w:val="nil"/>
              <w:tr2bl w:val="nil"/>
            </w:tcBorders>
            <w:shd w:val="clear" w:color="auto" w:fill="auto"/>
            <w:vAlign w:val="center"/>
          </w:tcPr>
          <w:p>
            <w:pPr>
              <w:spacing w:line="276"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90" w:hRule="atLeast"/>
        </w:trPr>
        <w:tc>
          <w:tcPr>
            <w:tcW w:w="986" w:type="dxa"/>
            <w:vMerge w:val="continue"/>
            <w:tcBorders>
              <w:tl2br w:val="nil"/>
              <w:tr2bl w:val="nil"/>
            </w:tcBorders>
            <w:vAlign w:val="center"/>
          </w:tcPr>
          <w:p>
            <w:pPr>
              <w:spacing w:line="400" w:lineRule="exact"/>
              <w:jc w:val="center"/>
              <w:rPr>
                <w:b/>
                <w:color w:val="000000"/>
                <w:szCs w:val="21"/>
              </w:rPr>
            </w:pPr>
          </w:p>
        </w:tc>
        <w:tc>
          <w:tcPr>
            <w:tcW w:w="1875" w:type="dxa"/>
            <w:tcBorders>
              <w:tl2br w:val="nil"/>
              <w:tr2bl w:val="nil"/>
            </w:tcBorders>
            <w:vAlign w:val="center"/>
          </w:tcPr>
          <w:p>
            <w:pPr>
              <w:spacing w:line="400" w:lineRule="exact"/>
              <w:ind w:left="-4" w:leftChars="-15" w:right="-31" w:rightChars="-15" w:hanging="27" w:hangingChars="13"/>
              <w:jc w:val="center"/>
              <w:rPr>
                <w:rFonts w:hint="eastAsia" w:eastAsia="宋体"/>
                <w:kern w:val="0"/>
                <w:szCs w:val="21"/>
                <w:lang w:eastAsia="zh-CN"/>
              </w:rPr>
            </w:pPr>
            <w:r>
              <w:rPr>
                <w:rFonts w:hint="eastAsia"/>
                <w:kern w:val="0"/>
                <w:szCs w:val="21"/>
                <w:lang w:val="en-US" w:eastAsia="zh-CN"/>
              </w:rPr>
              <w:t>气浮装置</w:t>
            </w:r>
          </w:p>
        </w:tc>
        <w:tc>
          <w:tcPr>
            <w:tcW w:w="1315" w:type="dxa"/>
            <w:tcBorders>
              <w:tl2br w:val="nil"/>
              <w:tr2bl w:val="nil"/>
            </w:tcBorders>
            <w:vAlign w:val="center"/>
          </w:tcPr>
          <w:p>
            <w:pPr>
              <w:widowControl/>
              <w:spacing w:line="400" w:lineRule="exact"/>
              <w:ind w:left="-4" w:leftChars="-15" w:right="-31" w:rightChars="-15" w:hanging="27" w:hangingChars="13"/>
              <w:jc w:val="center"/>
              <w:rPr>
                <w:kern w:val="0"/>
                <w:szCs w:val="21"/>
              </w:rPr>
            </w:pPr>
            <w:r>
              <w:rPr>
                <w:rFonts w:hint="eastAsia"/>
                <w:kern w:val="0"/>
                <w:szCs w:val="21"/>
              </w:rPr>
              <w:t>沉渣</w:t>
            </w:r>
          </w:p>
        </w:tc>
        <w:tc>
          <w:tcPr>
            <w:tcW w:w="2268" w:type="dxa"/>
            <w:tcBorders>
              <w:tl2br w:val="nil"/>
              <w:tr2bl w:val="nil"/>
            </w:tcBorders>
            <w:shd w:val="clear" w:color="auto" w:fill="auto"/>
            <w:vAlign w:val="center"/>
          </w:tcPr>
          <w:p>
            <w:pPr>
              <w:spacing w:line="276" w:lineRule="auto"/>
              <w:jc w:val="center"/>
              <w:rPr>
                <w:kern w:val="0"/>
                <w:szCs w:val="21"/>
              </w:rPr>
            </w:pPr>
            <w:r>
              <w:rPr>
                <w:rFonts w:hint="eastAsia"/>
                <w:kern w:val="0"/>
                <w:szCs w:val="21"/>
                <w:lang w:val="en-US" w:eastAsia="zh-CN"/>
              </w:rPr>
              <w:t>20</w:t>
            </w:r>
            <w:r>
              <w:rPr>
                <w:rFonts w:hint="eastAsia"/>
                <w:kern w:val="0"/>
                <w:szCs w:val="21"/>
              </w:rPr>
              <w:t>t</w:t>
            </w:r>
            <w:r>
              <w:rPr>
                <w:kern w:val="0"/>
                <w:szCs w:val="21"/>
              </w:rPr>
              <w:t>/a</w:t>
            </w:r>
          </w:p>
        </w:tc>
        <w:tc>
          <w:tcPr>
            <w:tcW w:w="2229" w:type="dxa"/>
            <w:vMerge w:val="continue"/>
            <w:tcBorders>
              <w:tl2br w:val="nil"/>
              <w:tr2bl w:val="nil"/>
            </w:tcBorders>
            <w:shd w:val="clear" w:color="auto" w:fill="auto"/>
            <w:vAlign w:val="center"/>
          </w:tcPr>
          <w:p>
            <w:pPr>
              <w:spacing w:line="276"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1693" w:hRule="atLeast"/>
        </w:trPr>
        <w:tc>
          <w:tcPr>
            <w:tcW w:w="986" w:type="dxa"/>
            <w:tcBorders>
              <w:tl2br w:val="nil"/>
              <w:tr2bl w:val="nil"/>
            </w:tcBorders>
            <w:vAlign w:val="center"/>
          </w:tcPr>
          <w:p>
            <w:pPr>
              <w:spacing w:line="400" w:lineRule="exact"/>
              <w:jc w:val="center"/>
              <w:rPr>
                <w:b/>
                <w:color w:val="000000"/>
                <w:szCs w:val="21"/>
              </w:rPr>
            </w:pPr>
            <w:r>
              <w:rPr>
                <w:b/>
                <w:color w:val="000000"/>
                <w:szCs w:val="21"/>
              </w:rPr>
              <w:t>噪</w:t>
            </w:r>
          </w:p>
          <w:p>
            <w:pPr>
              <w:spacing w:line="400" w:lineRule="exact"/>
              <w:jc w:val="center"/>
              <w:rPr>
                <w:b/>
                <w:color w:val="000000"/>
                <w:szCs w:val="21"/>
              </w:rPr>
            </w:pPr>
            <w:r>
              <w:rPr>
                <w:b/>
                <w:color w:val="000000"/>
                <w:szCs w:val="21"/>
              </w:rPr>
              <w:t>声</w:t>
            </w:r>
          </w:p>
        </w:tc>
        <w:tc>
          <w:tcPr>
            <w:tcW w:w="7687" w:type="dxa"/>
            <w:gridSpan w:val="4"/>
            <w:tcBorders>
              <w:tl2br w:val="nil"/>
              <w:tr2bl w:val="nil"/>
            </w:tcBorders>
            <w:vAlign w:val="center"/>
          </w:tcPr>
          <w:p>
            <w:pPr>
              <w:widowControl/>
              <w:spacing w:line="400" w:lineRule="exact"/>
              <w:ind w:firstLine="420" w:firstLineChars="200"/>
              <w:jc w:val="left"/>
              <w:rPr>
                <w:kern w:val="0"/>
                <w:szCs w:val="21"/>
              </w:rPr>
            </w:pPr>
            <w:r>
              <w:rPr>
                <w:kern w:val="0"/>
                <w:szCs w:val="21"/>
              </w:rPr>
              <w:t>项目运营期噪声污染源主要为</w:t>
            </w:r>
            <w:r>
              <w:rPr>
                <w:rFonts w:hint="eastAsia"/>
                <w:kern w:val="0"/>
                <w:szCs w:val="21"/>
              </w:rPr>
              <w:t>泵类</w:t>
            </w:r>
            <w:r>
              <w:rPr>
                <w:kern w:val="0"/>
                <w:szCs w:val="21"/>
              </w:rPr>
              <w:t>、</w:t>
            </w:r>
            <w:r>
              <w:rPr>
                <w:szCs w:val="21"/>
              </w:rPr>
              <w:t>风机</w:t>
            </w:r>
            <w:r>
              <w:rPr>
                <w:kern w:val="0"/>
                <w:szCs w:val="21"/>
              </w:rPr>
              <w:t>等设备噪声，噪声源强在65~90dB（A）之间，通过对风机等主要噪声源采取安装减震垫、厂房隔声等降噪措施。采取上述措施可减噪15~30 dB（A），再通过距离衰减，四周厂界噪声可满足《工业企业厂界环境噪声排放标准》（GB12348-2008）中2类标准。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1024" w:hRule="atLeast"/>
        </w:trPr>
        <w:tc>
          <w:tcPr>
            <w:tcW w:w="986" w:type="dxa"/>
            <w:tcBorders>
              <w:tl2br w:val="nil"/>
              <w:tr2bl w:val="nil"/>
            </w:tcBorders>
            <w:vAlign w:val="center"/>
          </w:tcPr>
          <w:p>
            <w:pPr>
              <w:spacing w:line="400" w:lineRule="exact"/>
              <w:jc w:val="center"/>
              <w:rPr>
                <w:b/>
                <w:color w:val="000000"/>
                <w:szCs w:val="21"/>
              </w:rPr>
            </w:pPr>
            <w:r>
              <w:rPr>
                <w:b/>
                <w:color w:val="000000"/>
                <w:szCs w:val="21"/>
              </w:rPr>
              <w:t>其他</w:t>
            </w:r>
          </w:p>
        </w:tc>
        <w:tc>
          <w:tcPr>
            <w:tcW w:w="7687" w:type="dxa"/>
            <w:gridSpan w:val="4"/>
            <w:tcBorders>
              <w:tl2br w:val="nil"/>
              <w:tr2bl w:val="nil"/>
            </w:tcBorders>
            <w:vAlign w:val="center"/>
          </w:tcPr>
          <w:p>
            <w:pPr>
              <w:pStyle w:val="43"/>
              <w:spacing w:before="0" w:beforeAutospacing="0" w:after="0" w:afterAutospacing="0" w:line="400" w:lineRule="exact"/>
              <w:jc w:val="center"/>
              <w:rPr>
                <w:sz w:val="21"/>
                <w:szCs w:val="21"/>
              </w:rPr>
            </w:pPr>
            <w:r>
              <w:rPr>
                <w:rFonts w:hint="eastAsia"/>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cantSplit/>
          <w:trHeight w:val="1024" w:hRule="atLeast"/>
        </w:trPr>
        <w:tc>
          <w:tcPr>
            <w:tcW w:w="8673" w:type="dxa"/>
            <w:gridSpan w:val="5"/>
            <w:tcBorders>
              <w:tl2br w:val="nil"/>
              <w:tr2bl w:val="nil"/>
            </w:tcBorders>
            <w:vAlign w:val="center"/>
          </w:tcPr>
          <w:p>
            <w:pPr>
              <w:rPr>
                <w:b/>
                <w:sz w:val="28"/>
                <w:szCs w:val="28"/>
              </w:rPr>
            </w:pPr>
            <w:r>
              <w:rPr>
                <w:b/>
                <w:sz w:val="28"/>
                <w:szCs w:val="28"/>
              </w:rPr>
              <w:t>主要生态影响（不够时可附另页）</w:t>
            </w:r>
          </w:p>
          <w:p>
            <w:pPr>
              <w:pStyle w:val="43"/>
              <w:spacing w:before="0" w:beforeAutospacing="0" w:after="0" w:afterAutospacing="0" w:line="400" w:lineRule="exact"/>
              <w:ind w:firstLine="480" w:firstLineChars="200"/>
            </w:pPr>
            <w:r>
              <w:t>本项目为</w:t>
            </w:r>
            <w:r>
              <w:rPr>
                <w:rFonts w:hint="eastAsia"/>
              </w:rPr>
              <w:t>提标</w:t>
            </w:r>
            <w:r>
              <w:t>改造项目，周围无珍稀动、植物栖息地，地势较为平缓，自然灾害影响因素较小，对周围生态影响较小。</w:t>
            </w:r>
          </w:p>
          <w:p>
            <w:pPr>
              <w:pStyle w:val="43"/>
              <w:spacing w:before="0" w:beforeAutospacing="0" w:after="0" w:afterAutospacing="0" w:line="400" w:lineRule="exact"/>
              <w:ind w:firstLine="480" w:firstLineChars="200"/>
            </w:pPr>
          </w:p>
          <w:p>
            <w:pPr>
              <w:pStyle w:val="43"/>
              <w:spacing w:before="0" w:beforeAutospacing="0" w:after="0" w:afterAutospacing="0" w:line="400" w:lineRule="exact"/>
              <w:ind w:firstLine="420" w:firstLineChars="200"/>
              <w:rPr>
                <w:sz w:val="21"/>
                <w:szCs w:val="21"/>
              </w:rPr>
            </w:pPr>
          </w:p>
          <w:p>
            <w:pPr>
              <w:pStyle w:val="43"/>
              <w:spacing w:before="0" w:beforeAutospacing="0" w:after="0" w:afterAutospacing="0" w:line="400" w:lineRule="exact"/>
              <w:ind w:firstLine="420" w:firstLineChars="200"/>
              <w:rPr>
                <w:sz w:val="21"/>
                <w:szCs w:val="21"/>
              </w:rPr>
            </w:pPr>
          </w:p>
        </w:tc>
      </w:tr>
    </w:tbl>
    <w:p>
      <w:pPr>
        <w:outlineLvl w:val="0"/>
        <w:rPr>
          <w:b/>
          <w:bCs/>
          <w:color w:val="000000"/>
          <w:sz w:val="32"/>
        </w:rPr>
      </w:pPr>
      <w:r>
        <w:rPr>
          <w:b/>
          <w:bCs/>
          <w:color w:val="000000"/>
          <w:sz w:val="32"/>
        </w:rPr>
        <w:t>环境影响分析</w:t>
      </w:r>
    </w:p>
    <w:tbl>
      <w:tblPr>
        <w:tblStyle w:val="4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trPr>
        <w:tc>
          <w:tcPr>
            <w:tcW w:w="8359" w:type="dxa"/>
            <w:shd w:val="clear" w:color="auto" w:fill="auto"/>
          </w:tcPr>
          <w:p>
            <w:pPr>
              <w:spacing w:line="360" w:lineRule="auto"/>
              <w:contextualSpacing/>
              <w:rPr>
                <w:b/>
                <w:kern w:val="0"/>
                <w:sz w:val="32"/>
                <w:szCs w:val="32"/>
              </w:rPr>
            </w:pPr>
            <w:r>
              <w:rPr>
                <w:b/>
                <w:kern w:val="0"/>
                <w:sz w:val="32"/>
                <w:szCs w:val="32"/>
              </w:rPr>
              <w:t>营运期环境影响分析：</w:t>
            </w:r>
          </w:p>
          <w:p>
            <w:pPr>
              <w:spacing w:line="360" w:lineRule="auto"/>
              <w:ind w:firstLine="480" w:firstLineChars="200"/>
              <w:rPr>
                <w:sz w:val="24"/>
                <w:szCs w:val="24"/>
              </w:rPr>
            </w:pPr>
            <w:r>
              <w:rPr>
                <w:sz w:val="24"/>
                <w:szCs w:val="24"/>
              </w:rPr>
              <w:t>本项目新建</w:t>
            </w:r>
            <w:r>
              <w:rPr>
                <w:rFonts w:hint="eastAsia"/>
                <w:sz w:val="24"/>
                <w:szCs w:val="24"/>
                <w:lang w:val="en-US" w:eastAsia="zh-CN"/>
              </w:rPr>
              <w:t>除磷气浮池及改造部分配套设备</w:t>
            </w:r>
            <w:r>
              <w:rPr>
                <w:rFonts w:hint="eastAsia"/>
                <w:sz w:val="24"/>
                <w:szCs w:val="24"/>
              </w:rPr>
              <w:t>。</w:t>
            </w:r>
            <w:r>
              <w:rPr>
                <w:sz w:val="24"/>
                <w:szCs w:val="24"/>
              </w:rPr>
              <w:t>施工期主要包括厂址地表的平整、建筑地基挖掘、结构施工和设备安装，不同的施工阶段，除有一定量的施工机械进驻现场外，还伴有一定量建筑材料的运输作业，从而产生施工扬尘、施工噪声和一定量的建筑垃圾。</w:t>
            </w:r>
          </w:p>
          <w:p>
            <w:pPr>
              <w:spacing w:line="360" w:lineRule="auto"/>
              <w:ind w:firstLine="482" w:firstLineChars="200"/>
              <w:rPr>
                <w:b/>
                <w:bCs/>
                <w:sz w:val="24"/>
                <w:szCs w:val="24"/>
              </w:rPr>
            </w:pPr>
            <w:r>
              <w:rPr>
                <w:b/>
                <w:bCs/>
                <w:sz w:val="24"/>
                <w:szCs w:val="24"/>
              </w:rPr>
              <w:t>1、施工扬尘环境影响分析</w:t>
            </w:r>
          </w:p>
          <w:p>
            <w:pPr>
              <w:spacing w:line="360" w:lineRule="auto"/>
              <w:ind w:firstLine="470" w:firstLineChars="196"/>
              <w:rPr>
                <w:color w:val="000000"/>
                <w:sz w:val="24"/>
                <w:szCs w:val="22"/>
              </w:rPr>
            </w:pPr>
            <w:r>
              <w:rPr>
                <w:color w:val="000000"/>
                <w:sz w:val="24"/>
                <w:szCs w:val="22"/>
              </w:rPr>
              <w:t>（1）施工期扬尘来源</w:t>
            </w:r>
          </w:p>
          <w:p>
            <w:pPr>
              <w:spacing w:line="360" w:lineRule="auto"/>
              <w:ind w:firstLine="480" w:firstLineChars="200"/>
              <w:rPr>
                <w:color w:val="000000"/>
                <w:sz w:val="24"/>
                <w:szCs w:val="22"/>
              </w:rPr>
            </w:pPr>
            <w:r>
              <w:rPr>
                <w:color w:val="000000"/>
                <w:sz w:val="24"/>
                <w:szCs w:val="22"/>
              </w:rPr>
              <w:t>本项目施工期扬尘主要分为堆场扬尘、施工扬尘和土壤扬尘。</w:t>
            </w:r>
          </w:p>
          <w:p>
            <w:pPr>
              <w:spacing w:line="360" w:lineRule="auto"/>
              <w:ind w:firstLine="480" w:firstLineChars="200"/>
              <w:rPr>
                <w:color w:val="000000"/>
                <w:sz w:val="24"/>
                <w:szCs w:val="22"/>
              </w:rPr>
            </w:pPr>
            <w:r>
              <w:rPr>
                <w:color w:val="000000"/>
                <w:sz w:val="24"/>
                <w:szCs w:val="22"/>
              </w:rPr>
              <w:t>堆场扬尘主要为建筑料、建筑渣土及垃圾、生活垃圾等由于堆积、装卸、传送等操作产生的扬尘；施工扬尘主要为建筑物建造、设备安装及装饰等施工过程中产生的扬尘；土壤扬尘直接来源于裸露的地面。同时运输车辆进出工地，车辆轮胎不可避免地将工地的泥土带出，遗洒在车辆经过的路面，在其它车辆通过时产生二次扬尘。以上扬尘将伴随整个施工过程，是施工扬尘重点防治对象。</w:t>
            </w:r>
          </w:p>
          <w:p>
            <w:pPr>
              <w:spacing w:line="360" w:lineRule="auto"/>
              <w:ind w:firstLine="480"/>
              <w:rPr>
                <w:color w:val="000000"/>
                <w:sz w:val="24"/>
                <w:szCs w:val="22"/>
              </w:rPr>
            </w:pPr>
            <w:r>
              <w:rPr>
                <w:color w:val="000000"/>
                <w:sz w:val="24"/>
                <w:szCs w:val="22"/>
              </w:rPr>
              <w:t>（2）环境影响分析</w:t>
            </w:r>
          </w:p>
          <w:p>
            <w:pPr>
              <w:spacing w:line="360" w:lineRule="auto"/>
              <w:ind w:firstLine="480"/>
              <w:rPr>
                <w:sz w:val="24"/>
                <w:szCs w:val="22"/>
              </w:rPr>
            </w:pPr>
            <w:r>
              <w:rPr>
                <w:color w:val="000000"/>
                <w:sz w:val="24"/>
                <w:szCs w:val="22"/>
              </w:rPr>
              <w:t>施工期扬尘属无组织排放，施工扬尘的源强与施工的时间、地点、施工现场条件、管理水平、机械化程度及天气诸多因素有关，是一个复杂、较难定量的问题。类比北京市环科院对施工场地扬尘进行的监测数据，建筑工地内TSP浓度相当于大气环境标准的1.4~2.5倍，施工及运输车辆引起的扬尘主要为天然土颗粒，粒径较大，在当年平均风速较小的情况下，扬尘飞扬距离较小，在当地</w:t>
            </w:r>
            <w:r>
              <w:rPr>
                <w:sz w:val="24"/>
                <w:szCs w:val="22"/>
              </w:rPr>
              <w:t>年均风速1.69m/s的条件下，150m以外的环境受影响程度较低。通过现场踏勘，</w:t>
            </w:r>
            <w:r>
              <w:rPr>
                <w:rFonts w:hint="eastAsia"/>
                <w:sz w:val="24"/>
                <w:szCs w:val="22"/>
              </w:rPr>
              <w:t>距离</w:t>
            </w:r>
            <w:r>
              <w:rPr>
                <w:sz w:val="24"/>
                <w:szCs w:val="22"/>
              </w:rPr>
              <w:t>项目最近敏感点为</w:t>
            </w:r>
            <w:r>
              <w:rPr>
                <w:rFonts w:hint="eastAsia"/>
                <w:sz w:val="24"/>
                <w:szCs w:val="22"/>
              </w:rPr>
              <w:t>项目</w:t>
            </w:r>
            <w:r>
              <w:rPr>
                <w:sz w:val="24"/>
                <w:szCs w:val="22"/>
              </w:rPr>
              <w:t>厂区西北侧750</w:t>
            </w:r>
            <w:r>
              <w:rPr>
                <w:rFonts w:hint="eastAsia"/>
                <w:sz w:val="24"/>
                <w:szCs w:val="22"/>
              </w:rPr>
              <w:t>m处</w:t>
            </w:r>
            <w:r>
              <w:rPr>
                <w:sz w:val="24"/>
                <w:szCs w:val="22"/>
              </w:rPr>
              <w:t>的</w:t>
            </w:r>
            <w:r>
              <w:rPr>
                <w:rFonts w:hint="eastAsia"/>
                <w:sz w:val="24"/>
                <w:szCs w:val="22"/>
              </w:rPr>
              <w:t>王家庄</w:t>
            </w:r>
            <w:r>
              <w:rPr>
                <w:sz w:val="24"/>
                <w:szCs w:val="22"/>
              </w:rPr>
              <w:t>村。因此，项目施工时不会对周围敏感点环境空气质量产生不利影响。</w:t>
            </w:r>
          </w:p>
          <w:p>
            <w:pPr>
              <w:spacing w:line="360" w:lineRule="auto"/>
              <w:ind w:firstLine="480"/>
              <w:rPr>
                <w:color w:val="000000"/>
                <w:sz w:val="24"/>
                <w:szCs w:val="22"/>
              </w:rPr>
            </w:pPr>
            <w:r>
              <w:rPr>
                <w:color w:val="000000"/>
                <w:sz w:val="24"/>
                <w:szCs w:val="22"/>
              </w:rPr>
              <w:t>（3）施工期扬尘污染防治措施</w:t>
            </w:r>
          </w:p>
          <w:p>
            <w:pPr>
              <w:spacing w:line="360" w:lineRule="auto"/>
              <w:ind w:firstLine="480"/>
              <w:rPr>
                <w:color w:val="000000"/>
                <w:sz w:val="24"/>
                <w:szCs w:val="22"/>
              </w:rPr>
            </w:pPr>
            <w:r>
              <w:rPr>
                <w:color w:val="000000"/>
                <w:sz w:val="24"/>
                <w:szCs w:val="22"/>
              </w:rPr>
              <w:t>为有效控制施工期扬尘影响，本评价要求建设单位按照《防治城市扬尘污染防治技术规范》（HJ/T393-2007）、《河北省大气污染防治行动计划实施方案》（2013年9月6日）、《河北省大气污染防治条例》（2016年3月1日）、《关于印发&lt;河北省建筑施工扬尘防治强化措施18条&gt;的通知》（冀建安[2016]27号）、《关于印发&lt;河北省建筑施工扬尘治理方案&gt;的通知》（冀建安[2017]9号）、《河北省人民代表大会常务委员会关于加强扬尘污染防治的决定》（2018年11月1日）等相关文件中有关扬尘的管理规定，采取合理的扬尘防治措施，确保项目建设期对周围大气环境产生尽可能小的影响。具体要求如下：</w:t>
            </w:r>
          </w:p>
          <w:p>
            <w:pPr>
              <w:spacing w:line="360" w:lineRule="auto"/>
              <w:ind w:firstLine="480"/>
              <w:rPr>
                <w:color w:val="000000"/>
                <w:sz w:val="24"/>
                <w:szCs w:val="22"/>
              </w:rPr>
            </w:pPr>
            <w:r>
              <w:rPr>
                <w:rFonts w:hint="eastAsia" w:ascii="宋体" w:hAnsi="宋体" w:cs="宋体"/>
                <w:color w:val="000000"/>
                <w:sz w:val="24"/>
                <w:szCs w:val="22"/>
              </w:rPr>
              <w:t>①</w:t>
            </w:r>
            <w:r>
              <w:rPr>
                <w:color w:val="000000"/>
                <w:sz w:val="24"/>
                <w:szCs w:val="22"/>
              </w:rPr>
              <w:t>施工期间，施工单位按照要求设置标志牌；</w:t>
            </w:r>
          </w:p>
          <w:p>
            <w:pPr>
              <w:spacing w:line="360" w:lineRule="auto"/>
              <w:ind w:firstLine="480"/>
              <w:rPr>
                <w:color w:val="000000"/>
                <w:sz w:val="24"/>
                <w:szCs w:val="22"/>
              </w:rPr>
            </w:pPr>
            <w:r>
              <w:rPr>
                <w:rFonts w:hint="eastAsia" w:ascii="宋体" w:hAnsi="宋体" w:cs="宋体"/>
                <w:color w:val="000000"/>
                <w:sz w:val="24"/>
                <w:szCs w:val="22"/>
              </w:rPr>
              <w:t>②</w:t>
            </w:r>
            <w:r>
              <w:rPr>
                <w:color w:val="000000"/>
                <w:sz w:val="24"/>
                <w:szCs w:val="22"/>
              </w:rPr>
              <w:t>施工现场必须连续设置硬质围挡，严禁围挡不严或敞开式施工，高度不低于1.8米；</w:t>
            </w:r>
          </w:p>
          <w:p>
            <w:pPr>
              <w:spacing w:line="360" w:lineRule="auto"/>
              <w:ind w:firstLine="480"/>
              <w:rPr>
                <w:color w:val="000000"/>
                <w:sz w:val="24"/>
                <w:szCs w:val="22"/>
              </w:rPr>
            </w:pPr>
            <w:r>
              <w:rPr>
                <w:rFonts w:hint="eastAsia" w:ascii="宋体" w:hAnsi="宋体" w:cs="宋体"/>
                <w:color w:val="000000"/>
                <w:sz w:val="24"/>
                <w:szCs w:val="22"/>
              </w:rPr>
              <w:t>③</w:t>
            </w:r>
            <w:r>
              <w:rPr>
                <w:color w:val="000000"/>
                <w:sz w:val="24"/>
                <w:szCs w:val="22"/>
              </w:rPr>
              <w:t>对施工现场实行分区管理，对主要出入口、主要道路及材料加工区、堆放区、生活区、办公区的地面按规定进行硬化处理；</w:t>
            </w:r>
          </w:p>
          <w:p>
            <w:pPr>
              <w:spacing w:line="360" w:lineRule="auto"/>
              <w:ind w:firstLine="480"/>
              <w:rPr>
                <w:color w:val="000000"/>
                <w:sz w:val="24"/>
                <w:szCs w:val="22"/>
              </w:rPr>
            </w:pPr>
            <w:r>
              <w:rPr>
                <w:rFonts w:hint="eastAsia" w:ascii="宋体" w:hAnsi="宋体" w:cs="宋体"/>
                <w:color w:val="000000"/>
                <w:sz w:val="24"/>
                <w:szCs w:val="22"/>
              </w:rPr>
              <w:t>④</w:t>
            </w:r>
            <w:r>
              <w:rPr>
                <w:color w:val="000000"/>
                <w:sz w:val="24"/>
                <w:szCs w:val="22"/>
              </w:rPr>
              <w:t>在施工现场出口处设置车辆冲洗设施并配套设置排水、泥浆沉淀设施，建立冲洗制度并设专人管理，施工车辆不得带泥上路行驶，施工现场道路以及出口周边的道路不得存留建筑垃圾和泥土；</w:t>
            </w:r>
          </w:p>
          <w:p>
            <w:pPr>
              <w:spacing w:line="360" w:lineRule="auto"/>
              <w:ind w:firstLine="480"/>
              <w:rPr>
                <w:color w:val="000000"/>
                <w:sz w:val="24"/>
                <w:szCs w:val="22"/>
              </w:rPr>
            </w:pPr>
            <w:r>
              <w:rPr>
                <w:rFonts w:hint="eastAsia" w:ascii="宋体" w:hAnsi="宋体" w:cs="宋体"/>
                <w:color w:val="000000"/>
                <w:sz w:val="24"/>
                <w:szCs w:val="22"/>
              </w:rPr>
              <w:t>⑤</w:t>
            </w:r>
            <w:r>
              <w:rPr>
                <w:color w:val="000000"/>
                <w:sz w:val="24"/>
                <w:szCs w:val="22"/>
              </w:rPr>
              <w:t>施工现场易产生扬尘的建筑材料采取密闭储存等防尘措施，建筑垃圾必须设置垃圾存放点并及时清运，施工现场集中堆放的土方和裸露场地必须采取覆盖、固化或绿化等降尘措施，严禁裸露；</w:t>
            </w:r>
          </w:p>
          <w:p>
            <w:pPr>
              <w:spacing w:line="360" w:lineRule="auto"/>
              <w:ind w:firstLine="480"/>
              <w:rPr>
                <w:color w:val="000000"/>
                <w:sz w:val="24"/>
                <w:szCs w:val="22"/>
              </w:rPr>
            </w:pPr>
            <w:r>
              <w:rPr>
                <w:rFonts w:hint="eastAsia" w:ascii="宋体" w:hAnsi="宋体" w:cs="宋体"/>
                <w:color w:val="000000"/>
                <w:sz w:val="24"/>
                <w:szCs w:val="22"/>
              </w:rPr>
              <w:t>⑥</w:t>
            </w:r>
            <w:r>
              <w:rPr>
                <w:color w:val="000000"/>
                <w:sz w:val="24"/>
                <w:szCs w:val="22"/>
              </w:rPr>
              <w:t>施工现场运送土方、渣土的车辆必须封闭或遮盖严密，严禁使用未办理相关手续的渣土等运输车辆，严禁沿路遗撒和随意倾倒，车辆应按照批准的路线和时间进行物料、渣土、垃圾的运输；</w:t>
            </w:r>
          </w:p>
          <w:p>
            <w:pPr>
              <w:spacing w:line="360" w:lineRule="auto"/>
              <w:ind w:firstLine="480"/>
              <w:rPr>
                <w:color w:val="000000"/>
                <w:sz w:val="24"/>
                <w:szCs w:val="22"/>
              </w:rPr>
            </w:pPr>
            <w:r>
              <w:rPr>
                <w:rFonts w:hint="eastAsia" w:ascii="宋体" w:hAnsi="宋体" w:cs="宋体"/>
                <w:color w:val="000000"/>
                <w:sz w:val="24"/>
                <w:szCs w:val="22"/>
              </w:rPr>
              <w:t>⑦</w:t>
            </w:r>
            <w:r>
              <w:rPr>
                <w:color w:val="000000"/>
                <w:sz w:val="24"/>
                <w:szCs w:val="22"/>
              </w:rPr>
              <w:t>施工现场建立洒水清扫抑尘制度，遇到干燥、易起尘的土方工程作业时，应辅以洒水压尘，尽量缩短起尘操作时间；</w:t>
            </w:r>
          </w:p>
          <w:p>
            <w:pPr>
              <w:spacing w:line="360" w:lineRule="auto"/>
              <w:ind w:firstLine="480"/>
              <w:rPr>
                <w:color w:val="000000"/>
                <w:sz w:val="24"/>
                <w:szCs w:val="22"/>
              </w:rPr>
            </w:pPr>
            <w:r>
              <w:rPr>
                <w:rFonts w:hint="eastAsia" w:ascii="宋体" w:hAnsi="宋体" w:cs="宋体"/>
                <w:color w:val="000000"/>
                <w:sz w:val="24"/>
                <w:szCs w:val="22"/>
              </w:rPr>
              <w:t>⑧</w:t>
            </w:r>
            <w:r>
              <w:rPr>
                <w:color w:val="000000"/>
                <w:sz w:val="24"/>
                <w:szCs w:val="22"/>
              </w:rPr>
              <w:t>具备条件的地区施工现场必须使用商品混凝土、预拌砂浆，严禁现场搅拌；不具备条件的地区，现场搅拌砂浆必须搭设封闭式搅拌机棚；</w:t>
            </w:r>
          </w:p>
          <w:p>
            <w:pPr>
              <w:spacing w:line="360" w:lineRule="auto"/>
              <w:ind w:firstLine="480"/>
              <w:rPr>
                <w:color w:val="000000"/>
                <w:sz w:val="24"/>
                <w:szCs w:val="22"/>
              </w:rPr>
            </w:pPr>
            <w:r>
              <w:rPr>
                <w:rFonts w:hint="eastAsia" w:ascii="宋体" w:hAnsi="宋体" w:cs="宋体"/>
                <w:color w:val="000000"/>
                <w:sz w:val="24"/>
                <w:szCs w:val="22"/>
              </w:rPr>
              <w:t>⑨</w:t>
            </w:r>
            <w:r>
              <w:rPr>
                <w:color w:val="000000"/>
                <w:sz w:val="24"/>
                <w:szCs w:val="22"/>
              </w:rPr>
              <w:t>施工现场出入口、加工区和主作业区等处安装远程视频监控系统，对施工扬尘实时监控；</w:t>
            </w:r>
          </w:p>
          <w:p>
            <w:pPr>
              <w:spacing w:line="360" w:lineRule="auto"/>
              <w:ind w:firstLine="480"/>
              <w:rPr>
                <w:color w:val="000000"/>
                <w:sz w:val="24"/>
                <w:szCs w:val="22"/>
              </w:rPr>
            </w:pPr>
            <w:r>
              <w:rPr>
                <w:color w:val="000000"/>
                <w:sz w:val="24"/>
                <w:szCs w:val="22"/>
              </w:rPr>
              <w:t>采取上述措施后，可有效降低施工扬尘污染，</w:t>
            </w:r>
            <w:r>
              <w:rPr>
                <w:kern w:val="0"/>
                <w:sz w:val="24"/>
                <w:szCs w:val="24"/>
              </w:rPr>
              <w:t>施工期扬尘可满足河北省《施工场地扬尘排放标准》（DB13/2934-2019）表1扬尘排放浓度限值（监测点浓度限值PM</w:t>
            </w:r>
            <w:r>
              <w:rPr>
                <w:kern w:val="0"/>
                <w:sz w:val="24"/>
                <w:szCs w:val="24"/>
                <w:vertAlign w:val="subscript"/>
              </w:rPr>
              <w:t>10</w:t>
            </w:r>
            <w:r>
              <w:rPr>
                <w:kern w:val="0"/>
                <w:sz w:val="24"/>
                <w:szCs w:val="24"/>
              </w:rPr>
              <w:t>≤80</w:t>
            </w:r>
            <w:r>
              <w:rPr>
                <w:sz w:val="24"/>
                <w:szCs w:val="24"/>
                <w:lang w:val="zh-CN"/>
              </w:rPr>
              <w:t>μg/m</w:t>
            </w:r>
            <w:r>
              <w:rPr>
                <w:sz w:val="24"/>
                <w:szCs w:val="24"/>
                <w:vertAlign w:val="superscript"/>
                <w:lang w:val="zh-CN"/>
              </w:rPr>
              <w:t>3</w:t>
            </w:r>
            <w:r>
              <w:rPr>
                <w:kern w:val="0"/>
                <w:sz w:val="24"/>
                <w:szCs w:val="24"/>
              </w:rPr>
              <w:t>）。</w:t>
            </w:r>
          </w:p>
          <w:p>
            <w:pPr>
              <w:widowControl/>
              <w:spacing w:line="360" w:lineRule="auto"/>
              <w:ind w:firstLine="482" w:firstLineChars="200"/>
              <w:rPr>
                <w:bCs/>
                <w:color w:val="000000"/>
                <w:kern w:val="0"/>
                <w:sz w:val="24"/>
                <w:szCs w:val="24"/>
              </w:rPr>
            </w:pPr>
            <w:r>
              <w:rPr>
                <w:b/>
                <w:color w:val="000000"/>
                <w:kern w:val="0"/>
                <w:sz w:val="24"/>
                <w:szCs w:val="24"/>
              </w:rPr>
              <w:t>2、施工废水影响分析</w:t>
            </w:r>
          </w:p>
          <w:p>
            <w:pPr>
              <w:spacing w:line="360" w:lineRule="auto"/>
              <w:ind w:firstLine="480"/>
              <w:rPr>
                <w:sz w:val="24"/>
                <w:szCs w:val="24"/>
              </w:rPr>
            </w:pPr>
            <w:r>
              <w:rPr>
                <w:sz w:val="24"/>
                <w:szCs w:val="24"/>
              </w:rPr>
              <w:t>施工废水主要为施工人员的生活污水，另外砂石冲洗、混凝土养护、场地和设备冲洗等过程也会产生少量废水。针对施工期污水产生过程不连续、废水种类较单一等特点，可采取相应措施有效控制污水中污染物的产生量。施工期间防止水环境污染的主要措施为：</w:t>
            </w:r>
          </w:p>
          <w:p>
            <w:pPr>
              <w:spacing w:line="360" w:lineRule="auto"/>
              <w:ind w:firstLine="480" w:firstLineChars="200"/>
              <w:jc w:val="left"/>
              <w:rPr>
                <w:sz w:val="24"/>
                <w:szCs w:val="24"/>
              </w:rPr>
            </w:pPr>
            <w:r>
              <w:rPr>
                <w:sz w:val="24"/>
                <w:szCs w:val="24"/>
              </w:rPr>
              <w:t>（1）在混凝土输送泵及混凝土运输车清洗处，设置沉淀池，使排放的废水先经沉淀池沉淀后再回收用于场地洒水降尘。</w:t>
            </w:r>
          </w:p>
          <w:p>
            <w:pPr>
              <w:spacing w:line="360" w:lineRule="auto"/>
              <w:ind w:firstLine="480" w:firstLineChars="200"/>
              <w:jc w:val="left"/>
              <w:rPr>
                <w:sz w:val="24"/>
                <w:szCs w:val="24"/>
              </w:rPr>
            </w:pPr>
            <w:r>
              <w:rPr>
                <w:sz w:val="24"/>
                <w:szCs w:val="24"/>
              </w:rPr>
              <w:t>（2）施工期间的用水防止跑、冒、滴、漏，减少无谓用水量。</w:t>
            </w:r>
          </w:p>
          <w:p>
            <w:pPr>
              <w:spacing w:line="360" w:lineRule="auto"/>
              <w:ind w:firstLine="480" w:firstLineChars="200"/>
              <w:jc w:val="left"/>
              <w:rPr>
                <w:sz w:val="24"/>
                <w:szCs w:val="24"/>
              </w:rPr>
            </w:pPr>
            <w:r>
              <w:rPr>
                <w:sz w:val="24"/>
                <w:szCs w:val="24"/>
              </w:rPr>
              <w:t>（3）水泥、黄沙、石灰类的建筑材料需集中堆放，并采取一定的防雨淋措施，及时清扫施工运输过程中抛洒的上述建筑材料，以免这些物质随雨水冲刷，污染地下水。</w:t>
            </w:r>
          </w:p>
          <w:p>
            <w:pPr>
              <w:adjustRightInd w:val="0"/>
              <w:spacing w:line="360" w:lineRule="auto"/>
              <w:ind w:firstLine="480" w:firstLineChars="200"/>
              <w:textAlignment w:val="baseline"/>
              <w:rPr>
                <w:kern w:val="0"/>
                <w:sz w:val="28"/>
                <w:szCs w:val="22"/>
              </w:rPr>
            </w:pPr>
            <w:r>
              <w:rPr>
                <w:kern w:val="0"/>
                <w:sz w:val="24"/>
                <w:szCs w:val="24"/>
              </w:rPr>
              <w:t>（4）施工人员的生活污水排入旱厕，定期清掏，用作农肥。</w:t>
            </w:r>
          </w:p>
          <w:p>
            <w:pPr>
              <w:spacing w:line="360" w:lineRule="auto"/>
              <w:ind w:firstLine="480" w:firstLineChars="200"/>
              <w:jc w:val="left"/>
              <w:rPr>
                <w:sz w:val="24"/>
                <w:szCs w:val="24"/>
              </w:rPr>
            </w:pPr>
            <w:r>
              <w:rPr>
                <w:sz w:val="24"/>
                <w:szCs w:val="24"/>
              </w:rPr>
              <w:t>通过采取以上措施，可有效控制施工废水污染，将施工期对水环境影响降低到最小。</w:t>
            </w:r>
          </w:p>
          <w:p>
            <w:pPr>
              <w:adjustRightInd w:val="0"/>
              <w:spacing w:line="360" w:lineRule="auto"/>
              <w:ind w:firstLine="482" w:firstLineChars="200"/>
              <w:textAlignment w:val="baseline"/>
              <w:rPr>
                <w:b/>
                <w:bCs/>
                <w:sz w:val="24"/>
                <w:szCs w:val="24"/>
              </w:rPr>
            </w:pPr>
            <w:r>
              <w:rPr>
                <w:b/>
                <w:bCs/>
                <w:sz w:val="24"/>
                <w:szCs w:val="24"/>
              </w:rPr>
              <w:t>3、施工噪声影响分析</w:t>
            </w:r>
          </w:p>
          <w:p>
            <w:pPr>
              <w:adjustRightInd w:val="0"/>
              <w:spacing w:line="360" w:lineRule="auto"/>
              <w:ind w:firstLine="480" w:firstLineChars="200"/>
              <w:textAlignment w:val="baseline"/>
              <w:rPr>
                <w:sz w:val="24"/>
                <w:szCs w:val="24"/>
              </w:rPr>
            </w:pPr>
            <w:r>
              <w:rPr>
                <w:sz w:val="24"/>
                <w:szCs w:val="24"/>
              </w:rPr>
              <w:t>（1）噪声源</w:t>
            </w:r>
          </w:p>
          <w:p>
            <w:pPr>
              <w:spacing w:line="360" w:lineRule="auto"/>
              <w:ind w:firstLine="480" w:firstLineChars="200"/>
              <w:rPr>
                <w:sz w:val="24"/>
                <w:szCs w:val="24"/>
              </w:rPr>
            </w:pPr>
            <w:r>
              <w:rPr>
                <w:sz w:val="24"/>
                <w:szCs w:val="24"/>
              </w:rPr>
              <w:t>施工期噪声源特点是间歇或阵发性的，并具备流动性、噪声较高（5m处噪声值81~92dB(A)）的特征，因此在考虑本项目噪声源对环境的影响时，仅考虑点声源到不同距离处经距离衰减后的噪声，再利用能量叠加原理将最大声源对附近敏感点的贡献值与现状值叠加，得到敏感点的噪声预测值。根据类比资料分析，施工期采用的各类施工机械及其产噪声级值见表25。</w:t>
            </w:r>
          </w:p>
          <w:p>
            <w:pPr>
              <w:spacing w:line="360" w:lineRule="auto"/>
              <w:ind w:firstLine="482" w:firstLineChars="200"/>
              <w:jc w:val="center"/>
              <w:rPr>
                <w:b/>
                <w:sz w:val="24"/>
                <w:szCs w:val="24"/>
              </w:rPr>
            </w:pPr>
            <w:bookmarkStart w:id="0" w:name="_Ref349567704"/>
            <w:r>
              <w:rPr>
                <w:b/>
                <w:sz w:val="24"/>
                <w:szCs w:val="24"/>
              </w:rPr>
              <w:t>表</w:t>
            </w:r>
            <w:bookmarkEnd w:id="0"/>
            <w:r>
              <w:rPr>
                <w:b/>
                <w:sz w:val="24"/>
                <w:szCs w:val="24"/>
              </w:rPr>
              <w:t>25  施工设备产噪声级一览表</w:t>
            </w:r>
          </w:p>
          <w:tbl>
            <w:tblPr>
              <w:tblStyle w:val="47"/>
              <w:tblW w:w="812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534"/>
              <w:gridCol w:w="1025"/>
              <w:gridCol w:w="2555"/>
              <w:gridCol w:w="638"/>
              <w:gridCol w:w="1405"/>
              <w:gridCol w:w="196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34" w:type="dxa"/>
                  <w:vAlign w:val="center"/>
                </w:tcPr>
                <w:p>
                  <w:pPr>
                    <w:jc w:val="center"/>
                    <w:rPr>
                      <w:szCs w:val="22"/>
                    </w:rPr>
                  </w:pPr>
                  <w:r>
                    <w:rPr>
                      <w:szCs w:val="22"/>
                    </w:rPr>
                    <w:t>序号</w:t>
                  </w:r>
                </w:p>
              </w:tc>
              <w:tc>
                <w:tcPr>
                  <w:tcW w:w="1025" w:type="dxa"/>
                  <w:vAlign w:val="center"/>
                </w:tcPr>
                <w:p>
                  <w:pPr>
                    <w:jc w:val="center"/>
                    <w:rPr>
                      <w:szCs w:val="22"/>
                    </w:rPr>
                  </w:pPr>
                  <w:r>
                    <w:rPr>
                      <w:szCs w:val="22"/>
                    </w:rPr>
                    <w:t>设备名称</w:t>
                  </w:r>
                </w:p>
              </w:tc>
              <w:tc>
                <w:tcPr>
                  <w:tcW w:w="2555" w:type="dxa"/>
                  <w:vAlign w:val="center"/>
                </w:tcPr>
                <w:p>
                  <w:pPr>
                    <w:jc w:val="center"/>
                    <w:rPr>
                      <w:szCs w:val="22"/>
                    </w:rPr>
                  </w:pPr>
                  <w:r>
                    <w:rPr>
                      <w:szCs w:val="22"/>
                    </w:rPr>
                    <w:t>噪声值/距离dB(A)/m</w:t>
                  </w:r>
                </w:p>
              </w:tc>
              <w:tc>
                <w:tcPr>
                  <w:tcW w:w="638" w:type="dxa"/>
                  <w:vAlign w:val="center"/>
                </w:tcPr>
                <w:p>
                  <w:pPr>
                    <w:jc w:val="center"/>
                    <w:rPr>
                      <w:szCs w:val="22"/>
                    </w:rPr>
                  </w:pPr>
                  <w:r>
                    <w:rPr>
                      <w:szCs w:val="22"/>
                    </w:rPr>
                    <w:t>序号</w:t>
                  </w:r>
                </w:p>
              </w:tc>
              <w:tc>
                <w:tcPr>
                  <w:tcW w:w="1405" w:type="dxa"/>
                  <w:vAlign w:val="center"/>
                </w:tcPr>
                <w:p>
                  <w:pPr>
                    <w:jc w:val="center"/>
                    <w:rPr>
                      <w:szCs w:val="22"/>
                    </w:rPr>
                  </w:pPr>
                  <w:r>
                    <w:rPr>
                      <w:szCs w:val="22"/>
                    </w:rPr>
                    <w:t>设备名称</w:t>
                  </w:r>
                </w:p>
              </w:tc>
              <w:tc>
                <w:tcPr>
                  <w:tcW w:w="1966" w:type="dxa"/>
                  <w:vAlign w:val="center"/>
                </w:tcPr>
                <w:p>
                  <w:pPr>
                    <w:jc w:val="center"/>
                    <w:rPr>
                      <w:szCs w:val="22"/>
                    </w:rPr>
                  </w:pPr>
                  <w:r>
                    <w:rPr>
                      <w:szCs w:val="22"/>
                    </w:rPr>
                    <w:t>噪声值/距离dB(A)/m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34" w:type="dxa"/>
                  <w:vAlign w:val="center"/>
                </w:tcPr>
                <w:p>
                  <w:pPr>
                    <w:jc w:val="center"/>
                    <w:rPr>
                      <w:szCs w:val="22"/>
                    </w:rPr>
                  </w:pPr>
                  <w:r>
                    <w:rPr>
                      <w:szCs w:val="22"/>
                    </w:rPr>
                    <w:t>1</w:t>
                  </w:r>
                </w:p>
              </w:tc>
              <w:tc>
                <w:tcPr>
                  <w:tcW w:w="1025" w:type="dxa"/>
                  <w:vAlign w:val="center"/>
                </w:tcPr>
                <w:p>
                  <w:pPr>
                    <w:jc w:val="center"/>
                    <w:rPr>
                      <w:szCs w:val="22"/>
                    </w:rPr>
                  </w:pPr>
                  <w:r>
                    <w:rPr>
                      <w:szCs w:val="22"/>
                    </w:rPr>
                    <w:t>装载机</w:t>
                  </w:r>
                </w:p>
              </w:tc>
              <w:tc>
                <w:tcPr>
                  <w:tcW w:w="2555" w:type="dxa"/>
                  <w:vAlign w:val="center"/>
                </w:tcPr>
                <w:p>
                  <w:pPr>
                    <w:jc w:val="center"/>
                    <w:rPr>
                      <w:szCs w:val="22"/>
                    </w:rPr>
                  </w:pPr>
                  <w:r>
                    <w:rPr>
                      <w:szCs w:val="22"/>
                    </w:rPr>
                    <w:t>95/2</w:t>
                  </w:r>
                </w:p>
              </w:tc>
              <w:tc>
                <w:tcPr>
                  <w:tcW w:w="638" w:type="dxa"/>
                  <w:vAlign w:val="center"/>
                </w:tcPr>
                <w:p>
                  <w:pPr>
                    <w:jc w:val="center"/>
                    <w:rPr>
                      <w:szCs w:val="22"/>
                    </w:rPr>
                  </w:pPr>
                  <w:r>
                    <w:rPr>
                      <w:szCs w:val="22"/>
                    </w:rPr>
                    <w:t>4</w:t>
                  </w:r>
                </w:p>
              </w:tc>
              <w:tc>
                <w:tcPr>
                  <w:tcW w:w="1405" w:type="dxa"/>
                  <w:vAlign w:val="center"/>
                </w:tcPr>
                <w:p>
                  <w:pPr>
                    <w:jc w:val="center"/>
                    <w:rPr>
                      <w:szCs w:val="22"/>
                    </w:rPr>
                  </w:pPr>
                  <w:r>
                    <w:rPr>
                      <w:szCs w:val="22"/>
                    </w:rPr>
                    <w:t>夯土机</w:t>
                  </w:r>
                </w:p>
              </w:tc>
              <w:tc>
                <w:tcPr>
                  <w:tcW w:w="1966" w:type="dxa"/>
                  <w:vAlign w:val="center"/>
                </w:tcPr>
                <w:p>
                  <w:pPr>
                    <w:jc w:val="center"/>
                    <w:rPr>
                      <w:szCs w:val="22"/>
                    </w:rPr>
                  </w:pPr>
                  <w:r>
                    <w:rPr>
                      <w:szCs w:val="22"/>
                    </w:rPr>
                    <w:t>90/2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34" w:type="dxa"/>
                  <w:vAlign w:val="center"/>
                </w:tcPr>
                <w:p>
                  <w:pPr>
                    <w:jc w:val="center"/>
                    <w:rPr>
                      <w:szCs w:val="22"/>
                    </w:rPr>
                  </w:pPr>
                  <w:r>
                    <w:rPr>
                      <w:szCs w:val="22"/>
                    </w:rPr>
                    <w:t>2</w:t>
                  </w:r>
                </w:p>
              </w:tc>
              <w:tc>
                <w:tcPr>
                  <w:tcW w:w="1025" w:type="dxa"/>
                  <w:vAlign w:val="center"/>
                </w:tcPr>
                <w:p>
                  <w:pPr>
                    <w:jc w:val="center"/>
                    <w:rPr>
                      <w:szCs w:val="22"/>
                    </w:rPr>
                  </w:pPr>
                  <w:r>
                    <w:rPr>
                      <w:szCs w:val="22"/>
                    </w:rPr>
                    <w:t>挖掘机</w:t>
                  </w:r>
                </w:p>
              </w:tc>
              <w:tc>
                <w:tcPr>
                  <w:tcW w:w="2555" w:type="dxa"/>
                  <w:vAlign w:val="center"/>
                </w:tcPr>
                <w:p>
                  <w:pPr>
                    <w:jc w:val="center"/>
                    <w:rPr>
                      <w:szCs w:val="22"/>
                    </w:rPr>
                  </w:pPr>
                  <w:r>
                    <w:rPr>
                      <w:szCs w:val="22"/>
                    </w:rPr>
                    <w:t>84/5</w:t>
                  </w:r>
                </w:p>
              </w:tc>
              <w:tc>
                <w:tcPr>
                  <w:tcW w:w="638" w:type="dxa"/>
                  <w:vAlign w:val="center"/>
                </w:tcPr>
                <w:p>
                  <w:pPr>
                    <w:jc w:val="center"/>
                    <w:rPr>
                      <w:szCs w:val="22"/>
                    </w:rPr>
                  </w:pPr>
                  <w:r>
                    <w:rPr>
                      <w:szCs w:val="22"/>
                    </w:rPr>
                    <w:t>5</w:t>
                  </w:r>
                </w:p>
              </w:tc>
              <w:tc>
                <w:tcPr>
                  <w:tcW w:w="1405" w:type="dxa"/>
                  <w:vAlign w:val="center"/>
                </w:tcPr>
                <w:p>
                  <w:pPr>
                    <w:jc w:val="center"/>
                    <w:rPr>
                      <w:szCs w:val="22"/>
                    </w:rPr>
                  </w:pPr>
                  <w:r>
                    <w:rPr>
                      <w:szCs w:val="22"/>
                    </w:rPr>
                    <w:t>电锯、电刨</w:t>
                  </w:r>
                </w:p>
              </w:tc>
              <w:tc>
                <w:tcPr>
                  <w:tcW w:w="1966" w:type="dxa"/>
                  <w:vAlign w:val="center"/>
                </w:tcPr>
                <w:p>
                  <w:pPr>
                    <w:jc w:val="center"/>
                    <w:rPr>
                      <w:szCs w:val="22"/>
                    </w:rPr>
                  </w:pPr>
                  <w:r>
                    <w:rPr>
                      <w:szCs w:val="22"/>
                    </w:rPr>
                    <w:t>103/1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34" w:type="dxa"/>
                  <w:vAlign w:val="center"/>
                </w:tcPr>
                <w:p>
                  <w:pPr>
                    <w:jc w:val="center"/>
                    <w:rPr>
                      <w:szCs w:val="22"/>
                    </w:rPr>
                  </w:pPr>
                  <w:r>
                    <w:rPr>
                      <w:szCs w:val="22"/>
                    </w:rPr>
                    <w:t>3</w:t>
                  </w:r>
                </w:p>
              </w:tc>
              <w:tc>
                <w:tcPr>
                  <w:tcW w:w="1025" w:type="dxa"/>
                  <w:vAlign w:val="center"/>
                </w:tcPr>
                <w:p>
                  <w:pPr>
                    <w:jc w:val="center"/>
                    <w:rPr>
                      <w:szCs w:val="22"/>
                    </w:rPr>
                  </w:pPr>
                  <w:r>
                    <w:rPr>
                      <w:szCs w:val="22"/>
                    </w:rPr>
                    <w:t>推土机</w:t>
                  </w:r>
                </w:p>
              </w:tc>
              <w:tc>
                <w:tcPr>
                  <w:tcW w:w="2555" w:type="dxa"/>
                  <w:vAlign w:val="center"/>
                </w:tcPr>
                <w:p>
                  <w:pPr>
                    <w:jc w:val="center"/>
                    <w:rPr>
                      <w:szCs w:val="22"/>
                    </w:rPr>
                  </w:pPr>
                  <w:r>
                    <w:rPr>
                      <w:szCs w:val="22"/>
                    </w:rPr>
                    <w:t>86/3</w:t>
                  </w:r>
                </w:p>
              </w:tc>
              <w:tc>
                <w:tcPr>
                  <w:tcW w:w="638" w:type="dxa"/>
                  <w:vAlign w:val="center"/>
                </w:tcPr>
                <w:p>
                  <w:pPr>
                    <w:jc w:val="center"/>
                    <w:rPr>
                      <w:szCs w:val="22"/>
                    </w:rPr>
                  </w:pPr>
                  <w:r>
                    <w:rPr>
                      <w:szCs w:val="22"/>
                    </w:rPr>
                    <w:t>6</w:t>
                  </w:r>
                </w:p>
              </w:tc>
              <w:tc>
                <w:tcPr>
                  <w:tcW w:w="1405" w:type="dxa"/>
                  <w:vAlign w:val="center"/>
                </w:tcPr>
                <w:p>
                  <w:pPr>
                    <w:jc w:val="center"/>
                    <w:rPr>
                      <w:szCs w:val="22"/>
                    </w:rPr>
                  </w:pPr>
                  <w:r>
                    <w:rPr>
                      <w:szCs w:val="22"/>
                    </w:rPr>
                    <w:t>运输车辆</w:t>
                  </w:r>
                </w:p>
              </w:tc>
              <w:tc>
                <w:tcPr>
                  <w:tcW w:w="1966" w:type="dxa"/>
                  <w:vAlign w:val="center"/>
                </w:tcPr>
                <w:p>
                  <w:pPr>
                    <w:jc w:val="center"/>
                    <w:rPr>
                      <w:szCs w:val="22"/>
                    </w:rPr>
                  </w:pPr>
                  <w:r>
                    <w:rPr>
                      <w:szCs w:val="22"/>
                    </w:rPr>
                    <w:t>94/2</w:t>
                  </w:r>
                </w:p>
              </w:tc>
            </w:tr>
          </w:tbl>
          <w:p>
            <w:pPr>
              <w:keepNext/>
              <w:keepLines/>
              <w:spacing w:line="360" w:lineRule="auto"/>
              <w:ind w:firstLine="480" w:firstLineChars="200"/>
              <w:outlineLvl w:val="2"/>
              <w:rPr>
                <w:rFonts w:eastAsiaTheme="majorEastAsia"/>
                <w:bCs/>
                <w:sz w:val="24"/>
                <w:szCs w:val="24"/>
              </w:rPr>
            </w:pPr>
            <w:r>
              <w:rPr>
                <w:rFonts w:eastAsiaTheme="majorEastAsia"/>
                <w:bCs/>
                <w:sz w:val="24"/>
                <w:szCs w:val="24"/>
              </w:rPr>
              <w:t>（2）噪声预测模式</w:t>
            </w:r>
          </w:p>
          <w:p>
            <w:pPr>
              <w:spacing w:line="360" w:lineRule="auto"/>
              <w:ind w:firstLine="480"/>
              <w:rPr>
                <w:color w:val="000000"/>
                <w:sz w:val="24"/>
                <w:szCs w:val="24"/>
              </w:rPr>
            </w:pPr>
            <w:r>
              <w:rPr>
                <w:color w:val="000000"/>
                <w:sz w:val="24"/>
                <w:szCs w:val="24"/>
              </w:rPr>
              <w:t>采用的声级衰减模式为：</w:t>
            </w:r>
          </w:p>
          <w:p>
            <w:pPr>
              <w:spacing w:line="360" w:lineRule="auto"/>
              <w:ind w:firstLine="480"/>
              <w:rPr>
                <w:color w:val="000000"/>
                <w:sz w:val="24"/>
                <w:szCs w:val="24"/>
              </w:rPr>
            </w:pPr>
            <w:r>
              <w:rPr>
                <w:color w:val="000000"/>
                <w:sz w:val="24"/>
                <w:szCs w:val="24"/>
              </w:rPr>
              <w:t>L</w:t>
            </w:r>
            <w:r>
              <w:rPr>
                <w:color w:val="000000"/>
                <w:sz w:val="24"/>
                <w:szCs w:val="24"/>
                <w:vertAlign w:val="subscript"/>
              </w:rPr>
              <w:t>A(r)</w:t>
            </w:r>
            <w:r>
              <w:rPr>
                <w:color w:val="000000"/>
                <w:sz w:val="24"/>
                <w:szCs w:val="24"/>
              </w:rPr>
              <w:t>=L</w:t>
            </w:r>
            <w:r>
              <w:rPr>
                <w:color w:val="000000"/>
                <w:sz w:val="24"/>
                <w:szCs w:val="24"/>
                <w:vertAlign w:val="subscript"/>
              </w:rPr>
              <w:t>A(r0)</w:t>
            </w:r>
            <w:r>
              <w:rPr>
                <w:color w:val="000000"/>
                <w:sz w:val="24"/>
                <w:szCs w:val="24"/>
              </w:rPr>
              <w:t>-20lg(r/r</w:t>
            </w:r>
            <w:r>
              <w:rPr>
                <w:color w:val="000000"/>
                <w:sz w:val="24"/>
                <w:szCs w:val="24"/>
                <w:vertAlign w:val="subscript"/>
              </w:rPr>
              <w:t>0</w:t>
            </w:r>
            <w:r>
              <w:rPr>
                <w:color w:val="000000"/>
                <w:sz w:val="24"/>
                <w:szCs w:val="24"/>
              </w:rPr>
              <w:t>)</w:t>
            </w:r>
          </w:p>
          <w:p>
            <w:pPr>
              <w:spacing w:line="360" w:lineRule="auto"/>
              <w:ind w:firstLine="480"/>
              <w:rPr>
                <w:color w:val="000000"/>
                <w:sz w:val="24"/>
                <w:szCs w:val="24"/>
              </w:rPr>
            </w:pPr>
            <w:r>
              <w:rPr>
                <w:color w:val="000000"/>
                <w:sz w:val="24"/>
                <w:szCs w:val="24"/>
              </w:rPr>
              <w:t>式中：L</w:t>
            </w:r>
            <w:r>
              <w:rPr>
                <w:color w:val="000000"/>
                <w:sz w:val="24"/>
                <w:szCs w:val="24"/>
                <w:vertAlign w:val="subscript"/>
              </w:rPr>
              <w:t>A(r)</w:t>
            </w:r>
            <w:r>
              <w:rPr>
                <w:color w:val="000000"/>
                <w:sz w:val="24"/>
                <w:szCs w:val="24"/>
              </w:rPr>
              <w:t>——距声源r处的A声级，dB(A)；</w:t>
            </w:r>
          </w:p>
          <w:p>
            <w:pPr>
              <w:spacing w:line="360" w:lineRule="auto"/>
              <w:ind w:firstLine="1200" w:firstLineChars="500"/>
              <w:rPr>
                <w:color w:val="000000"/>
                <w:sz w:val="24"/>
                <w:szCs w:val="24"/>
              </w:rPr>
            </w:pPr>
            <w:r>
              <w:rPr>
                <w:color w:val="000000"/>
                <w:sz w:val="24"/>
                <w:szCs w:val="24"/>
              </w:rPr>
              <w:t>L</w:t>
            </w:r>
            <w:r>
              <w:rPr>
                <w:color w:val="000000"/>
                <w:sz w:val="24"/>
                <w:szCs w:val="24"/>
                <w:vertAlign w:val="subscript"/>
              </w:rPr>
              <w:t>A(r0)</w:t>
            </w:r>
            <w:r>
              <w:rPr>
                <w:color w:val="000000"/>
                <w:sz w:val="24"/>
                <w:szCs w:val="24"/>
              </w:rPr>
              <w:t>——距声源r</w:t>
            </w:r>
            <w:r>
              <w:rPr>
                <w:color w:val="000000"/>
                <w:sz w:val="24"/>
                <w:szCs w:val="24"/>
                <w:vertAlign w:val="subscript"/>
              </w:rPr>
              <w:t>0</w:t>
            </w:r>
            <w:r>
              <w:rPr>
                <w:color w:val="000000"/>
                <w:sz w:val="24"/>
                <w:szCs w:val="24"/>
              </w:rPr>
              <w:t>处的A声级，dB(A)；</w:t>
            </w:r>
          </w:p>
          <w:p>
            <w:pPr>
              <w:spacing w:line="360" w:lineRule="auto"/>
              <w:ind w:firstLine="1200" w:firstLineChars="500"/>
              <w:rPr>
                <w:color w:val="000000"/>
                <w:sz w:val="24"/>
                <w:szCs w:val="24"/>
              </w:rPr>
            </w:pPr>
            <w:r>
              <w:rPr>
                <w:color w:val="000000"/>
                <w:sz w:val="24"/>
                <w:szCs w:val="24"/>
              </w:rPr>
              <w:t>r——距声源的距离，m；</w:t>
            </w:r>
          </w:p>
          <w:p>
            <w:pPr>
              <w:spacing w:line="360" w:lineRule="auto"/>
              <w:ind w:firstLine="1200" w:firstLineChars="500"/>
              <w:rPr>
                <w:color w:val="000000"/>
                <w:sz w:val="24"/>
                <w:szCs w:val="24"/>
              </w:rPr>
            </w:pPr>
            <w:r>
              <w:rPr>
                <w:color w:val="000000"/>
                <w:sz w:val="24"/>
                <w:szCs w:val="24"/>
              </w:rPr>
              <w:t>r</w:t>
            </w:r>
            <w:r>
              <w:rPr>
                <w:color w:val="000000"/>
                <w:sz w:val="24"/>
                <w:szCs w:val="24"/>
                <w:vertAlign w:val="subscript"/>
              </w:rPr>
              <w:t>0</w:t>
            </w:r>
            <w:r>
              <w:rPr>
                <w:color w:val="000000"/>
                <w:sz w:val="24"/>
                <w:szCs w:val="24"/>
              </w:rPr>
              <w:t>——距声源的距离，m。</w:t>
            </w:r>
          </w:p>
          <w:p>
            <w:pPr>
              <w:spacing w:line="360" w:lineRule="auto"/>
              <w:ind w:firstLine="480"/>
              <w:rPr>
                <w:color w:val="000000"/>
                <w:sz w:val="24"/>
                <w:szCs w:val="24"/>
              </w:rPr>
            </w:pPr>
            <w:r>
              <w:rPr>
                <w:color w:val="000000"/>
                <w:sz w:val="24"/>
                <w:szCs w:val="24"/>
              </w:rPr>
              <w:t>采用的声级叠加模式为：</w:t>
            </w:r>
          </w:p>
          <w:p>
            <w:pPr>
              <w:tabs>
                <w:tab w:val="left" w:pos="2948"/>
              </w:tabs>
              <w:spacing w:line="360" w:lineRule="auto"/>
              <w:ind w:firstLine="480"/>
              <w:rPr>
                <w:color w:val="000000"/>
                <w:sz w:val="24"/>
                <w:szCs w:val="24"/>
              </w:rPr>
            </w:pPr>
            <w:r>
              <w:rPr>
                <w:color w:val="000000"/>
                <w:position w:val="-16"/>
                <w:sz w:val="24"/>
                <w:szCs w:val="24"/>
              </w:rPr>
              <w:object>
                <v:shape id="_x0000_i1026" o:spt="75" type="#_x0000_t75" style="height:21pt;width:164.25pt;" o:ole="t" filled="f" o:preferrelative="t" stroked="f" coordsize="21600,21600">
                  <v:path/>
                  <v:fill on="f" focussize="0,0"/>
                  <v:stroke on="f" joinstyle="miter"/>
                  <v:imagedata r:id="rId15" o:title=""/>
                  <o:lock v:ext="edit" aspectratio="t"/>
                  <w10:wrap type="none"/>
                  <w10:anchorlock/>
                </v:shape>
                <o:OLEObject Type="Embed" ProgID="Equation.DSMT4" ShapeID="_x0000_i1026" DrawAspect="Content" ObjectID="_1468075726" r:id="rId14">
                  <o:LockedField>false</o:LockedField>
                </o:OLEObject>
              </w:object>
            </w:r>
            <w:r>
              <w:rPr>
                <w:color w:val="000000"/>
                <w:sz w:val="24"/>
                <w:szCs w:val="24"/>
              </w:rPr>
              <w:tab/>
            </w:r>
          </w:p>
          <w:p>
            <w:pPr>
              <w:spacing w:line="360" w:lineRule="auto"/>
              <w:ind w:firstLine="480"/>
              <w:rPr>
                <w:color w:val="000000"/>
                <w:sz w:val="24"/>
                <w:szCs w:val="24"/>
              </w:rPr>
            </w:pPr>
            <w:r>
              <w:rPr>
                <w:color w:val="000000"/>
                <w:sz w:val="24"/>
                <w:szCs w:val="24"/>
              </w:rPr>
              <w:t>式中：L</w:t>
            </w:r>
            <w:r>
              <w:rPr>
                <w:color w:val="000000"/>
                <w:sz w:val="24"/>
                <w:szCs w:val="24"/>
                <w:vertAlign w:val="subscript"/>
              </w:rPr>
              <w:t>A</w:t>
            </w:r>
            <w:r>
              <w:rPr>
                <w:color w:val="000000"/>
                <w:sz w:val="24"/>
                <w:szCs w:val="24"/>
              </w:rPr>
              <w:t>——对预测点的等效A声级预测值，dB(A)；</w:t>
            </w:r>
          </w:p>
          <w:p>
            <w:pPr>
              <w:spacing w:line="360" w:lineRule="auto"/>
              <w:ind w:firstLine="1200" w:firstLineChars="500"/>
              <w:rPr>
                <w:color w:val="000000"/>
                <w:szCs w:val="22"/>
              </w:rPr>
            </w:pPr>
            <w:r>
              <w:rPr>
                <w:color w:val="000000"/>
                <w:sz w:val="24"/>
                <w:szCs w:val="24"/>
              </w:rPr>
              <w:t>L</w:t>
            </w:r>
            <w:r>
              <w:rPr>
                <w:color w:val="000000"/>
                <w:sz w:val="24"/>
                <w:szCs w:val="24"/>
                <w:vertAlign w:val="subscript"/>
              </w:rPr>
              <w:t>A(i)</w:t>
            </w:r>
            <w:r>
              <w:rPr>
                <w:color w:val="000000"/>
                <w:sz w:val="24"/>
                <w:szCs w:val="24"/>
              </w:rPr>
              <w:t>——对i个等效声源在预测点产生的A声级，dB(A)；</w:t>
            </w:r>
          </w:p>
          <w:p>
            <w:pPr>
              <w:ind w:firstLine="1050" w:firstLineChars="500"/>
              <w:rPr>
                <w:color w:val="000000"/>
                <w:szCs w:val="22"/>
              </w:rPr>
            </w:pPr>
            <w:r>
              <w:rPr>
                <w:color w:val="000000"/>
                <w:szCs w:val="22"/>
              </w:rPr>
              <w:t>L</w:t>
            </w:r>
            <w:r>
              <w:rPr>
                <w:color w:val="000000"/>
                <w:szCs w:val="22"/>
                <w:vertAlign w:val="subscript"/>
              </w:rPr>
              <w:t>Ax</w:t>
            </w:r>
            <w:r>
              <w:rPr>
                <w:color w:val="000000"/>
                <w:szCs w:val="22"/>
              </w:rPr>
              <w:t>——预测点的现状值，dB(A)。</w:t>
            </w:r>
          </w:p>
          <w:p>
            <w:pPr>
              <w:keepNext/>
              <w:keepLines/>
              <w:spacing w:line="360" w:lineRule="auto"/>
              <w:ind w:firstLine="480" w:firstLineChars="200"/>
              <w:outlineLvl w:val="2"/>
              <w:rPr>
                <w:rFonts w:eastAsiaTheme="majorEastAsia"/>
                <w:bCs/>
                <w:sz w:val="24"/>
                <w:szCs w:val="24"/>
              </w:rPr>
            </w:pPr>
            <w:r>
              <w:rPr>
                <w:rFonts w:eastAsiaTheme="majorEastAsia"/>
                <w:bCs/>
                <w:sz w:val="24"/>
                <w:szCs w:val="24"/>
              </w:rPr>
              <w:t>（3）预测结果</w:t>
            </w:r>
          </w:p>
          <w:p>
            <w:pPr>
              <w:spacing w:line="360" w:lineRule="auto"/>
              <w:ind w:firstLine="480"/>
              <w:rPr>
                <w:szCs w:val="22"/>
              </w:rPr>
            </w:pPr>
            <w:r>
              <w:rPr>
                <w:sz w:val="24"/>
                <w:szCs w:val="24"/>
              </w:rPr>
              <w:t>经预测计算，主要施工机械在不同距离处的噪声值预测计算结果见表26。</w:t>
            </w:r>
          </w:p>
          <w:p>
            <w:pPr>
              <w:spacing w:line="360" w:lineRule="auto"/>
              <w:jc w:val="center"/>
              <w:rPr>
                <w:b/>
                <w:sz w:val="24"/>
                <w:szCs w:val="24"/>
              </w:rPr>
            </w:pPr>
            <w:r>
              <w:rPr>
                <w:b/>
                <w:sz w:val="24"/>
                <w:szCs w:val="24"/>
              </w:rPr>
              <w:t>表26  施工机械在不同距离处的贡献值一览表</w:t>
            </w:r>
          </w:p>
          <w:tbl>
            <w:tblPr>
              <w:tblStyle w:val="47"/>
              <w:tblW w:w="8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85"/>
              <w:gridCol w:w="1435"/>
              <w:gridCol w:w="715"/>
              <w:gridCol w:w="651"/>
              <w:gridCol w:w="653"/>
              <w:gridCol w:w="653"/>
              <w:gridCol w:w="651"/>
              <w:gridCol w:w="653"/>
              <w:gridCol w:w="653"/>
              <w:gridCol w:w="653"/>
              <w:gridCol w:w="6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85" w:type="dxa"/>
                  <w:vMerge w:val="restart"/>
                  <w:tcBorders>
                    <w:tl2br w:val="nil"/>
                    <w:tr2bl w:val="nil"/>
                  </w:tcBorders>
                  <w:vAlign w:val="center"/>
                </w:tcPr>
                <w:p>
                  <w:pPr>
                    <w:jc w:val="center"/>
                    <w:rPr>
                      <w:szCs w:val="22"/>
                    </w:rPr>
                  </w:pPr>
                  <w:r>
                    <w:rPr>
                      <w:szCs w:val="22"/>
                    </w:rPr>
                    <w:t>序号</w:t>
                  </w:r>
                </w:p>
              </w:tc>
              <w:tc>
                <w:tcPr>
                  <w:tcW w:w="1435" w:type="dxa"/>
                  <w:vMerge w:val="restart"/>
                  <w:tcBorders>
                    <w:tl2br w:val="nil"/>
                    <w:tr2bl w:val="nil"/>
                  </w:tcBorders>
                  <w:vAlign w:val="center"/>
                </w:tcPr>
                <w:p>
                  <w:pPr>
                    <w:jc w:val="center"/>
                    <w:rPr>
                      <w:szCs w:val="22"/>
                    </w:rPr>
                  </w:pPr>
                  <w:r>
                    <w:rPr>
                      <w:szCs w:val="22"/>
                    </w:rPr>
                    <w:t>设备</w:t>
                  </w:r>
                </w:p>
              </w:tc>
              <w:tc>
                <w:tcPr>
                  <w:tcW w:w="5903" w:type="dxa"/>
                  <w:gridSpan w:val="9"/>
                  <w:tcBorders>
                    <w:tl2br w:val="nil"/>
                    <w:tr2bl w:val="nil"/>
                  </w:tcBorders>
                  <w:vAlign w:val="center"/>
                </w:tcPr>
                <w:p>
                  <w:pPr>
                    <w:jc w:val="center"/>
                    <w:rPr>
                      <w:szCs w:val="22"/>
                    </w:rPr>
                  </w:pPr>
                  <w:r>
                    <w:rPr>
                      <w:szCs w:val="22"/>
                    </w:rPr>
                    <w:t>不同距离处的噪声贡献值 [dB(A)]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85" w:type="dxa"/>
                  <w:vMerge w:val="continue"/>
                  <w:tcBorders>
                    <w:tl2br w:val="nil"/>
                    <w:tr2bl w:val="nil"/>
                  </w:tcBorders>
                  <w:vAlign w:val="center"/>
                </w:tcPr>
                <w:p>
                  <w:pPr>
                    <w:jc w:val="center"/>
                    <w:rPr>
                      <w:szCs w:val="22"/>
                    </w:rPr>
                  </w:pPr>
                </w:p>
              </w:tc>
              <w:tc>
                <w:tcPr>
                  <w:tcW w:w="1435" w:type="dxa"/>
                  <w:vMerge w:val="continue"/>
                  <w:tcBorders>
                    <w:tl2br w:val="nil"/>
                    <w:tr2bl w:val="nil"/>
                  </w:tcBorders>
                  <w:vAlign w:val="center"/>
                </w:tcPr>
                <w:p>
                  <w:pPr>
                    <w:jc w:val="center"/>
                    <w:rPr>
                      <w:szCs w:val="22"/>
                    </w:rPr>
                  </w:pPr>
                </w:p>
              </w:tc>
              <w:tc>
                <w:tcPr>
                  <w:tcW w:w="715" w:type="dxa"/>
                  <w:tcBorders>
                    <w:tl2br w:val="nil"/>
                    <w:tr2bl w:val="nil"/>
                  </w:tcBorders>
                  <w:vAlign w:val="center"/>
                </w:tcPr>
                <w:p>
                  <w:pPr>
                    <w:jc w:val="center"/>
                    <w:rPr>
                      <w:szCs w:val="22"/>
                    </w:rPr>
                  </w:pPr>
                  <w:r>
                    <w:rPr>
                      <w:szCs w:val="22"/>
                    </w:rPr>
                    <w:t>10</w:t>
                  </w:r>
                </w:p>
              </w:tc>
              <w:tc>
                <w:tcPr>
                  <w:tcW w:w="651" w:type="dxa"/>
                  <w:tcBorders>
                    <w:tl2br w:val="nil"/>
                    <w:tr2bl w:val="nil"/>
                  </w:tcBorders>
                  <w:vAlign w:val="center"/>
                </w:tcPr>
                <w:p>
                  <w:pPr>
                    <w:jc w:val="center"/>
                    <w:rPr>
                      <w:szCs w:val="22"/>
                    </w:rPr>
                  </w:pPr>
                  <w:r>
                    <w:rPr>
                      <w:szCs w:val="22"/>
                    </w:rPr>
                    <w:t>20</w:t>
                  </w:r>
                </w:p>
              </w:tc>
              <w:tc>
                <w:tcPr>
                  <w:tcW w:w="653" w:type="dxa"/>
                  <w:tcBorders>
                    <w:tl2br w:val="nil"/>
                    <w:tr2bl w:val="nil"/>
                  </w:tcBorders>
                  <w:tcMar>
                    <w:left w:w="57" w:type="dxa"/>
                    <w:right w:w="57" w:type="dxa"/>
                  </w:tcMar>
                  <w:vAlign w:val="center"/>
                </w:tcPr>
                <w:p>
                  <w:pPr>
                    <w:jc w:val="center"/>
                    <w:rPr>
                      <w:szCs w:val="22"/>
                    </w:rPr>
                  </w:pPr>
                  <w:r>
                    <w:rPr>
                      <w:szCs w:val="22"/>
                    </w:rPr>
                    <w:t>40</w:t>
                  </w:r>
                </w:p>
              </w:tc>
              <w:tc>
                <w:tcPr>
                  <w:tcW w:w="653" w:type="dxa"/>
                  <w:tcBorders>
                    <w:tl2br w:val="nil"/>
                    <w:tr2bl w:val="nil"/>
                  </w:tcBorders>
                  <w:tcMar>
                    <w:left w:w="57" w:type="dxa"/>
                    <w:right w:w="57" w:type="dxa"/>
                  </w:tcMar>
                  <w:vAlign w:val="center"/>
                </w:tcPr>
                <w:p>
                  <w:pPr>
                    <w:jc w:val="center"/>
                    <w:rPr>
                      <w:szCs w:val="22"/>
                    </w:rPr>
                  </w:pPr>
                  <w:r>
                    <w:rPr>
                      <w:szCs w:val="22"/>
                    </w:rPr>
                    <w:t>60</w:t>
                  </w:r>
                </w:p>
              </w:tc>
              <w:tc>
                <w:tcPr>
                  <w:tcW w:w="651" w:type="dxa"/>
                  <w:tcBorders>
                    <w:tl2br w:val="nil"/>
                    <w:tr2bl w:val="nil"/>
                  </w:tcBorders>
                  <w:tcMar>
                    <w:left w:w="57" w:type="dxa"/>
                    <w:right w:w="57" w:type="dxa"/>
                  </w:tcMar>
                  <w:vAlign w:val="center"/>
                </w:tcPr>
                <w:p>
                  <w:pPr>
                    <w:jc w:val="center"/>
                    <w:rPr>
                      <w:szCs w:val="22"/>
                    </w:rPr>
                  </w:pPr>
                  <w:r>
                    <w:rPr>
                      <w:szCs w:val="22"/>
                    </w:rPr>
                    <w:t>80</w:t>
                  </w:r>
                </w:p>
              </w:tc>
              <w:tc>
                <w:tcPr>
                  <w:tcW w:w="653" w:type="dxa"/>
                  <w:tcBorders>
                    <w:tl2br w:val="nil"/>
                    <w:tr2bl w:val="nil"/>
                  </w:tcBorders>
                  <w:tcMar>
                    <w:left w:w="57" w:type="dxa"/>
                    <w:right w:w="57" w:type="dxa"/>
                  </w:tcMar>
                  <w:vAlign w:val="center"/>
                </w:tcPr>
                <w:p>
                  <w:pPr>
                    <w:jc w:val="center"/>
                    <w:rPr>
                      <w:szCs w:val="22"/>
                    </w:rPr>
                  </w:pPr>
                  <w:r>
                    <w:rPr>
                      <w:szCs w:val="22"/>
                    </w:rPr>
                    <w:t>100</w:t>
                  </w:r>
                </w:p>
              </w:tc>
              <w:tc>
                <w:tcPr>
                  <w:tcW w:w="653" w:type="dxa"/>
                  <w:tcBorders>
                    <w:tl2br w:val="nil"/>
                    <w:tr2bl w:val="nil"/>
                  </w:tcBorders>
                  <w:tcMar>
                    <w:left w:w="57" w:type="dxa"/>
                    <w:right w:w="57" w:type="dxa"/>
                  </w:tcMar>
                  <w:vAlign w:val="center"/>
                </w:tcPr>
                <w:p>
                  <w:pPr>
                    <w:jc w:val="center"/>
                    <w:rPr>
                      <w:szCs w:val="22"/>
                    </w:rPr>
                  </w:pPr>
                  <w:r>
                    <w:rPr>
                      <w:szCs w:val="22"/>
                    </w:rPr>
                    <w:t>150</w:t>
                  </w:r>
                </w:p>
              </w:tc>
              <w:tc>
                <w:tcPr>
                  <w:tcW w:w="653" w:type="dxa"/>
                  <w:tcBorders>
                    <w:tl2br w:val="nil"/>
                    <w:tr2bl w:val="nil"/>
                  </w:tcBorders>
                  <w:tcMar>
                    <w:left w:w="57" w:type="dxa"/>
                    <w:right w:w="57" w:type="dxa"/>
                  </w:tcMar>
                  <w:vAlign w:val="center"/>
                </w:tcPr>
                <w:p>
                  <w:pPr>
                    <w:jc w:val="center"/>
                    <w:rPr>
                      <w:szCs w:val="22"/>
                    </w:rPr>
                  </w:pPr>
                  <w:r>
                    <w:rPr>
                      <w:szCs w:val="22"/>
                    </w:rPr>
                    <w:t>200</w:t>
                  </w:r>
                </w:p>
              </w:tc>
              <w:tc>
                <w:tcPr>
                  <w:tcW w:w="621" w:type="dxa"/>
                  <w:tcBorders>
                    <w:tl2br w:val="nil"/>
                    <w:tr2bl w:val="nil"/>
                  </w:tcBorders>
                  <w:tcMar>
                    <w:left w:w="57" w:type="dxa"/>
                    <w:right w:w="57" w:type="dxa"/>
                  </w:tcMar>
                  <w:vAlign w:val="center"/>
                </w:tcPr>
                <w:p>
                  <w:pPr>
                    <w:jc w:val="center"/>
                    <w:rPr>
                      <w:szCs w:val="22"/>
                    </w:rPr>
                  </w:pPr>
                  <w:r>
                    <w:rPr>
                      <w:szCs w:val="22"/>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85" w:type="dxa"/>
                  <w:tcBorders>
                    <w:tl2br w:val="nil"/>
                    <w:tr2bl w:val="nil"/>
                  </w:tcBorders>
                  <w:vAlign w:val="center"/>
                </w:tcPr>
                <w:p>
                  <w:pPr>
                    <w:jc w:val="center"/>
                    <w:rPr>
                      <w:szCs w:val="22"/>
                    </w:rPr>
                  </w:pPr>
                  <w:r>
                    <w:rPr>
                      <w:szCs w:val="22"/>
                    </w:rPr>
                    <w:t>1</w:t>
                  </w:r>
                </w:p>
              </w:tc>
              <w:tc>
                <w:tcPr>
                  <w:tcW w:w="1435" w:type="dxa"/>
                  <w:tcBorders>
                    <w:tl2br w:val="nil"/>
                    <w:tr2bl w:val="nil"/>
                  </w:tcBorders>
                  <w:vAlign w:val="center"/>
                </w:tcPr>
                <w:p>
                  <w:pPr>
                    <w:jc w:val="center"/>
                    <w:rPr>
                      <w:szCs w:val="22"/>
                    </w:rPr>
                  </w:pPr>
                  <w:r>
                    <w:rPr>
                      <w:szCs w:val="22"/>
                    </w:rPr>
                    <w:t>挖掘机</w:t>
                  </w:r>
                </w:p>
              </w:tc>
              <w:tc>
                <w:tcPr>
                  <w:tcW w:w="715" w:type="dxa"/>
                  <w:tcBorders>
                    <w:tl2br w:val="nil"/>
                    <w:tr2bl w:val="nil"/>
                  </w:tcBorders>
                  <w:vAlign w:val="center"/>
                </w:tcPr>
                <w:p>
                  <w:pPr>
                    <w:jc w:val="center"/>
                    <w:rPr>
                      <w:szCs w:val="22"/>
                    </w:rPr>
                  </w:pPr>
                  <w:r>
                    <w:rPr>
                      <w:szCs w:val="22"/>
                    </w:rPr>
                    <w:t>78.0</w:t>
                  </w:r>
                </w:p>
              </w:tc>
              <w:tc>
                <w:tcPr>
                  <w:tcW w:w="651" w:type="dxa"/>
                  <w:tcBorders>
                    <w:tl2br w:val="nil"/>
                    <w:tr2bl w:val="nil"/>
                  </w:tcBorders>
                  <w:vAlign w:val="center"/>
                </w:tcPr>
                <w:p>
                  <w:pPr>
                    <w:jc w:val="center"/>
                    <w:rPr>
                      <w:szCs w:val="22"/>
                    </w:rPr>
                  </w:pPr>
                  <w:r>
                    <w:rPr>
                      <w:szCs w:val="22"/>
                    </w:rPr>
                    <w:t>72.0</w:t>
                  </w:r>
                </w:p>
              </w:tc>
              <w:tc>
                <w:tcPr>
                  <w:tcW w:w="653" w:type="dxa"/>
                  <w:tcBorders>
                    <w:tl2br w:val="nil"/>
                    <w:tr2bl w:val="nil"/>
                  </w:tcBorders>
                  <w:tcMar>
                    <w:left w:w="57" w:type="dxa"/>
                    <w:right w:w="57" w:type="dxa"/>
                  </w:tcMar>
                  <w:vAlign w:val="center"/>
                </w:tcPr>
                <w:p>
                  <w:pPr>
                    <w:jc w:val="center"/>
                    <w:rPr>
                      <w:szCs w:val="22"/>
                    </w:rPr>
                  </w:pPr>
                  <w:r>
                    <w:rPr>
                      <w:szCs w:val="22"/>
                    </w:rPr>
                    <w:t>66.0</w:t>
                  </w:r>
                </w:p>
              </w:tc>
              <w:tc>
                <w:tcPr>
                  <w:tcW w:w="653" w:type="dxa"/>
                  <w:tcBorders>
                    <w:tl2br w:val="nil"/>
                    <w:tr2bl w:val="nil"/>
                  </w:tcBorders>
                  <w:tcMar>
                    <w:left w:w="57" w:type="dxa"/>
                    <w:right w:w="57" w:type="dxa"/>
                  </w:tcMar>
                  <w:vAlign w:val="center"/>
                </w:tcPr>
                <w:p>
                  <w:pPr>
                    <w:jc w:val="center"/>
                    <w:rPr>
                      <w:szCs w:val="22"/>
                    </w:rPr>
                  </w:pPr>
                  <w:r>
                    <w:rPr>
                      <w:szCs w:val="22"/>
                    </w:rPr>
                    <w:t>62.4</w:t>
                  </w:r>
                </w:p>
              </w:tc>
              <w:tc>
                <w:tcPr>
                  <w:tcW w:w="651" w:type="dxa"/>
                  <w:tcBorders>
                    <w:tl2br w:val="nil"/>
                    <w:tr2bl w:val="nil"/>
                  </w:tcBorders>
                  <w:tcMar>
                    <w:left w:w="57" w:type="dxa"/>
                    <w:right w:w="57" w:type="dxa"/>
                  </w:tcMar>
                  <w:vAlign w:val="center"/>
                </w:tcPr>
                <w:p>
                  <w:pPr>
                    <w:jc w:val="center"/>
                    <w:rPr>
                      <w:szCs w:val="22"/>
                    </w:rPr>
                  </w:pPr>
                  <w:r>
                    <w:rPr>
                      <w:szCs w:val="22"/>
                    </w:rPr>
                    <w:t>60.0</w:t>
                  </w:r>
                </w:p>
              </w:tc>
              <w:tc>
                <w:tcPr>
                  <w:tcW w:w="653" w:type="dxa"/>
                  <w:tcBorders>
                    <w:tl2br w:val="nil"/>
                    <w:tr2bl w:val="nil"/>
                  </w:tcBorders>
                  <w:tcMar>
                    <w:left w:w="57" w:type="dxa"/>
                    <w:right w:w="57" w:type="dxa"/>
                  </w:tcMar>
                  <w:vAlign w:val="center"/>
                </w:tcPr>
                <w:p>
                  <w:pPr>
                    <w:jc w:val="center"/>
                    <w:rPr>
                      <w:szCs w:val="22"/>
                    </w:rPr>
                  </w:pPr>
                  <w:r>
                    <w:rPr>
                      <w:szCs w:val="22"/>
                    </w:rPr>
                    <w:t>58.0</w:t>
                  </w:r>
                </w:p>
              </w:tc>
              <w:tc>
                <w:tcPr>
                  <w:tcW w:w="653" w:type="dxa"/>
                  <w:tcBorders>
                    <w:tl2br w:val="nil"/>
                    <w:tr2bl w:val="nil"/>
                  </w:tcBorders>
                  <w:tcMar>
                    <w:left w:w="57" w:type="dxa"/>
                    <w:right w:w="57" w:type="dxa"/>
                  </w:tcMar>
                  <w:vAlign w:val="center"/>
                </w:tcPr>
                <w:p>
                  <w:pPr>
                    <w:jc w:val="center"/>
                    <w:rPr>
                      <w:szCs w:val="22"/>
                    </w:rPr>
                  </w:pPr>
                  <w:r>
                    <w:rPr>
                      <w:szCs w:val="22"/>
                    </w:rPr>
                    <w:t>54.5</w:t>
                  </w:r>
                </w:p>
              </w:tc>
              <w:tc>
                <w:tcPr>
                  <w:tcW w:w="653" w:type="dxa"/>
                  <w:tcBorders>
                    <w:tl2br w:val="nil"/>
                    <w:tr2bl w:val="nil"/>
                  </w:tcBorders>
                  <w:tcMar>
                    <w:left w:w="57" w:type="dxa"/>
                    <w:right w:w="57" w:type="dxa"/>
                  </w:tcMar>
                  <w:vAlign w:val="center"/>
                </w:tcPr>
                <w:p>
                  <w:pPr>
                    <w:jc w:val="center"/>
                    <w:rPr>
                      <w:szCs w:val="22"/>
                    </w:rPr>
                  </w:pPr>
                  <w:r>
                    <w:rPr>
                      <w:szCs w:val="22"/>
                    </w:rPr>
                    <w:t>52.0</w:t>
                  </w:r>
                </w:p>
              </w:tc>
              <w:tc>
                <w:tcPr>
                  <w:tcW w:w="621" w:type="dxa"/>
                  <w:tcBorders>
                    <w:tl2br w:val="nil"/>
                    <w:tr2bl w:val="nil"/>
                  </w:tcBorders>
                  <w:tcMar>
                    <w:left w:w="57" w:type="dxa"/>
                    <w:right w:w="57" w:type="dxa"/>
                  </w:tcMar>
                  <w:vAlign w:val="center"/>
                </w:tcPr>
                <w:p>
                  <w:pPr>
                    <w:jc w:val="center"/>
                    <w:rPr>
                      <w:szCs w:val="22"/>
                    </w:rPr>
                  </w:pPr>
                  <w:r>
                    <w:rPr>
                      <w:szCs w:val="22"/>
                    </w:rPr>
                    <w:t>48.4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85" w:type="dxa"/>
                  <w:tcBorders>
                    <w:tl2br w:val="nil"/>
                    <w:tr2bl w:val="nil"/>
                  </w:tcBorders>
                  <w:vAlign w:val="center"/>
                </w:tcPr>
                <w:p>
                  <w:pPr>
                    <w:jc w:val="center"/>
                    <w:rPr>
                      <w:szCs w:val="22"/>
                    </w:rPr>
                  </w:pPr>
                  <w:r>
                    <w:rPr>
                      <w:szCs w:val="22"/>
                    </w:rPr>
                    <w:t>2</w:t>
                  </w:r>
                </w:p>
              </w:tc>
              <w:tc>
                <w:tcPr>
                  <w:tcW w:w="1435" w:type="dxa"/>
                  <w:tcBorders>
                    <w:tl2br w:val="nil"/>
                    <w:tr2bl w:val="nil"/>
                  </w:tcBorders>
                  <w:vAlign w:val="center"/>
                </w:tcPr>
                <w:p>
                  <w:pPr>
                    <w:jc w:val="center"/>
                    <w:rPr>
                      <w:szCs w:val="22"/>
                    </w:rPr>
                  </w:pPr>
                  <w:r>
                    <w:rPr>
                      <w:szCs w:val="22"/>
                    </w:rPr>
                    <w:t>推土机</w:t>
                  </w:r>
                </w:p>
              </w:tc>
              <w:tc>
                <w:tcPr>
                  <w:tcW w:w="715" w:type="dxa"/>
                  <w:tcBorders>
                    <w:tl2br w:val="nil"/>
                    <w:tr2bl w:val="nil"/>
                  </w:tcBorders>
                  <w:vAlign w:val="center"/>
                </w:tcPr>
                <w:p>
                  <w:pPr>
                    <w:jc w:val="center"/>
                    <w:rPr>
                      <w:szCs w:val="22"/>
                    </w:rPr>
                  </w:pPr>
                  <w:r>
                    <w:rPr>
                      <w:szCs w:val="22"/>
                    </w:rPr>
                    <w:t>75.5</w:t>
                  </w:r>
                </w:p>
              </w:tc>
              <w:tc>
                <w:tcPr>
                  <w:tcW w:w="651" w:type="dxa"/>
                  <w:tcBorders>
                    <w:tl2br w:val="nil"/>
                    <w:tr2bl w:val="nil"/>
                  </w:tcBorders>
                  <w:vAlign w:val="center"/>
                </w:tcPr>
                <w:p>
                  <w:pPr>
                    <w:jc w:val="center"/>
                    <w:rPr>
                      <w:szCs w:val="22"/>
                    </w:rPr>
                  </w:pPr>
                  <w:r>
                    <w:rPr>
                      <w:szCs w:val="22"/>
                    </w:rPr>
                    <w:t>69.5</w:t>
                  </w:r>
                </w:p>
              </w:tc>
              <w:tc>
                <w:tcPr>
                  <w:tcW w:w="653" w:type="dxa"/>
                  <w:tcBorders>
                    <w:tl2br w:val="nil"/>
                    <w:tr2bl w:val="nil"/>
                  </w:tcBorders>
                  <w:tcMar>
                    <w:left w:w="57" w:type="dxa"/>
                    <w:right w:w="57" w:type="dxa"/>
                  </w:tcMar>
                  <w:vAlign w:val="center"/>
                </w:tcPr>
                <w:p>
                  <w:pPr>
                    <w:jc w:val="center"/>
                    <w:rPr>
                      <w:szCs w:val="22"/>
                    </w:rPr>
                  </w:pPr>
                  <w:r>
                    <w:rPr>
                      <w:szCs w:val="22"/>
                    </w:rPr>
                    <w:t>63.5</w:t>
                  </w:r>
                </w:p>
              </w:tc>
              <w:tc>
                <w:tcPr>
                  <w:tcW w:w="653" w:type="dxa"/>
                  <w:tcBorders>
                    <w:tl2br w:val="nil"/>
                    <w:tr2bl w:val="nil"/>
                  </w:tcBorders>
                  <w:tcMar>
                    <w:left w:w="57" w:type="dxa"/>
                    <w:right w:w="57" w:type="dxa"/>
                  </w:tcMar>
                  <w:vAlign w:val="center"/>
                </w:tcPr>
                <w:p>
                  <w:pPr>
                    <w:jc w:val="center"/>
                    <w:rPr>
                      <w:szCs w:val="22"/>
                    </w:rPr>
                  </w:pPr>
                  <w:r>
                    <w:rPr>
                      <w:szCs w:val="22"/>
                    </w:rPr>
                    <w:t>60.0</w:t>
                  </w:r>
                </w:p>
              </w:tc>
              <w:tc>
                <w:tcPr>
                  <w:tcW w:w="651" w:type="dxa"/>
                  <w:tcBorders>
                    <w:tl2br w:val="nil"/>
                    <w:tr2bl w:val="nil"/>
                  </w:tcBorders>
                  <w:tcMar>
                    <w:left w:w="57" w:type="dxa"/>
                    <w:right w:w="57" w:type="dxa"/>
                  </w:tcMar>
                  <w:vAlign w:val="center"/>
                </w:tcPr>
                <w:p>
                  <w:pPr>
                    <w:jc w:val="center"/>
                    <w:rPr>
                      <w:szCs w:val="22"/>
                    </w:rPr>
                  </w:pPr>
                  <w:r>
                    <w:rPr>
                      <w:szCs w:val="22"/>
                    </w:rPr>
                    <w:t>57.5</w:t>
                  </w:r>
                </w:p>
              </w:tc>
              <w:tc>
                <w:tcPr>
                  <w:tcW w:w="653" w:type="dxa"/>
                  <w:tcBorders>
                    <w:tl2br w:val="nil"/>
                    <w:tr2bl w:val="nil"/>
                  </w:tcBorders>
                  <w:tcMar>
                    <w:left w:w="57" w:type="dxa"/>
                    <w:right w:w="57" w:type="dxa"/>
                  </w:tcMar>
                  <w:vAlign w:val="center"/>
                </w:tcPr>
                <w:p>
                  <w:pPr>
                    <w:jc w:val="center"/>
                    <w:rPr>
                      <w:szCs w:val="22"/>
                    </w:rPr>
                  </w:pPr>
                  <w:r>
                    <w:rPr>
                      <w:szCs w:val="22"/>
                    </w:rPr>
                    <w:t>55.5</w:t>
                  </w:r>
                </w:p>
              </w:tc>
              <w:tc>
                <w:tcPr>
                  <w:tcW w:w="653" w:type="dxa"/>
                  <w:tcBorders>
                    <w:tl2br w:val="nil"/>
                    <w:tr2bl w:val="nil"/>
                  </w:tcBorders>
                  <w:tcMar>
                    <w:left w:w="57" w:type="dxa"/>
                    <w:right w:w="57" w:type="dxa"/>
                  </w:tcMar>
                  <w:vAlign w:val="center"/>
                </w:tcPr>
                <w:p>
                  <w:pPr>
                    <w:jc w:val="center"/>
                    <w:rPr>
                      <w:szCs w:val="22"/>
                    </w:rPr>
                  </w:pPr>
                  <w:r>
                    <w:rPr>
                      <w:szCs w:val="22"/>
                    </w:rPr>
                    <w:t>52.0</w:t>
                  </w:r>
                </w:p>
              </w:tc>
              <w:tc>
                <w:tcPr>
                  <w:tcW w:w="653" w:type="dxa"/>
                  <w:tcBorders>
                    <w:tl2br w:val="nil"/>
                    <w:tr2bl w:val="nil"/>
                  </w:tcBorders>
                  <w:tcMar>
                    <w:left w:w="57" w:type="dxa"/>
                    <w:right w:w="57" w:type="dxa"/>
                  </w:tcMar>
                  <w:vAlign w:val="center"/>
                </w:tcPr>
                <w:p>
                  <w:pPr>
                    <w:jc w:val="center"/>
                    <w:rPr>
                      <w:szCs w:val="22"/>
                    </w:rPr>
                  </w:pPr>
                  <w:r>
                    <w:rPr>
                      <w:szCs w:val="22"/>
                    </w:rPr>
                    <w:t>50.0</w:t>
                  </w:r>
                </w:p>
              </w:tc>
              <w:tc>
                <w:tcPr>
                  <w:tcW w:w="621" w:type="dxa"/>
                  <w:tcBorders>
                    <w:tl2br w:val="nil"/>
                    <w:tr2bl w:val="nil"/>
                  </w:tcBorders>
                  <w:tcMar>
                    <w:left w:w="57" w:type="dxa"/>
                    <w:right w:w="57" w:type="dxa"/>
                  </w:tcMar>
                  <w:vAlign w:val="center"/>
                </w:tcPr>
                <w:p>
                  <w:pPr>
                    <w:jc w:val="center"/>
                    <w:rPr>
                      <w:szCs w:val="22"/>
                    </w:rPr>
                  </w:pPr>
                  <w:r>
                    <w:rPr>
                      <w:szCs w:val="22"/>
                    </w:rPr>
                    <w:t>46.0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85" w:type="dxa"/>
                  <w:tcBorders>
                    <w:tl2br w:val="nil"/>
                    <w:tr2bl w:val="nil"/>
                  </w:tcBorders>
                  <w:vAlign w:val="center"/>
                </w:tcPr>
                <w:p>
                  <w:pPr>
                    <w:jc w:val="center"/>
                    <w:rPr>
                      <w:szCs w:val="22"/>
                    </w:rPr>
                  </w:pPr>
                  <w:r>
                    <w:rPr>
                      <w:szCs w:val="22"/>
                    </w:rPr>
                    <w:t>3</w:t>
                  </w:r>
                </w:p>
              </w:tc>
              <w:tc>
                <w:tcPr>
                  <w:tcW w:w="1435" w:type="dxa"/>
                  <w:tcBorders>
                    <w:tl2br w:val="nil"/>
                    <w:tr2bl w:val="nil"/>
                  </w:tcBorders>
                  <w:vAlign w:val="center"/>
                </w:tcPr>
                <w:p>
                  <w:pPr>
                    <w:jc w:val="center"/>
                    <w:rPr>
                      <w:szCs w:val="22"/>
                    </w:rPr>
                  </w:pPr>
                  <w:r>
                    <w:rPr>
                      <w:szCs w:val="22"/>
                    </w:rPr>
                    <w:t>装载机</w:t>
                  </w:r>
                </w:p>
              </w:tc>
              <w:tc>
                <w:tcPr>
                  <w:tcW w:w="715" w:type="dxa"/>
                  <w:tcBorders>
                    <w:tl2br w:val="nil"/>
                    <w:tr2bl w:val="nil"/>
                  </w:tcBorders>
                  <w:vAlign w:val="center"/>
                </w:tcPr>
                <w:p>
                  <w:pPr>
                    <w:jc w:val="center"/>
                    <w:rPr>
                      <w:szCs w:val="22"/>
                    </w:rPr>
                  </w:pPr>
                  <w:r>
                    <w:rPr>
                      <w:szCs w:val="22"/>
                    </w:rPr>
                    <w:t>81.0</w:t>
                  </w:r>
                </w:p>
              </w:tc>
              <w:tc>
                <w:tcPr>
                  <w:tcW w:w="651" w:type="dxa"/>
                  <w:tcBorders>
                    <w:tl2br w:val="nil"/>
                    <w:tr2bl w:val="nil"/>
                  </w:tcBorders>
                  <w:vAlign w:val="center"/>
                </w:tcPr>
                <w:p>
                  <w:pPr>
                    <w:jc w:val="center"/>
                    <w:rPr>
                      <w:szCs w:val="22"/>
                    </w:rPr>
                  </w:pPr>
                  <w:r>
                    <w:rPr>
                      <w:szCs w:val="22"/>
                    </w:rPr>
                    <w:t>75.0</w:t>
                  </w:r>
                </w:p>
              </w:tc>
              <w:tc>
                <w:tcPr>
                  <w:tcW w:w="653" w:type="dxa"/>
                  <w:tcBorders>
                    <w:tl2br w:val="nil"/>
                    <w:tr2bl w:val="nil"/>
                  </w:tcBorders>
                  <w:tcMar>
                    <w:left w:w="57" w:type="dxa"/>
                    <w:right w:w="57" w:type="dxa"/>
                  </w:tcMar>
                  <w:vAlign w:val="center"/>
                </w:tcPr>
                <w:p>
                  <w:pPr>
                    <w:jc w:val="center"/>
                    <w:rPr>
                      <w:szCs w:val="22"/>
                    </w:rPr>
                  </w:pPr>
                  <w:r>
                    <w:rPr>
                      <w:szCs w:val="22"/>
                    </w:rPr>
                    <w:t>69.0</w:t>
                  </w:r>
                </w:p>
              </w:tc>
              <w:tc>
                <w:tcPr>
                  <w:tcW w:w="653" w:type="dxa"/>
                  <w:tcBorders>
                    <w:tl2br w:val="nil"/>
                    <w:tr2bl w:val="nil"/>
                  </w:tcBorders>
                  <w:tcMar>
                    <w:left w:w="57" w:type="dxa"/>
                    <w:right w:w="57" w:type="dxa"/>
                  </w:tcMar>
                  <w:vAlign w:val="center"/>
                </w:tcPr>
                <w:p>
                  <w:pPr>
                    <w:jc w:val="center"/>
                    <w:rPr>
                      <w:szCs w:val="22"/>
                    </w:rPr>
                  </w:pPr>
                  <w:r>
                    <w:rPr>
                      <w:szCs w:val="22"/>
                    </w:rPr>
                    <w:t>65.4</w:t>
                  </w:r>
                </w:p>
              </w:tc>
              <w:tc>
                <w:tcPr>
                  <w:tcW w:w="651" w:type="dxa"/>
                  <w:tcBorders>
                    <w:tl2br w:val="nil"/>
                    <w:tr2bl w:val="nil"/>
                  </w:tcBorders>
                  <w:tcMar>
                    <w:left w:w="57" w:type="dxa"/>
                    <w:right w:w="57" w:type="dxa"/>
                  </w:tcMar>
                  <w:vAlign w:val="center"/>
                </w:tcPr>
                <w:p>
                  <w:pPr>
                    <w:jc w:val="center"/>
                    <w:rPr>
                      <w:szCs w:val="22"/>
                    </w:rPr>
                  </w:pPr>
                  <w:r>
                    <w:rPr>
                      <w:szCs w:val="22"/>
                    </w:rPr>
                    <w:t>63.0</w:t>
                  </w:r>
                </w:p>
              </w:tc>
              <w:tc>
                <w:tcPr>
                  <w:tcW w:w="653" w:type="dxa"/>
                  <w:tcBorders>
                    <w:tl2br w:val="nil"/>
                    <w:tr2bl w:val="nil"/>
                  </w:tcBorders>
                  <w:tcMar>
                    <w:left w:w="57" w:type="dxa"/>
                    <w:right w:w="57" w:type="dxa"/>
                  </w:tcMar>
                  <w:vAlign w:val="center"/>
                </w:tcPr>
                <w:p>
                  <w:pPr>
                    <w:jc w:val="center"/>
                    <w:rPr>
                      <w:szCs w:val="22"/>
                    </w:rPr>
                  </w:pPr>
                  <w:r>
                    <w:rPr>
                      <w:szCs w:val="22"/>
                    </w:rPr>
                    <w:t>61.0</w:t>
                  </w:r>
                </w:p>
              </w:tc>
              <w:tc>
                <w:tcPr>
                  <w:tcW w:w="653" w:type="dxa"/>
                  <w:tcBorders>
                    <w:tl2br w:val="nil"/>
                    <w:tr2bl w:val="nil"/>
                  </w:tcBorders>
                  <w:tcMar>
                    <w:left w:w="57" w:type="dxa"/>
                    <w:right w:w="57" w:type="dxa"/>
                  </w:tcMar>
                  <w:vAlign w:val="center"/>
                </w:tcPr>
                <w:p>
                  <w:pPr>
                    <w:jc w:val="center"/>
                    <w:rPr>
                      <w:szCs w:val="22"/>
                    </w:rPr>
                  </w:pPr>
                  <w:r>
                    <w:rPr>
                      <w:szCs w:val="22"/>
                    </w:rPr>
                    <w:t>57.5</w:t>
                  </w:r>
                </w:p>
              </w:tc>
              <w:tc>
                <w:tcPr>
                  <w:tcW w:w="653" w:type="dxa"/>
                  <w:tcBorders>
                    <w:tl2br w:val="nil"/>
                    <w:tr2bl w:val="nil"/>
                  </w:tcBorders>
                  <w:tcMar>
                    <w:left w:w="57" w:type="dxa"/>
                    <w:right w:w="57" w:type="dxa"/>
                  </w:tcMar>
                  <w:vAlign w:val="center"/>
                </w:tcPr>
                <w:p>
                  <w:pPr>
                    <w:jc w:val="center"/>
                    <w:rPr>
                      <w:szCs w:val="22"/>
                    </w:rPr>
                  </w:pPr>
                  <w:r>
                    <w:rPr>
                      <w:szCs w:val="22"/>
                    </w:rPr>
                    <w:t>55.0</w:t>
                  </w:r>
                </w:p>
              </w:tc>
              <w:tc>
                <w:tcPr>
                  <w:tcW w:w="621" w:type="dxa"/>
                  <w:tcBorders>
                    <w:tl2br w:val="nil"/>
                    <w:tr2bl w:val="nil"/>
                  </w:tcBorders>
                  <w:tcMar>
                    <w:left w:w="57" w:type="dxa"/>
                    <w:right w:w="57" w:type="dxa"/>
                  </w:tcMar>
                  <w:vAlign w:val="center"/>
                </w:tcPr>
                <w:p>
                  <w:pPr>
                    <w:jc w:val="center"/>
                    <w:rPr>
                      <w:szCs w:val="22"/>
                    </w:rPr>
                  </w:pPr>
                  <w:r>
                    <w:rPr>
                      <w:szCs w:val="22"/>
                    </w:rPr>
                    <w:t>51.5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85" w:type="dxa"/>
                  <w:tcBorders>
                    <w:tl2br w:val="nil"/>
                    <w:tr2bl w:val="nil"/>
                  </w:tcBorders>
                  <w:vAlign w:val="center"/>
                </w:tcPr>
                <w:p>
                  <w:pPr>
                    <w:jc w:val="center"/>
                    <w:rPr>
                      <w:szCs w:val="22"/>
                    </w:rPr>
                  </w:pPr>
                  <w:r>
                    <w:rPr>
                      <w:szCs w:val="22"/>
                    </w:rPr>
                    <w:t>4</w:t>
                  </w:r>
                </w:p>
              </w:tc>
              <w:tc>
                <w:tcPr>
                  <w:tcW w:w="1435" w:type="dxa"/>
                  <w:tcBorders>
                    <w:tl2br w:val="nil"/>
                    <w:tr2bl w:val="nil"/>
                  </w:tcBorders>
                  <w:vAlign w:val="center"/>
                </w:tcPr>
                <w:p>
                  <w:pPr>
                    <w:jc w:val="center"/>
                    <w:rPr>
                      <w:szCs w:val="22"/>
                    </w:rPr>
                  </w:pPr>
                  <w:r>
                    <w:rPr>
                      <w:szCs w:val="22"/>
                    </w:rPr>
                    <w:t>夯土机</w:t>
                  </w:r>
                </w:p>
              </w:tc>
              <w:tc>
                <w:tcPr>
                  <w:tcW w:w="715" w:type="dxa"/>
                  <w:tcBorders>
                    <w:tl2br w:val="nil"/>
                    <w:tr2bl w:val="nil"/>
                  </w:tcBorders>
                  <w:vAlign w:val="center"/>
                </w:tcPr>
                <w:p>
                  <w:pPr>
                    <w:jc w:val="center"/>
                    <w:rPr>
                      <w:szCs w:val="22"/>
                    </w:rPr>
                  </w:pPr>
                  <w:r>
                    <w:rPr>
                      <w:szCs w:val="22"/>
                    </w:rPr>
                    <w:t>76.0</w:t>
                  </w:r>
                </w:p>
              </w:tc>
              <w:tc>
                <w:tcPr>
                  <w:tcW w:w="651" w:type="dxa"/>
                  <w:tcBorders>
                    <w:tl2br w:val="nil"/>
                    <w:tr2bl w:val="nil"/>
                  </w:tcBorders>
                  <w:vAlign w:val="center"/>
                </w:tcPr>
                <w:p>
                  <w:pPr>
                    <w:jc w:val="center"/>
                    <w:rPr>
                      <w:szCs w:val="22"/>
                    </w:rPr>
                  </w:pPr>
                  <w:r>
                    <w:rPr>
                      <w:szCs w:val="22"/>
                    </w:rPr>
                    <w:t>70.0</w:t>
                  </w:r>
                </w:p>
              </w:tc>
              <w:tc>
                <w:tcPr>
                  <w:tcW w:w="653" w:type="dxa"/>
                  <w:tcBorders>
                    <w:tl2br w:val="nil"/>
                    <w:tr2bl w:val="nil"/>
                  </w:tcBorders>
                  <w:tcMar>
                    <w:left w:w="57" w:type="dxa"/>
                    <w:right w:w="57" w:type="dxa"/>
                  </w:tcMar>
                  <w:vAlign w:val="center"/>
                </w:tcPr>
                <w:p>
                  <w:pPr>
                    <w:jc w:val="center"/>
                    <w:rPr>
                      <w:szCs w:val="22"/>
                    </w:rPr>
                  </w:pPr>
                  <w:r>
                    <w:rPr>
                      <w:szCs w:val="22"/>
                    </w:rPr>
                    <w:t>64.0</w:t>
                  </w:r>
                </w:p>
              </w:tc>
              <w:tc>
                <w:tcPr>
                  <w:tcW w:w="653" w:type="dxa"/>
                  <w:tcBorders>
                    <w:tl2br w:val="nil"/>
                    <w:tr2bl w:val="nil"/>
                  </w:tcBorders>
                  <w:tcMar>
                    <w:left w:w="57" w:type="dxa"/>
                    <w:right w:w="57" w:type="dxa"/>
                  </w:tcMar>
                  <w:vAlign w:val="center"/>
                </w:tcPr>
                <w:p>
                  <w:pPr>
                    <w:jc w:val="center"/>
                    <w:rPr>
                      <w:szCs w:val="22"/>
                    </w:rPr>
                  </w:pPr>
                  <w:r>
                    <w:rPr>
                      <w:szCs w:val="22"/>
                    </w:rPr>
                    <w:t>60.5</w:t>
                  </w:r>
                </w:p>
              </w:tc>
              <w:tc>
                <w:tcPr>
                  <w:tcW w:w="651" w:type="dxa"/>
                  <w:tcBorders>
                    <w:tl2br w:val="nil"/>
                    <w:tr2bl w:val="nil"/>
                  </w:tcBorders>
                  <w:tcMar>
                    <w:left w:w="57" w:type="dxa"/>
                    <w:right w:w="57" w:type="dxa"/>
                  </w:tcMar>
                  <w:vAlign w:val="center"/>
                </w:tcPr>
                <w:p>
                  <w:pPr>
                    <w:jc w:val="center"/>
                    <w:rPr>
                      <w:szCs w:val="22"/>
                    </w:rPr>
                  </w:pPr>
                  <w:r>
                    <w:rPr>
                      <w:szCs w:val="22"/>
                    </w:rPr>
                    <w:t>58.0</w:t>
                  </w:r>
                </w:p>
              </w:tc>
              <w:tc>
                <w:tcPr>
                  <w:tcW w:w="653" w:type="dxa"/>
                  <w:tcBorders>
                    <w:tl2br w:val="nil"/>
                    <w:tr2bl w:val="nil"/>
                  </w:tcBorders>
                  <w:tcMar>
                    <w:left w:w="57" w:type="dxa"/>
                    <w:right w:w="57" w:type="dxa"/>
                  </w:tcMar>
                  <w:vAlign w:val="center"/>
                </w:tcPr>
                <w:p>
                  <w:pPr>
                    <w:jc w:val="center"/>
                    <w:rPr>
                      <w:szCs w:val="22"/>
                    </w:rPr>
                  </w:pPr>
                  <w:r>
                    <w:rPr>
                      <w:szCs w:val="22"/>
                    </w:rPr>
                    <w:t>56.0</w:t>
                  </w:r>
                </w:p>
              </w:tc>
              <w:tc>
                <w:tcPr>
                  <w:tcW w:w="653" w:type="dxa"/>
                  <w:tcBorders>
                    <w:tl2br w:val="nil"/>
                    <w:tr2bl w:val="nil"/>
                  </w:tcBorders>
                  <w:tcMar>
                    <w:left w:w="57" w:type="dxa"/>
                    <w:right w:w="57" w:type="dxa"/>
                  </w:tcMar>
                  <w:vAlign w:val="center"/>
                </w:tcPr>
                <w:p>
                  <w:pPr>
                    <w:jc w:val="center"/>
                    <w:rPr>
                      <w:szCs w:val="22"/>
                    </w:rPr>
                  </w:pPr>
                  <w:r>
                    <w:rPr>
                      <w:szCs w:val="22"/>
                    </w:rPr>
                    <w:t>52.5</w:t>
                  </w:r>
                </w:p>
              </w:tc>
              <w:tc>
                <w:tcPr>
                  <w:tcW w:w="653" w:type="dxa"/>
                  <w:tcBorders>
                    <w:tl2br w:val="nil"/>
                    <w:tr2bl w:val="nil"/>
                  </w:tcBorders>
                  <w:tcMar>
                    <w:left w:w="57" w:type="dxa"/>
                    <w:right w:w="57" w:type="dxa"/>
                  </w:tcMar>
                  <w:vAlign w:val="center"/>
                </w:tcPr>
                <w:p>
                  <w:pPr>
                    <w:jc w:val="center"/>
                    <w:rPr>
                      <w:szCs w:val="22"/>
                    </w:rPr>
                  </w:pPr>
                  <w:r>
                    <w:rPr>
                      <w:szCs w:val="22"/>
                    </w:rPr>
                    <w:t>50.0</w:t>
                  </w:r>
                </w:p>
              </w:tc>
              <w:tc>
                <w:tcPr>
                  <w:tcW w:w="621" w:type="dxa"/>
                  <w:tcBorders>
                    <w:tl2br w:val="nil"/>
                    <w:tr2bl w:val="nil"/>
                  </w:tcBorders>
                  <w:tcMar>
                    <w:left w:w="57" w:type="dxa"/>
                    <w:right w:w="57" w:type="dxa"/>
                  </w:tcMar>
                  <w:vAlign w:val="center"/>
                </w:tcPr>
                <w:p>
                  <w:pPr>
                    <w:jc w:val="center"/>
                    <w:rPr>
                      <w:szCs w:val="22"/>
                    </w:rPr>
                  </w:pPr>
                  <w:r>
                    <w:rPr>
                      <w:szCs w:val="22"/>
                    </w:rPr>
                    <w:t>46.5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85" w:type="dxa"/>
                  <w:tcBorders>
                    <w:tl2br w:val="nil"/>
                    <w:tr2bl w:val="nil"/>
                  </w:tcBorders>
                  <w:vAlign w:val="center"/>
                </w:tcPr>
                <w:p>
                  <w:pPr>
                    <w:jc w:val="center"/>
                    <w:rPr>
                      <w:szCs w:val="22"/>
                    </w:rPr>
                  </w:pPr>
                  <w:r>
                    <w:rPr>
                      <w:szCs w:val="22"/>
                    </w:rPr>
                    <w:t>5</w:t>
                  </w:r>
                </w:p>
              </w:tc>
              <w:tc>
                <w:tcPr>
                  <w:tcW w:w="1435" w:type="dxa"/>
                  <w:tcBorders>
                    <w:tl2br w:val="nil"/>
                    <w:tr2bl w:val="nil"/>
                  </w:tcBorders>
                  <w:vAlign w:val="center"/>
                </w:tcPr>
                <w:p>
                  <w:pPr>
                    <w:jc w:val="center"/>
                    <w:rPr>
                      <w:szCs w:val="22"/>
                    </w:rPr>
                  </w:pPr>
                  <w:r>
                    <w:rPr>
                      <w:szCs w:val="22"/>
                    </w:rPr>
                    <w:t>电锯、电刨</w:t>
                  </w:r>
                </w:p>
              </w:tc>
              <w:tc>
                <w:tcPr>
                  <w:tcW w:w="715" w:type="dxa"/>
                  <w:tcBorders>
                    <w:tl2br w:val="nil"/>
                    <w:tr2bl w:val="nil"/>
                  </w:tcBorders>
                  <w:vAlign w:val="center"/>
                </w:tcPr>
                <w:p>
                  <w:pPr>
                    <w:jc w:val="center"/>
                    <w:rPr>
                      <w:szCs w:val="22"/>
                    </w:rPr>
                  </w:pPr>
                  <w:r>
                    <w:rPr>
                      <w:szCs w:val="22"/>
                    </w:rPr>
                    <w:t>83.0</w:t>
                  </w:r>
                </w:p>
              </w:tc>
              <w:tc>
                <w:tcPr>
                  <w:tcW w:w="651" w:type="dxa"/>
                  <w:tcBorders>
                    <w:tl2br w:val="nil"/>
                    <w:tr2bl w:val="nil"/>
                  </w:tcBorders>
                  <w:vAlign w:val="center"/>
                </w:tcPr>
                <w:p>
                  <w:pPr>
                    <w:jc w:val="center"/>
                    <w:rPr>
                      <w:szCs w:val="22"/>
                    </w:rPr>
                  </w:pPr>
                  <w:r>
                    <w:rPr>
                      <w:szCs w:val="22"/>
                    </w:rPr>
                    <w:t>77.0</w:t>
                  </w:r>
                </w:p>
              </w:tc>
              <w:tc>
                <w:tcPr>
                  <w:tcW w:w="653" w:type="dxa"/>
                  <w:tcBorders>
                    <w:tl2br w:val="nil"/>
                    <w:tr2bl w:val="nil"/>
                  </w:tcBorders>
                  <w:tcMar>
                    <w:left w:w="57" w:type="dxa"/>
                    <w:right w:w="57" w:type="dxa"/>
                  </w:tcMar>
                  <w:vAlign w:val="center"/>
                </w:tcPr>
                <w:p>
                  <w:pPr>
                    <w:jc w:val="center"/>
                    <w:rPr>
                      <w:szCs w:val="22"/>
                    </w:rPr>
                  </w:pPr>
                  <w:r>
                    <w:rPr>
                      <w:szCs w:val="22"/>
                    </w:rPr>
                    <w:t>71.0</w:t>
                  </w:r>
                </w:p>
              </w:tc>
              <w:tc>
                <w:tcPr>
                  <w:tcW w:w="653" w:type="dxa"/>
                  <w:tcBorders>
                    <w:tl2br w:val="nil"/>
                    <w:tr2bl w:val="nil"/>
                  </w:tcBorders>
                  <w:tcMar>
                    <w:left w:w="57" w:type="dxa"/>
                    <w:right w:w="57" w:type="dxa"/>
                  </w:tcMar>
                  <w:vAlign w:val="center"/>
                </w:tcPr>
                <w:p>
                  <w:pPr>
                    <w:jc w:val="center"/>
                    <w:rPr>
                      <w:szCs w:val="22"/>
                    </w:rPr>
                  </w:pPr>
                  <w:r>
                    <w:rPr>
                      <w:szCs w:val="22"/>
                    </w:rPr>
                    <w:t>67.4</w:t>
                  </w:r>
                </w:p>
              </w:tc>
              <w:tc>
                <w:tcPr>
                  <w:tcW w:w="651" w:type="dxa"/>
                  <w:tcBorders>
                    <w:tl2br w:val="nil"/>
                    <w:tr2bl w:val="nil"/>
                  </w:tcBorders>
                  <w:tcMar>
                    <w:left w:w="57" w:type="dxa"/>
                    <w:right w:w="57" w:type="dxa"/>
                  </w:tcMar>
                  <w:vAlign w:val="center"/>
                </w:tcPr>
                <w:p>
                  <w:pPr>
                    <w:jc w:val="center"/>
                    <w:rPr>
                      <w:szCs w:val="22"/>
                    </w:rPr>
                  </w:pPr>
                  <w:r>
                    <w:rPr>
                      <w:szCs w:val="22"/>
                    </w:rPr>
                    <w:t>64.9</w:t>
                  </w:r>
                </w:p>
              </w:tc>
              <w:tc>
                <w:tcPr>
                  <w:tcW w:w="653" w:type="dxa"/>
                  <w:tcBorders>
                    <w:tl2br w:val="nil"/>
                    <w:tr2bl w:val="nil"/>
                  </w:tcBorders>
                  <w:tcMar>
                    <w:left w:w="57" w:type="dxa"/>
                    <w:right w:w="57" w:type="dxa"/>
                  </w:tcMar>
                  <w:vAlign w:val="center"/>
                </w:tcPr>
                <w:p>
                  <w:pPr>
                    <w:jc w:val="center"/>
                    <w:rPr>
                      <w:szCs w:val="22"/>
                    </w:rPr>
                  </w:pPr>
                  <w:r>
                    <w:rPr>
                      <w:szCs w:val="22"/>
                    </w:rPr>
                    <w:t>63.0</w:t>
                  </w:r>
                </w:p>
              </w:tc>
              <w:tc>
                <w:tcPr>
                  <w:tcW w:w="653" w:type="dxa"/>
                  <w:tcBorders>
                    <w:tl2br w:val="nil"/>
                    <w:tr2bl w:val="nil"/>
                  </w:tcBorders>
                  <w:tcMar>
                    <w:left w:w="57" w:type="dxa"/>
                    <w:right w:w="57" w:type="dxa"/>
                  </w:tcMar>
                  <w:vAlign w:val="center"/>
                </w:tcPr>
                <w:p>
                  <w:pPr>
                    <w:jc w:val="center"/>
                    <w:rPr>
                      <w:szCs w:val="22"/>
                    </w:rPr>
                  </w:pPr>
                  <w:r>
                    <w:rPr>
                      <w:szCs w:val="22"/>
                    </w:rPr>
                    <w:t>59.5</w:t>
                  </w:r>
                </w:p>
              </w:tc>
              <w:tc>
                <w:tcPr>
                  <w:tcW w:w="653" w:type="dxa"/>
                  <w:tcBorders>
                    <w:tl2br w:val="nil"/>
                    <w:tr2bl w:val="nil"/>
                  </w:tcBorders>
                  <w:tcMar>
                    <w:left w:w="57" w:type="dxa"/>
                    <w:right w:w="57" w:type="dxa"/>
                  </w:tcMar>
                  <w:vAlign w:val="center"/>
                </w:tcPr>
                <w:p>
                  <w:pPr>
                    <w:jc w:val="center"/>
                    <w:rPr>
                      <w:szCs w:val="22"/>
                    </w:rPr>
                  </w:pPr>
                  <w:r>
                    <w:rPr>
                      <w:szCs w:val="22"/>
                    </w:rPr>
                    <w:t>57.0</w:t>
                  </w:r>
                </w:p>
              </w:tc>
              <w:tc>
                <w:tcPr>
                  <w:tcW w:w="621" w:type="dxa"/>
                  <w:tcBorders>
                    <w:tl2br w:val="nil"/>
                    <w:tr2bl w:val="nil"/>
                  </w:tcBorders>
                  <w:tcMar>
                    <w:left w:w="57" w:type="dxa"/>
                    <w:right w:w="57" w:type="dxa"/>
                  </w:tcMar>
                  <w:vAlign w:val="center"/>
                </w:tcPr>
                <w:p>
                  <w:pPr>
                    <w:jc w:val="center"/>
                    <w:rPr>
                      <w:szCs w:val="22"/>
                    </w:rPr>
                  </w:pPr>
                  <w:r>
                    <w:rPr>
                      <w:szCs w:val="22"/>
                    </w:rPr>
                    <w:t>53.5</w:t>
                  </w:r>
                </w:p>
              </w:tc>
            </w:tr>
          </w:tbl>
          <w:p>
            <w:pPr>
              <w:keepNext/>
              <w:keepLines/>
              <w:spacing w:line="360" w:lineRule="auto"/>
              <w:ind w:firstLine="480" w:firstLineChars="200"/>
              <w:outlineLvl w:val="2"/>
              <w:rPr>
                <w:sz w:val="24"/>
                <w:szCs w:val="24"/>
              </w:rPr>
            </w:pPr>
            <w:r>
              <w:rPr>
                <w:sz w:val="24"/>
                <w:szCs w:val="24"/>
              </w:rPr>
              <w:t>（4）影响分析</w:t>
            </w:r>
          </w:p>
          <w:p>
            <w:pPr>
              <w:spacing w:line="360" w:lineRule="auto"/>
              <w:ind w:firstLine="480"/>
              <w:rPr>
                <w:sz w:val="24"/>
                <w:szCs w:val="22"/>
              </w:rPr>
            </w:pPr>
            <w:r>
              <w:rPr>
                <w:sz w:val="24"/>
                <w:szCs w:val="24"/>
              </w:rPr>
              <w:t>将表25噪声源预测计算结果与《建筑施工场界环境噪声排放标准》（GB12523-2011）标准限值对照可知，本项目土石方、结构施工阶段，每种施工机械距工地昼间60m、夜间300m方可满足施工场界噪声限值的要求</w:t>
            </w:r>
            <w:r>
              <w:rPr>
                <w:rFonts w:hint="eastAsia"/>
                <w:sz w:val="24"/>
                <w:szCs w:val="24"/>
              </w:rPr>
              <w:t>，</w:t>
            </w:r>
            <w:r>
              <w:rPr>
                <w:rFonts w:hint="eastAsia"/>
                <w:sz w:val="24"/>
                <w:szCs w:val="22"/>
              </w:rPr>
              <w:t>距离</w:t>
            </w:r>
            <w:r>
              <w:rPr>
                <w:sz w:val="24"/>
                <w:szCs w:val="22"/>
              </w:rPr>
              <w:t>项目最近敏感点为</w:t>
            </w:r>
            <w:r>
              <w:rPr>
                <w:rFonts w:hint="eastAsia"/>
                <w:sz w:val="24"/>
                <w:szCs w:val="22"/>
              </w:rPr>
              <w:t>项目</w:t>
            </w:r>
            <w:r>
              <w:rPr>
                <w:sz w:val="24"/>
                <w:szCs w:val="22"/>
              </w:rPr>
              <w:t>厂区西北侧750</w:t>
            </w:r>
            <w:r>
              <w:rPr>
                <w:rFonts w:hint="eastAsia"/>
                <w:sz w:val="24"/>
                <w:szCs w:val="22"/>
              </w:rPr>
              <w:t>m处</w:t>
            </w:r>
            <w:r>
              <w:rPr>
                <w:sz w:val="24"/>
                <w:szCs w:val="22"/>
              </w:rPr>
              <w:t>的</w:t>
            </w:r>
            <w:r>
              <w:rPr>
                <w:rFonts w:hint="eastAsia"/>
                <w:sz w:val="24"/>
                <w:szCs w:val="22"/>
              </w:rPr>
              <w:t>王家庄</w:t>
            </w:r>
            <w:r>
              <w:rPr>
                <w:sz w:val="24"/>
                <w:szCs w:val="22"/>
              </w:rPr>
              <w:t>村</w:t>
            </w:r>
            <w:r>
              <w:rPr>
                <w:rFonts w:hint="eastAsia"/>
                <w:sz w:val="24"/>
                <w:szCs w:val="22"/>
              </w:rPr>
              <w:t>，</w:t>
            </w:r>
            <w:r>
              <w:rPr>
                <w:sz w:val="24"/>
                <w:szCs w:val="22"/>
              </w:rPr>
              <w:t>因此，项目施工时不会对周围敏感点</w:t>
            </w:r>
            <w:r>
              <w:rPr>
                <w:rFonts w:hint="eastAsia"/>
                <w:sz w:val="24"/>
                <w:szCs w:val="22"/>
              </w:rPr>
              <w:t>声环境</w:t>
            </w:r>
            <w:r>
              <w:rPr>
                <w:sz w:val="24"/>
                <w:szCs w:val="22"/>
              </w:rPr>
              <w:t>产生不利影响。</w:t>
            </w:r>
          </w:p>
          <w:p>
            <w:pPr>
              <w:adjustRightInd w:val="0"/>
              <w:spacing w:line="360" w:lineRule="auto"/>
              <w:ind w:left="420" w:leftChars="200"/>
              <w:textAlignment w:val="baseline"/>
              <w:rPr>
                <w:sz w:val="24"/>
                <w:szCs w:val="24"/>
              </w:rPr>
            </w:pPr>
            <w:r>
              <w:rPr>
                <w:sz w:val="24"/>
                <w:szCs w:val="24"/>
              </w:rPr>
              <w:t>（5）施工噪声影响缓解措施</w:t>
            </w:r>
          </w:p>
          <w:p>
            <w:pPr>
              <w:spacing w:line="360" w:lineRule="auto"/>
              <w:ind w:firstLine="480" w:firstLineChars="200"/>
              <w:rPr>
                <w:color w:val="000000"/>
                <w:sz w:val="24"/>
                <w:szCs w:val="22"/>
              </w:rPr>
            </w:pPr>
            <w:r>
              <w:rPr>
                <w:color w:val="000000"/>
                <w:sz w:val="24"/>
                <w:szCs w:val="22"/>
              </w:rPr>
              <w:t>为最大限度避免和减轻施工及运输噪声对周围声环境的影响，本评价对施工期噪声控制提出以下要求和建议：</w:t>
            </w:r>
          </w:p>
          <w:p>
            <w:pPr>
              <w:spacing w:line="360" w:lineRule="auto"/>
              <w:ind w:firstLine="480"/>
              <w:rPr>
                <w:color w:val="000000"/>
                <w:sz w:val="24"/>
                <w:szCs w:val="22"/>
              </w:rPr>
            </w:pPr>
            <w:r>
              <w:rPr>
                <w:rFonts w:hint="eastAsia" w:ascii="宋体" w:hAnsi="宋体" w:cs="宋体"/>
                <w:color w:val="000000"/>
                <w:sz w:val="24"/>
                <w:szCs w:val="22"/>
              </w:rPr>
              <w:t>①</w:t>
            </w:r>
            <w:r>
              <w:rPr>
                <w:color w:val="000000"/>
                <w:sz w:val="24"/>
                <w:szCs w:val="22"/>
              </w:rPr>
              <w:t>建设单位应要求施工单位使用低噪声机械设备，同时在施工过程中应设置专人对设备进行定期保养和维护，并负责对现场工作人员进行培训，严格按操作规范使用各类机械；</w:t>
            </w:r>
          </w:p>
          <w:p>
            <w:pPr>
              <w:spacing w:line="360" w:lineRule="auto"/>
              <w:ind w:firstLine="480"/>
              <w:rPr>
                <w:color w:val="000000"/>
                <w:sz w:val="24"/>
                <w:szCs w:val="22"/>
              </w:rPr>
            </w:pPr>
            <w:r>
              <w:rPr>
                <w:rFonts w:hint="eastAsia" w:ascii="宋体" w:hAnsi="宋体" w:cs="宋体"/>
                <w:color w:val="000000"/>
                <w:sz w:val="24"/>
                <w:szCs w:val="22"/>
              </w:rPr>
              <w:t>②</w:t>
            </w:r>
            <w:r>
              <w:rPr>
                <w:color w:val="000000"/>
                <w:sz w:val="24"/>
                <w:szCs w:val="22"/>
              </w:rPr>
              <w:t>合理安排施工时间和施工顺序，利用距离衰减措施，在不影响施工情况下将强噪声设备尽量分散布置使用，固定机械设备应尽量入棚操作；</w:t>
            </w:r>
          </w:p>
          <w:p>
            <w:pPr>
              <w:spacing w:line="360" w:lineRule="auto"/>
              <w:ind w:firstLine="480"/>
              <w:rPr>
                <w:color w:val="000000"/>
                <w:sz w:val="24"/>
                <w:szCs w:val="22"/>
              </w:rPr>
            </w:pPr>
            <w:r>
              <w:rPr>
                <w:rFonts w:hint="eastAsia" w:ascii="宋体" w:hAnsi="宋体" w:cs="宋体"/>
                <w:color w:val="000000"/>
                <w:sz w:val="24"/>
                <w:szCs w:val="22"/>
              </w:rPr>
              <w:t>③</w:t>
            </w:r>
            <w:r>
              <w:rPr>
                <w:color w:val="000000"/>
                <w:sz w:val="24"/>
                <w:szCs w:val="22"/>
              </w:rPr>
              <w:t>在结构施工阶段和装修阶段，建筑物的外部采用围挡，减轻施工噪声对外环境的影响；</w:t>
            </w:r>
          </w:p>
          <w:p>
            <w:pPr>
              <w:spacing w:line="360" w:lineRule="auto"/>
              <w:ind w:firstLine="480"/>
              <w:rPr>
                <w:color w:val="000000"/>
                <w:sz w:val="24"/>
                <w:szCs w:val="22"/>
              </w:rPr>
            </w:pPr>
            <w:r>
              <w:rPr>
                <w:rFonts w:hint="eastAsia" w:ascii="宋体" w:hAnsi="宋体" w:cs="宋体"/>
                <w:color w:val="000000"/>
                <w:sz w:val="24"/>
                <w:szCs w:val="22"/>
              </w:rPr>
              <w:t>④</w:t>
            </w:r>
            <w:r>
              <w:rPr>
                <w:color w:val="000000"/>
                <w:sz w:val="24"/>
                <w:szCs w:val="22"/>
              </w:rPr>
              <w:t>运输车辆应合理选择路线，尽量避开噪声敏感点较多路线，通过靠近居民区路段时应减速慢行、禁止禁鸣。</w:t>
            </w:r>
          </w:p>
          <w:p>
            <w:pPr>
              <w:adjustRightInd w:val="0"/>
              <w:spacing w:line="360" w:lineRule="auto"/>
              <w:ind w:firstLine="480" w:firstLineChars="200"/>
              <w:textAlignment w:val="baseline"/>
              <w:rPr>
                <w:sz w:val="24"/>
                <w:szCs w:val="24"/>
              </w:rPr>
            </w:pPr>
            <w:r>
              <w:rPr>
                <w:sz w:val="24"/>
                <w:szCs w:val="24"/>
              </w:rPr>
              <w:t>采取以上措施后，可有效减轻施工噪声对周围环境的影响，可使建筑施工噪声满足《建筑施工场界环境噪声排放标准》（GB12523-2011）限值要求。</w:t>
            </w:r>
          </w:p>
          <w:p>
            <w:pPr>
              <w:adjustRightInd w:val="0"/>
              <w:spacing w:line="360" w:lineRule="auto"/>
              <w:ind w:left="420" w:leftChars="200"/>
              <w:textAlignment w:val="baseline"/>
              <w:rPr>
                <w:b/>
                <w:bCs/>
                <w:sz w:val="24"/>
                <w:szCs w:val="24"/>
              </w:rPr>
            </w:pPr>
            <w:r>
              <w:rPr>
                <w:b/>
                <w:bCs/>
                <w:sz w:val="24"/>
                <w:szCs w:val="24"/>
              </w:rPr>
              <w:t>4、施工期固体废物影响分析</w:t>
            </w:r>
          </w:p>
          <w:p>
            <w:pPr>
              <w:adjustRightInd w:val="0"/>
              <w:spacing w:line="360" w:lineRule="auto"/>
              <w:ind w:firstLine="480" w:firstLineChars="200"/>
              <w:textAlignment w:val="baseline"/>
              <w:rPr>
                <w:sz w:val="24"/>
                <w:szCs w:val="24"/>
              </w:rPr>
            </w:pPr>
            <w:r>
              <w:rPr>
                <w:sz w:val="24"/>
                <w:szCs w:val="24"/>
              </w:rPr>
              <w:t>本项目施工期产生的固体废物主要包括施工过程产生的弃土等建筑垃圾以及施工人员产生的生活垃圾。施工过程产生的弃土大部分用于回填地基，剩余部分用于厂区平整和绿化等，建筑垃圾用于平整场地；生活垃圾收集后由环卫部门负责清运处理。</w:t>
            </w:r>
          </w:p>
          <w:p>
            <w:pPr>
              <w:adjustRightInd w:val="0"/>
              <w:spacing w:line="360" w:lineRule="auto"/>
              <w:ind w:firstLine="480" w:firstLineChars="200"/>
              <w:textAlignment w:val="baseline"/>
              <w:rPr>
                <w:sz w:val="24"/>
                <w:szCs w:val="24"/>
              </w:rPr>
            </w:pPr>
            <w:r>
              <w:rPr>
                <w:sz w:val="24"/>
                <w:szCs w:val="24"/>
              </w:rPr>
              <w:t>采取以上措施后，施工期固体废物全部得到妥善处置，不会对周围环境产生明显影响。</w:t>
            </w:r>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pStyle w:val="2"/>
              <w:rPr>
                <w:sz w:val="24"/>
                <w:szCs w:val="24"/>
              </w:rPr>
            </w:pPr>
          </w:p>
          <w:p>
            <w:pPr>
              <w:rPr>
                <w:sz w:val="24"/>
                <w:szCs w:val="24"/>
              </w:rPr>
            </w:pPr>
          </w:p>
          <w:p>
            <w:pPr>
              <w:pStyle w:val="2"/>
              <w:rPr>
                <w:sz w:val="24"/>
                <w:szCs w:val="24"/>
              </w:rPr>
            </w:pPr>
          </w:p>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adjustRightInd w:val="0"/>
              <w:spacing w:line="360" w:lineRule="auto"/>
              <w:ind w:firstLine="480" w:firstLineChars="200"/>
              <w:textAlignment w:val="baseline"/>
              <w:rPr>
                <w:sz w:val="24"/>
                <w:szCs w:val="24"/>
              </w:rPr>
            </w:pPr>
          </w:p>
          <w:p>
            <w:pPr>
              <w:spacing w:line="360" w:lineRule="auto"/>
              <w:contextualSpacing/>
              <w:rPr>
                <w:b/>
                <w:kern w:val="0"/>
                <w:sz w:val="32"/>
                <w:szCs w:val="32"/>
              </w:rPr>
            </w:pPr>
            <w:r>
              <w:rPr>
                <w:b/>
                <w:kern w:val="0"/>
                <w:sz w:val="32"/>
                <w:szCs w:val="32"/>
              </w:rPr>
              <w:t>营运期环境影响分析：</w:t>
            </w:r>
          </w:p>
          <w:p>
            <w:pPr>
              <w:spacing w:line="360" w:lineRule="auto"/>
              <w:ind w:firstLine="482" w:firstLineChars="200"/>
              <w:rPr>
                <w:b/>
                <w:sz w:val="24"/>
                <w:szCs w:val="24"/>
              </w:rPr>
            </w:pPr>
            <w:r>
              <w:rPr>
                <w:rFonts w:hint="eastAsia"/>
                <w:b/>
                <w:sz w:val="24"/>
                <w:szCs w:val="24"/>
              </w:rPr>
              <w:t>一、</w:t>
            </w:r>
            <w:r>
              <w:rPr>
                <w:b/>
                <w:sz w:val="24"/>
                <w:szCs w:val="24"/>
              </w:rPr>
              <w:t>大气环境影响分析</w:t>
            </w:r>
          </w:p>
          <w:p>
            <w:pPr>
              <w:spacing w:line="360" w:lineRule="auto"/>
              <w:ind w:firstLine="482" w:firstLineChars="200"/>
              <w:rPr>
                <w:b/>
                <w:bCs/>
                <w:sz w:val="24"/>
                <w:szCs w:val="24"/>
              </w:rPr>
            </w:pPr>
            <w:r>
              <w:rPr>
                <w:b/>
                <w:bCs/>
                <w:sz w:val="24"/>
                <w:szCs w:val="24"/>
              </w:rPr>
              <w:t>1、废气污染源及治理措施</w:t>
            </w:r>
          </w:p>
          <w:p>
            <w:pPr>
              <w:spacing w:line="360" w:lineRule="auto"/>
              <w:ind w:firstLine="480" w:firstLineChars="200"/>
              <w:rPr>
                <w:bCs/>
                <w:sz w:val="24"/>
                <w:szCs w:val="24"/>
              </w:rPr>
            </w:pPr>
            <w:r>
              <w:rPr>
                <w:rFonts w:hint="eastAsia"/>
                <w:bCs/>
                <w:sz w:val="24"/>
                <w:szCs w:val="24"/>
                <w:lang w:val="en-US" w:eastAsia="zh-CN"/>
              </w:rPr>
              <w:t>技改项目对现有工程的污水处理系统进行提标改造，现对提标后的污水处理系统产生的恶臭废气进行重新评价。</w:t>
            </w:r>
            <w:r>
              <w:rPr>
                <w:bCs/>
                <w:sz w:val="24"/>
                <w:szCs w:val="24"/>
              </w:rPr>
              <w:t>项目</w:t>
            </w:r>
            <w:r>
              <w:rPr>
                <w:rFonts w:hint="eastAsia"/>
                <w:bCs/>
                <w:sz w:val="24"/>
                <w:szCs w:val="24"/>
              </w:rPr>
              <w:t>提标</w:t>
            </w:r>
            <w:r>
              <w:rPr>
                <w:bCs/>
                <w:sz w:val="24"/>
                <w:szCs w:val="24"/>
              </w:rPr>
              <w:t>改造后产生废气包括有组织废气及无组织废气。有组织废气为：</w:t>
            </w:r>
            <w:r>
              <w:rPr>
                <w:rFonts w:hint="eastAsia"/>
                <w:bCs/>
                <w:sz w:val="24"/>
                <w:szCs w:val="24"/>
                <w:lang w:val="en-US" w:eastAsia="zh-CN"/>
              </w:rPr>
              <w:t>污水处理系统产生的恶臭</w:t>
            </w:r>
            <w:r>
              <w:rPr>
                <w:bCs/>
                <w:sz w:val="24"/>
                <w:szCs w:val="24"/>
              </w:rPr>
              <w:t>（P1）。无组织废气为污水厂散发的恶臭。</w:t>
            </w:r>
          </w:p>
          <w:p>
            <w:pPr>
              <w:pStyle w:val="95"/>
            </w:pPr>
            <w:r>
              <w:rPr>
                <w:bCs/>
              </w:rPr>
              <w:fldChar w:fldCharType="begin"/>
            </w:r>
            <w:r>
              <w:rPr>
                <w:bCs/>
              </w:rPr>
              <w:instrText xml:space="preserve"> = 1 \* GB3 </w:instrText>
            </w:r>
            <w:r>
              <w:rPr>
                <w:bCs/>
              </w:rPr>
              <w:fldChar w:fldCharType="separate"/>
            </w:r>
            <w:r>
              <w:rPr>
                <w:rFonts w:hint="eastAsia" w:ascii="宋体" w:hAnsi="宋体" w:cs="宋体"/>
                <w:bCs/>
              </w:rPr>
              <w:t>①</w:t>
            </w:r>
            <w:r>
              <w:rPr>
                <w:bCs/>
              </w:rPr>
              <w:fldChar w:fldCharType="end"/>
            </w:r>
            <w:r>
              <w:rPr>
                <w:rFonts w:hint="eastAsia"/>
                <w:bCs/>
                <w:sz w:val="24"/>
                <w:szCs w:val="24"/>
                <w:lang w:val="en-US" w:eastAsia="zh-CN"/>
              </w:rPr>
              <w:t>污水处理系统</w:t>
            </w:r>
            <w:r>
              <w:t>（P1）</w:t>
            </w:r>
          </w:p>
          <w:p>
            <w:pPr>
              <w:pStyle w:val="95"/>
              <w:jc w:val="both"/>
            </w:pPr>
            <w:r>
              <w:rPr>
                <w:rFonts w:hint="eastAsia"/>
                <w:lang w:val="en-US" w:eastAsia="zh-CN"/>
              </w:rPr>
              <w:t>污水</w:t>
            </w:r>
            <w:r>
              <w:t>处</w:t>
            </w:r>
            <w:r>
              <w:rPr>
                <w:rFonts w:hint="eastAsia" w:ascii="宋体" w:hAnsi="宋体" w:cs="宋体"/>
              </w:rPr>
              <w:t>理系统各处理单元（</w:t>
            </w:r>
            <w:r>
              <w:rPr>
                <w:rFonts w:hint="eastAsia" w:ascii="宋体" w:hAnsi="宋体" w:cs="宋体"/>
                <w:lang w:val="en-US" w:eastAsia="zh-CN"/>
              </w:rPr>
              <w:t>调节池、水解池、缺氧池、好氧池、沉淀池、气浮池</w:t>
            </w:r>
            <w:r>
              <w:rPr>
                <w:rFonts w:hint="eastAsia" w:ascii="宋体" w:hAnsi="宋体" w:cs="宋体"/>
              </w:rPr>
              <w:t>）密闭</w:t>
            </w:r>
            <w:r>
              <w:t>，</w:t>
            </w:r>
            <w:r>
              <w:rPr>
                <w:rFonts w:hint="eastAsia"/>
              </w:rPr>
              <w:t>产生</w:t>
            </w:r>
            <w:r>
              <w:t>的</w:t>
            </w:r>
            <w:r>
              <w:rPr>
                <w:rFonts w:hint="eastAsia"/>
                <w:szCs w:val="21"/>
              </w:rPr>
              <w:t>恶臭</w:t>
            </w:r>
            <w:r>
              <w:t>气体收集后进入</w:t>
            </w:r>
            <w:r>
              <w:rPr>
                <w:rFonts w:hint="eastAsia"/>
                <w:lang w:val="en-US" w:eastAsia="zh-CN"/>
              </w:rPr>
              <w:t>生物除臭+光氧设备+活性炭吸附装置</w:t>
            </w:r>
            <w:r>
              <w:t>，经处理后，</w:t>
            </w:r>
            <w:r>
              <w:rPr>
                <w:rFonts w:hint="eastAsia"/>
              </w:rPr>
              <w:t>再</w:t>
            </w:r>
            <w:r>
              <w:t>经15m高排气筒排放。</w:t>
            </w:r>
          </w:p>
          <w:p>
            <w:pPr>
              <w:pStyle w:val="95"/>
              <w:jc w:val="both"/>
            </w:pPr>
            <w:r>
              <w:t>类比同类型企业污水处理站产生恶臭；本项目</w:t>
            </w:r>
            <w:r>
              <w:rPr>
                <w:rFonts w:hint="eastAsia" w:ascii="宋体" w:hAnsi="宋体" w:cs="宋体"/>
                <w:lang w:val="en-US" w:eastAsia="zh-CN"/>
              </w:rPr>
              <w:t>污水处理系统</w:t>
            </w:r>
            <w:r>
              <w:t>恶臭污染物H</w:t>
            </w:r>
            <w:r>
              <w:rPr>
                <w:vertAlign w:val="subscript"/>
              </w:rPr>
              <w:t>2</w:t>
            </w:r>
            <w:r>
              <w:t>S、NH</w:t>
            </w:r>
            <w:r>
              <w:rPr>
                <w:vertAlign w:val="subscript"/>
              </w:rPr>
              <w:t>3</w:t>
            </w:r>
            <w:r>
              <w:t>、臭气浓度的源强</w:t>
            </w:r>
            <w:r>
              <w:rPr>
                <w:rFonts w:hint="eastAsia"/>
              </w:rPr>
              <w:t>分别</w:t>
            </w:r>
            <w:r>
              <w:t>为0.08kg/h、1.04kg/h、10000（无量纲），</w:t>
            </w:r>
            <w:r>
              <w:rPr>
                <w:rFonts w:hint="eastAsia"/>
              </w:rPr>
              <w:t>臭气</w:t>
            </w:r>
            <w:r>
              <w:t>处理系统对恶臭气体的处理效率为90%，引风机风量</w:t>
            </w:r>
            <w:r>
              <w:rPr>
                <w:rFonts w:hint="eastAsia"/>
                <w:lang w:val="en-US" w:eastAsia="zh-CN"/>
              </w:rPr>
              <w:t>10</w:t>
            </w:r>
            <w:r>
              <w:t>000m</w:t>
            </w:r>
            <w:r>
              <w:rPr>
                <w:vertAlign w:val="superscript"/>
              </w:rPr>
              <w:t>3</w:t>
            </w:r>
            <w:r>
              <w:t>/h，经处理后，H</w:t>
            </w:r>
            <w:r>
              <w:rPr>
                <w:vertAlign w:val="subscript"/>
              </w:rPr>
              <w:t>2</w:t>
            </w:r>
            <w:r>
              <w:t>S、NH</w:t>
            </w:r>
            <w:r>
              <w:rPr>
                <w:vertAlign w:val="subscript"/>
              </w:rPr>
              <w:t>3</w:t>
            </w:r>
            <w:r>
              <w:t>排放量分别为0.07t/a、0.911t/a；H</w:t>
            </w:r>
            <w:r>
              <w:rPr>
                <w:vertAlign w:val="subscript"/>
              </w:rPr>
              <w:t>2</w:t>
            </w:r>
            <w:r>
              <w:t>S的排放浓度和排放速率为分别</w:t>
            </w:r>
            <w:r>
              <w:rPr>
                <w:rFonts w:hint="eastAsia"/>
                <w:lang w:val="en-US" w:eastAsia="zh-CN"/>
              </w:rPr>
              <w:t>1.296</w:t>
            </w:r>
            <w:r>
              <w:t>mg/m</w:t>
            </w:r>
            <w:r>
              <w:rPr>
                <w:vertAlign w:val="superscript"/>
              </w:rPr>
              <w:t>3</w:t>
            </w:r>
            <w:r>
              <w:t>、</w:t>
            </w:r>
            <w:r>
              <w:rPr>
                <w:rFonts w:hint="eastAsia"/>
                <w:lang w:val="en-US" w:eastAsia="zh-CN"/>
              </w:rPr>
              <w:t>0.013</w:t>
            </w:r>
            <w:r>
              <w:t>kg/h，NH</w:t>
            </w:r>
            <w:r>
              <w:rPr>
                <w:vertAlign w:val="subscript"/>
              </w:rPr>
              <w:t>3</w:t>
            </w:r>
            <w:r>
              <w:t>排放速率为</w:t>
            </w:r>
            <w:r>
              <w:rPr>
                <w:rFonts w:hint="eastAsia"/>
                <w:lang w:val="en-US" w:eastAsia="zh-CN"/>
              </w:rPr>
              <w:t>16.87</w:t>
            </w:r>
            <w:r>
              <w:t>mg/m</w:t>
            </w:r>
            <w:r>
              <w:rPr>
                <w:vertAlign w:val="superscript"/>
              </w:rPr>
              <w:t>3</w:t>
            </w:r>
            <w:r>
              <w:t>、</w:t>
            </w:r>
            <w:r>
              <w:rPr>
                <w:rFonts w:hint="eastAsia"/>
                <w:lang w:val="en-US" w:eastAsia="zh-CN"/>
              </w:rPr>
              <w:t>0.168</w:t>
            </w:r>
            <w:r>
              <w:t>kg/h，臭气浓度排放浓度为1000（无量纲）。</w:t>
            </w:r>
          </w:p>
          <w:p>
            <w:pPr>
              <w:pStyle w:val="95"/>
              <w:ind w:firstLine="482"/>
              <w:rPr>
                <w:b/>
              </w:rPr>
            </w:pPr>
            <w:r>
              <w:rPr>
                <w:b/>
              </w:rPr>
              <w:t>H</w:t>
            </w:r>
            <w:r>
              <w:rPr>
                <w:b/>
                <w:vertAlign w:val="subscript"/>
              </w:rPr>
              <w:t>2</w:t>
            </w:r>
            <w:r>
              <w:rPr>
                <w:b/>
              </w:rPr>
              <w:t>S、NH</w:t>
            </w:r>
            <w:r>
              <w:rPr>
                <w:b/>
                <w:vertAlign w:val="subscript"/>
              </w:rPr>
              <w:t>3</w:t>
            </w:r>
            <w:r>
              <w:rPr>
                <w:b/>
              </w:rPr>
              <w:t>、臭气浓度满足《恶臭污染物排放标准》（GB14554-93）表2标准（H</w:t>
            </w:r>
            <w:r>
              <w:rPr>
                <w:b/>
                <w:vertAlign w:val="subscript"/>
              </w:rPr>
              <w:t>2</w:t>
            </w:r>
            <w:r>
              <w:rPr>
                <w:b/>
              </w:rPr>
              <w:t>S≤0.33kg/h、NH</w:t>
            </w:r>
            <w:r>
              <w:rPr>
                <w:b/>
                <w:vertAlign w:val="subscript"/>
              </w:rPr>
              <w:t>3</w:t>
            </w:r>
            <w:r>
              <w:rPr>
                <w:b/>
              </w:rPr>
              <w:t>≤4.9kg/h、臭气浓度≤2000（无量纲））。</w:t>
            </w:r>
          </w:p>
          <w:p>
            <w:pPr>
              <w:spacing w:line="360" w:lineRule="auto"/>
              <w:ind w:firstLine="480" w:firstLineChars="200"/>
              <w:rPr>
                <w:bCs/>
                <w:sz w:val="24"/>
                <w:szCs w:val="24"/>
              </w:rPr>
            </w:pPr>
            <w:r>
              <w:rPr>
                <w:bCs/>
                <w:sz w:val="24"/>
                <w:szCs w:val="24"/>
              </w:rPr>
              <w:fldChar w:fldCharType="begin"/>
            </w:r>
            <w:r>
              <w:rPr>
                <w:bCs/>
                <w:sz w:val="24"/>
                <w:szCs w:val="24"/>
              </w:rPr>
              <w:instrText xml:space="preserve"> </w:instrText>
            </w:r>
            <w:r>
              <w:rPr>
                <w:rFonts w:hint="eastAsia"/>
                <w:bCs/>
                <w:sz w:val="24"/>
                <w:szCs w:val="24"/>
              </w:rPr>
              <w:instrText xml:space="preserve">= 3 \* GB3</w:instrText>
            </w:r>
            <w:r>
              <w:rPr>
                <w:bCs/>
                <w:sz w:val="24"/>
                <w:szCs w:val="24"/>
              </w:rPr>
              <w:instrText xml:space="preserve"> </w:instrText>
            </w:r>
            <w:r>
              <w:rPr>
                <w:bCs/>
                <w:sz w:val="24"/>
                <w:szCs w:val="24"/>
              </w:rPr>
              <w:fldChar w:fldCharType="separate"/>
            </w:r>
            <w:r>
              <w:rPr>
                <w:rFonts w:hint="eastAsia"/>
                <w:bCs/>
                <w:sz w:val="24"/>
                <w:szCs w:val="24"/>
              </w:rPr>
              <w:t>③</w:t>
            </w:r>
            <w:r>
              <w:rPr>
                <w:bCs/>
                <w:sz w:val="24"/>
                <w:szCs w:val="24"/>
              </w:rPr>
              <w:fldChar w:fldCharType="end"/>
            </w:r>
            <w:r>
              <w:rPr>
                <w:b/>
                <w:sz w:val="24"/>
                <w:szCs w:val="24"/>
              </w:rPr>
              <w:t>厂区无组织废气</w:t>
            </w:r>
          </w:p>
          <w:p>
            <w:pPr>
              <w:spacing w:line="360" w:lineRule="auto"/>
              <w:ind w:firstLine="480" w:firstLineChars="200"/>
              <w:rPr>
                <w:kern w:val="0"/>
                <w:sz w:val="24"/>
                <w:szCs w:val="24"/>
              </w:rPr>
            </w:pPr>
            <w:r>
              <w:rPr>
                <w:sz w:val="24"/>
                <w:szCs w:val="24"/>
              </w:rPr>
              <w:t>此外，未被收集的恶臭气体以无组织形式排放，</w:t>
            </w:r>
            <w:r>
              <w:rPr>
                <w:rFonts w:hint="eastAsia"/>
                <w:sz w:val="24"/>
                <w:szCs w:val="24"/>
              </w:rPr>
              <w:t>通过加强</w:t>
            </w:r>
            <w:r>
              <w:rPr>
                <w:sz w:val="24"/>
                <w:szCs w:val="24"/>
              </w:rPr>
              <w:t>厂区</w:t>
            </w:r>
            <w:r>
              <w:rPr>
                <w:rFonts w:hint="eastAsia"/>
                <w:sz w:val="24"/>
                <w:szCs w:val="24"/>
              </w:rPr>
              <w:t>绿化</w:t>
            </w:r>
            <w:r>
              <w:rPr>
                <w:sz w:val="24"/>
                <w:szCs w:val="24"/>
              </w:rPr>
              <w:t>，</w:t>
            </w:r>
            <w:r>
              <w:rPr>
                <w:rFonts w:hint="eastAsia"/>
                <w:sz w:val="24"/>
                <w:szCs w:val="24"/>
              </w:rPr>
              <w:t>根据</w:t>
            </w:r>
            <w:r>
              <w:rPr>
                <w:sz w:val="24"/>
                <w:szCs w:val="24"/>
              </w:rPr>
              <w:t>类比，H</w:t>
            </w:r>
            <w:r>
              <w:rPr>
                <w:sz w:val="24"/>
                <w:szCs w:val="24"/>
                <w:vertAlign w:val="subscript"/>
              </w:rPr>
              <w:t>2</w:t>
            </w:r>
            <w:r>
              <w:rPr>
                <w:sz w:val="24"/>
                <w:szCs w:val="24"/>
              </w:rPr>
              <w:t>S、NH</w:t>
            </w:r>
            <w:r>
              <w:rPr>
                <w:sz w:val="24"/>
                <w:szCs w:val="24"/>
                <w:vertAlign w:val="subscript"/>
              </w:rPr>
              <w:t>3</w:t>
            </w:r>
            <w:r>
              <w:rPr>
                <w:rFonts w:hint="eastAsia"/>
                <w:sz w:val="24"/>
                <w:szCs w:val="24"/>
              </w:rPr>
              <w:t>的</w:t>
            </w:r>
            <w:r>
              <w:rPr>
                <w:sz w:val="24"/>
                <w:szCs w:val="24"/>
              </w:rPr>
              <w:t>排放量分</w:t>
            </w:r>
            <w:r>
              <w:rPr>
                <w:rFonts w:hint="eastAsia"/>
                <w:sz w:val="24"/>
                <w:szCs w:val="24"/>
              </w:rPr>
              <w:t>别</w:t>
            </w:r>
            <w:r>
              <w:rPr>
                <w:sz w:val="24"/>
                <w:szCs w:val="24"/>
              </w:rPr>
              <w:t>为0.003</w:t>
            </w:r>
            <w:r>
              <w:rPr>
                <w:kern w:val="0"/>
                <w:sz w:val="24"/>
                <w:szCs w:val="24"/>
              </w:rPr>
              <w:t>t/a</w:t>
            </w:r>
            <w:r>
              <w:rPr>
                <w:rFonts w:hint="eastAsia"/>
                <w:kern w:val="0"/>
                <w:sz w:val="24"/>
                <w:szCs w:val="24"/>
              </w:rPr>
              <w:t>、</w:t>
            </w:r>
            <w:r>
              <w:rPr>
                <w:kern w:val="0"/>
                <w:sz w:val="24"/>
                <w:szCs w:val="24"/>
              </w:rPr>
              <w:t>0.088t/a</w:t>
            </w:r>
            <w:r>
              <w:rPr>
                <w:rFonts w:hint="eastAsia"/>
                <w:kern w:val="0"/>
                <w:sz w:val="24"/>
                <w:szCs w:val="24"/>
              </w:rPr>
              <w:t>，排放速率</w:t>
            </w:r>
            <w:r>
              <w:rPr>
                <w:kern w:val="0"/>
                <w:sz w:val="24"/>
                <w:szCs w:val="24"/>
              </w:rPr>
              <w:t>分别为0.0003kg/h</w:t>
            </w:r>
            <w:r>
              <w:rPr>
                <w:rFonts w:hint="eastAsia"/>
                <w:kern w:val="0"/>
                <w:sz w:val="24"/>
                <w:szCs w:val="24"/>
              </w:rPr>
              <w:t>、</w:t>
            </w:r>
            <w:r>
              <w:rPr>
                <w:kern w:val="0"/>
                <w:sz w:val="24"/>
                <w:szCs w:val="24"/>
              </w:rPr>
              <w:t>0.01kg/h</w:t>
            </w:r>
            <w:r>
              <w:rPr>
                <w:rFonts w:hint="eastAsia"/>
                <w:kern w:val="0"/>
                <w:sz w:val="24"/>
                <w:szCs w:val="24"/>
              </w:rPr>
              <w:t>，</w:t>
            </w:r>
            <w:r>
              <w:rPr>
                <w:kern w:val="0"/>
                <w:sz w:val="24"/>
                <w:szCs w:val="24"/>
              </w:rPr>
              <w:t>臭气</w:t>
            </w:r>
            <w:r>
              <w:rPr>
                <w:rFonts w:hint="eastAsia"/>
                <w:kern w:val="0"/>
                <w:sz w:val="24"/>
                <w:szCs w:val="24"/>
              </w:rPr>
              <w:t>浓度源强</w:t>
            </w:r>
            <w:r>
              <w:rPr>
                <w:kern w:val="0"/>
                <w:sz w:val="24"/>
                <w:szCs w:val="24"/>
              </w:rPr>
              <w:t>为</w:t>
            </w:r>
            <w:r>
              <w:rPr>
                <w:rFonts w:hint="eastAsia"/>
                <w:kern w:val="0"/>
                <w:sz w:val="24"/>
                <w:szCs w:val="24"/>
              </w:rPr>
              <w:t>15</w:t>
            </w:r>
            <w:r>
              <w:rPr>
                <w:sz w:val="24"/>
                <w:szCs w:val="24"/>
              </w:rPr>
              <w:t>（无量纲）</w:t>
            </w:r>
            <w:r>
              <w:rPr>
                <w:rFonts w:hint="eastAsia"/>
                <w:sz w:val="24"/>
                <w:szCs w:val="24"/>
              </w:rPr>
              <w:t>。</w:t>
            </w:r>
            <w:r>
              <w:rPr>
                <w:sz w:val="24"/>
                <w:szCs w:val="24"/>
              </w:rPr>
              <w:t>H</w:t>
            </w:r>
            <w:r>
              <w:rPr>
                <w:sz w:val="24"/>
                <w:szCs w:val="24"/>
                <w:vertAlign w:val="subscript"/>
              </w:rPr>
              <w:t>2</w:t>
            </w:r>
            <w:r>
              <w:rPr>
                <w:sz w:val="24"/>
                <w:szCs w:val="24"/>
              </w:rPr>
              <w:t>S、NH</w:t>
            </w:r>
            <w:r>
              <w:rPr>
                <w:sz w:val="24"/>
                <w:szCs w:val="24"/>
                <w:vertAlign w:val="subscript"/>
              </w:rPr>
              <w:t>3</w:t>
            </w:r>
            <w:r>
              <w:rPr>
                <w:sz w:val="24"/>
                <w:szCs w:val="24"/>
              </w:rPr>
              <w:t>、臭气浓度满足《城镇污水处理厂污染物排放标准》（GB18918-2002）表4厂界（防护带边缘）废气排放最高允许浓度二级</w:t>
            </w:r>
            <w:r>
              <w:rPr>
                <w:rFonts w:hint="eastAsia"/>
                <w:sz w:val="24"/>
                <w:szCs w:val="24"/>
              </w:rPr>
              <w:t>标准限值</w:t>
            </w:r>
            <w:r>
              <w:rPr>
                <w:kern w:val="0"/>
                <w:sz w:val="24"/>
                <w:szCs w:val="24"/>
              </w:rPr>
              <w:t>要求</w:t>
            </w:r>
            <w:r>
              <w:rPr>
                <w:sz w:val="24"/>
                <w:szCs w:val="24"/>
              </w:rPr>
              <w:t>（氨≤1.5mg/m</w:t>
            </w:r>
            <w:r>
              <w:rPr>
                <w:sz w:val="24"/>
                <w:szCs w:val="24"/>
                <w:vertAlign w:val="superscript"/>
              </w:rPr>
              <w:t>3</w:t>
            </w:r>
            <w:r>
              <w:rPr>
                <w:sz w:val="24"/>
                <w:szCs w:val="24"/>
              </w:rPr>
              <w:t>、硫化氢≤0.06mg/m</w:t>
            </w:r>
            <w:r>
              <w:rPr>
                <w:sz w:val="24"/>
                <w:szCs w:val="24"/>
                <w:vertAlign w:val="superscript"/>
              </w:rPr>
              <w:t>3</w:t>
            </w:r>
            <w:r>
              <w:rPr>
                <w:sz w:val="24"/>
                <w:szCs w:val="24"/>
              </w:rPr>
              <w:t>、臭气浓度≤20（无量纲））。</w:t>
            </w:r>
          </w:p>
          <w:p>
            <w:pPr>
              <w:spacing w:line="360" w:lineRule="auto"/>
              <w:ind w:firstLine="522"/>
              <w:rPr>
                <w:b/>
                <w:bCs/>
                <w:sz w:val="24"/>
                <w:szCs w:val="24"/>
              </w:rPr>
            </w:pPr>
            <w:r>
              <w:rPr>
                <w:b/>
                <w:bCs/>
                <w:sz w:val="24"/>
                <w:szCs w:val="24"/>
              </w:rPr>
              <w:t>2、大气环境影响评价</w:t>
            </w:r>
          </w:p>
          <w:p>
            <w:pPr>
              <w:spacing w:line="360" w:lineRule="auto"/>
              <w:ind w:firstLine="480" w:firstLineChars="200"/>
              <w:rPr>
                <w:sz w:val="24"/>
                <w:szCs w:val="24"/>
              </w:rPr>
            </w:pPr>
            <w:r>
              <w:rPr>
                <w:sz w:val="24"/>
                <w:szCs w:val="24"/>
              </w:rPr>
              <w:t>本评价依据《环境影响评价技术导则 大气环境》（HJ2.2-2018），结合项目工程分析结果，选择项目污染源正常排放的主要污染物及排放参数，采用附录A推荐模型中估算模型AERSCREEN分别计算项目污染源的最大环境影响，然后按评价工作分级判据进行分级。</w:t>
            </w:r>
          </w:p>
          <w:p>
            <w:pPr>
              <w:spacing w:line="360" w:lineRule="auto"/>
              <w:ind w:firstLine="480"/>
              <w:rPr>
                <w:sz w:val="24"/>
                <w:szCs w:val="24"/>
              </w:rPr>
            </w:pPr>
            <w:r>
              <w:rPr>
                <w:sz w:val="24"/>
                <w:szCs w:val="24"/>
              </w:rPr>
              <w:t>（1）P</w:t>
            </w:r>
            <w:r>
              <w:rPr>
                <w:sz w:val="24"/>
                <w:szCs w:val="24"/>
                <w:vertAlign w:val="subscript"/>
              </w:rPr>
              <w:t>max</w:t>
            </w:r>
            <w:r>
              <w:rPr>
                <w:sz w:val="24"/>
                <w:szCs w:val="24"/>
              </w:rPr>
              <w:t>及D</w:t>
            </w:r>
            <w:r>
              <w:rPr>
                <w:sz w:val="24"/>
                <w:szCs w:val="24"/>
                <w:vertAlign w:val="subscript"/>
              </w:rPr>
              <w:t>10%</w:t>
            </w:r>
            <w:r>
              <w:rPr>
                <w:sz w:val="24"/>
                <w:szCs w:val="24"/>
              </w:rPr>
              <w:t>的确定</w:t>
            </w:r>
          </w:p>
          <w:p>
            <w:pPr>
              <w:spacing w:line="360" w:lineRule="auto"/>
              <w:ind w:firstLine="480"/>
            </w:pPr>
            <w:r>
              <w:rPr>
                <w:sz w:val="24"/>
                <w:szCs w:val="24"/>
              </w:rPr>
              <w:t>依据《环境影响评价技术导则 大气环境》（HJ2.2-2018）中最大地面浓度占标率的计算公式，按照规定，分别计算项目排放主要污染物的最大地面空气质量浓度占标率Pi（第i个污染物，简称“最大浓度占标率”），及第i个污染物的地面空气质量浓度达标准限值的10%时所对应的最远距离D</w:t>
            </w:r>
            <w:r>
              <w:rPr>
                <w:sz w:val="24"/>
                <w:szCs w:val="24"/>
                <w:vertAlign w:val="subscript"/>
              </w:rPr>
              <w:t>10%</w:t>
            </w:r>
            <w:r>
              <w:rPr>
                <w:sz w:val="24"/>
                <w:szCs w:val="24"/>
              </w:rPr>
              <w:t>，其中Pi定义为：</w:t>
            </w:r>
          </w:p>
          <w:p>
            <w:pPr>
              <w:spacing w:line="360" w:lineRule="auto"/>
              <w:ind w:firstLine="480"/>
              <w:jc w:val="center"/>
            </w:pPr>
            <w:r>
              <w:object>
                <v:shape id="_x0000_i1027" o:spt="75" type="#_x0000_t75" style="height:36pt;width:79.5pt;" o:ole="t" filled="f" o:preferrelative="t" stroked="f" coordsize="21600,21600">
                  <v:path/>
                  <v:fill on="f" focussize="0,0"/>
                  <v:stroke on="f" joinstyle="miter"/>
                  <v:imagedata r:id="rId17" o:title=""/>
                  <o:lock v:ext="edit" aspectratio="t"/>
                  <w10:wrap type="none"/>
                  <w10:anchorlock/>
                </v:shape>
                <o:OLEObject Type="Embed" ProgID="Equation.DSMT4" ShapeID="_x0000_i1027" DrawAspect="Content" ObjectID="_1468075727" r:id="rId16">
                  <o:LockedField>false</o:LockedField>
                </o:OLEObject>
              </w:object>
            </w:r>
          </w:p>
          <w:p>
            <w:pPr>
              <w:spacing w:line="360" w:lineRule="auto"/>
              <w:ind w:firstLine="480"/>
              <w:rPr>
                <w:sz w:val="24"/>
                <w:szCs w:val="24"/>
              </w:rPr>
            </w:pPr>
            <w:r>
              <w:rPr>
                <w:sz w:val="24"/>
                <w:szCs w:val="24"/>
              </w:rPr>
              <w:t>式中：P</w:t>
            </w:r>
            <w:r>
              <w:rPr>
                <w:sz w:val="24"/>
                <w:szCs w:val="24"/>
                <w:vertAlign w:val="subscript"/>
              </w:rPr>
              <w:t>i</w:t>
            </w:r>
            <w:r>
              <w:rPr>
                <w:sz w:val="24"/>
                <w:szCs w:val="24"/>
              </w:rPr>
              <w:t>－第i个污染物的最大地面空气质量浓度占标率，%；</w:t>
            </w:r>
          </w:p>
          <w:p>
            <w:pPr>
              <w:spacing w:line="360" w:lineRule="auto"/>
              <w:ind w:firstLine="480"/>
              <w:rPr>
                <w:sz w:val="24"/>
                <w:szCs w:val="24"/>
              </w:rPr>
            </w:pPr>
            <w:r>
              <w:rPr>
                <w:sz w:val="24"/>
                <w:szCs w:val="24"/>
              </w:rPr>
              <w:t>C</w:t>
            </w:r>
            <w:r>
              <w:rPr>
                <w:sz w:val="24"/>
                <w:szCs w:val="24"/>
                <w:vertAlign w:val="subscript"/>
              </w:rPr>
              <w:t>i</w:t>
            </w:r>
            <w:r>
              <w:rPr>
                <w:sz w:val="24"/>
                <w:szCs w:val="24"/>
              </w:rPr>
              <w:t>－采用估算模式计算出的第i个污染物的最大1h地面空气质量浓度，mg/m</w:t>
            </w:r>
            <w:r>
              <w:rPr>
                <w:sz w:val="24"/>
                <w:szCs w:val="24"/>
                <w:vertAlign w:val="superscript"/>
              </w:rPr>
              <w:t>3</w:t>
            </w:r>
            <w:r>
              <w:rPr>
                <w:sz w:val="24"/>
                <w:szCs w:val="24"/>
              </w:rPr>
              <w:t>；</w:t>
            </w:r>
          </w:p>
          <w:p>
            <w:pPr>
              <w:pStyle w:val="24"/>
              <w:spacing w:line="360" w:lineRule="auto"/>
              <w:ind w:firstLine="480" w:firstLineChars="200"/>
              <w:rPr>
                <w:rFonts w:ascii="Times New Roman" w:hAnsi="Times New Roman"/>
                <w:sz w:val="24"/>
                <w:szCs w:val="24"/>
              </w:rPr>
            </w:pPr>
            <w:r>
              <w:rPr>
                <w:rFonts w:ascii="Times New Roman" w:hAnsi="Times New Roman"/>
                <w:sz w:val="24"/>
                <w:szCs w:val="24"/>
              </w:rPr>
              <w:t>C</w:t>
            </w:r>
            <w:r>
              <w:rPr>
                <w:rFonts w:ascii="Times New Roman" w:hAnsi="Times New Roman"/>
                <w:sz w:val="24"/>
                <w:szCs w:val="24"/>
                <w:vertAlign w:val="subscript"/>
              </w:rPr>
              <w:t>0i</w:t>
            </w:r>
            <w:r>
              <w:rPr>
                <w:rFonts w:ascii="Times New Roman" w:hAnsi="Times New Roman"/>
                <w:sz w:val="24"/>
                <w:szCs w:val="24"/>
              </w:rPr>
              <w:t>－第i个污染物的环境空气质量标准，mg/m</w:t>
            </w:r>
            <w:r>
              <w:rPr>
                <w:rFonts w:ascii="Times New Roman" w:hAnsi="Times New Roman"/>
                <w:sz w:val="24"/>
                <w:szCs w:val="24"/>
                <w:vertAlign w:val="superscript"/>
              </w:rPr>
              <w:t>3</w:t>
            </w:r>
            <w:r>
              <w:rPr>
                <w:rFonts w:ascii="Times New Roman" w:hAnsi="Times New Roman"/>
                <w:sz w:val="24"/>
                <w:szCs w:val="24"/>
              </w:rPr>
              <w:t>；</w:t>
            </w:r>
          </w:p>
          <w:p>
            <w:pPr>
              <w:spacing w:line="360" w:lineRule="auto"/>
              <w:ind w:firstLine="480"/>
            </w:pPr>
            <w:r>
              <w:rPr>
                <w:sz w:val="24"/>
                <w:szCs w:val="24"/>
              </w:rPr>
              <w:t>项目评价因子和评价标准表见表26。</w:t>
            </w:r>
          </w:p>
          <w:p>
            <w:pPr>
              <w:pStyle w:val="17"/>
              <w:spacing w:line="360" w:lineRule="auto"/>
              <w:rPr>
                <w:rFonts w:ascii="Times New Roman" w:hAnsi="Times New Roman" w:cs="Times New Roman"/>
                <w:b/>
                <w:sz w:val="24"/>
                <w:szCs w:val="24"/>
              </w:rPr>
            </w:pPr>
            <w:r>
              <w:rPr>
                <w:rFonts w:ascii="Times New Roman" w:hAnsi="Times New Roman" w:cs="Times New Roman"/>
                <w:b/>
                <w:sz w:val="24"/>
                <w:szCs w:val="24"/>
              </w:rPr>
              <w:t>27  评价因子和评价标准一览表    单位：mg/m</w:t>
            </w:r>
            <w:r>
              <w:rPr>
                <w:rFonts w:ascii="Times New Roman" w:hAnsi="Times New Roman" w:cs="Times New Roman"/>
                <w:b/>
                <w:sz w:val="24"/>
                <w:szCs w:val="24"/>
                <w:vertAlign w:val="superscript"/>
              </w:rPr>
              <w:t>3</w:t>
            </w:r>
          </w:p>
          <w:tbl>
            <w:tblPr>
              <w:tblStyle w:val="48"/>
              <w:tblW w:w="812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850"/>
              <w:gridCol w:w="1940"/>
              <w:gridCol w:w="32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6" w:type="dxa"/>
                  <w:tcBorders>
                    <w:tl2br w:val="nil"/>
                    <w:tr2bl w:val="nil"/>
                  </w:tcBorders>
                  <w:vAlign w:val="center"/>
                </w:tcPr>
                <w:p>
                  <w:pPr>
                    <w:pStyle w:val="82"/>
                    <w:rPr>
                      <w:bCs/>
                    </w:rPr>
                  </w:pPr>
                  <w:r>
                    <w:rPr>
                      <w:bCs/>
                    </w:rPr>
                    <w:t>序号</w:t>
                  </w:r>
                </w:p>
              </w:tc>
              <w:tc>
                <w:tcPr>
                  <w:tcW w:w="1850" w:type="dxa"/>
                  <w:tcBorders>
                    <w:tl2br w:val="nil"/>
                    <w:tr2bl w:val="nil"/>
                  </w:tcBorders>
                  <w:vAlign w:val="center"/>
                </w:tcPr>
                <w:p>
                  <w:pPr>
                    <w:pStyle w:val="82"/>
                    <w:rPr>
                      <w:bCs/>
                    </w:rPr>
                  </w:pPr>
                  <w:r>
                    <w:rPr>
                      <w:bCs/>
                    </w:rPr>
                    <w:t>评价因子</w:t>
                  </w:r>
                </w:p>
              </w:tc>
              <w:tc>
                <w:tcPr>
                  <w:tcW w:w="1940" w:type="dxa"/>
                  <w:tcBorders>
                    <w:tl2br w:val="nil"/>
                    <w:tr2bl w:val="nil"/>
                  </w:tcBorders>
                  <w:vAlign w:val="center"/>
                </w:tcPr>
                <w:p>
                  <w:pPr>
                    <w:pStyle w:val="82"/>
                    <w:rPr>
                      <w:bCs/>
                    </w:rPr>
                  </w:pPr>
                  <w:r>
                    <w:rPr>
                      <w:bCs/>
                    </w:rPr>
                    <w:t>标准值（mg/m</w:t>
                  </w:r>
                  <w:r>
                    <w:rPr>
                      <w:bCs/>
                      <w:vertAlign w:val="superscript"/>
                    </w:rPr>
                    <w:t>3</w:t>
                  </w:r>
                  <w:r>
                    <w:rPr>
                      <w:bCs/>
                    </w:rPr>
                    <w:t>）</w:t>
                  </w:r>
                </w:p>
              </w:tc>
              <w:tc>
                <w:tcPr>
                  <w:tcW w:w="3207" w:type="dxa"/>
                  <w:tcBorders>
                    <w:tl2br w:val="nil"/>
                    <w:tr2bl w:val="nil"/>
                  </w:tcBorders>
                  <w:vAlign w:val="center"/>
                </w:tcPr>
                <w:p>
                  <w:pPr>
                    <w:pStyle w:val="82"/>
                    <w:rPr>
                      <w:bCs/>
                    </w:rPr>
                  </w:pPr>
                  <w:r>
                    <w:rPr>
                      <w:bCs/>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6" w:type="dxa"/>
                  <w:tcBorders>
                    <w:tl2br w:val="nil"/>
                    <w:tr2bl w:val="nil"/>
                  </w:tcBorders>
                  <w:vAlign w:val="center"/>
                </w:tcPr>
                <w:p>
                  <w:pPr>
                    <w:pStyle w:val="82"/>
                    <w:rPr>
                      <w:bCs/>
                    </w:rPr>
                  </w:pPr>
                  <w:r>
                    <w:rPr>
                      <w:rFonts w:hint="eastAsia"/>
                      <w:bCs/>
                    </w:rPr>
                    <w:t>1</w:t>
                  </w:r>
                </w:p>
              </w:tc>
              <w:tc>
                <w:tcPr>
                  <w:tcW w:w="1850" w:type="dxa"/>
                  <w:tcBorders>
                    <w:tl2br w:val="nil"/>
                    <w:tr2bl w:val="nil"/>
                  </w:tcBorders>
                  <w:vAlign w:val="center"/>
                </w:tcPr>
                <w:p>
                  <w:pPr>
                    <w:pStyle w:val="82"/>
                    <w:rPr>
                      <w:bCs/>
                    </w:rPr>
                  </w:pPr>
                  <w:r>
                    <w:t>NH</w:t>
                  </w:r>
                  <w:r>
                    <w:rPr>
                      <w:vertAlign w:val="subscript"/>
                    </w:rPr>
                    <w:t>3</w:t>
                  </w:r>
                </w:p>
              </w:tc>
              <w:tc>
                <w:tcPr>
                  <w:tcW w:w="1940" w:type="dxa"/>
                  <w:tcBorders>
                    <w:tl2br w:val="nil"/>
                    <w:tr2bl w:val="nil"/>
                  </w:tcBorders>
                  <w:vAlign w:val="center"/>
                </w:tcPr>
                <w:p>
                  <w:pPr>
                    <w:pStyle w:val="82"/>
                    <w:rPr>
                      <w:bCs/>
                    </w:rPr>
                  </w:pPr>
                  <w:r>
                    <w:rPr>
                      <w:rFonts w:hint="eastAsia"/>
                    </w:rPr>
                    <w:t>0.20</w:t>
                  </w:r>
                </w:p>
              </w:tc>
              <w:tc>
                <w:tcPr>
                  <w:tcW w:w="3207" w:type="dxa"/>
                  <w:vMerge w:val="restart"/>
                  <w:tcBorders>
                    <w:tl2br w:val="nil"/>
                    <w:tr2bl w:val="nil"/>
                  </w:tcBorders>
                  <w:vAlign w:val="center"/>
                </w:tcPr>
                <w:p>
                  <w:pPr>
                    <w:pStyle w:val="82"/>
                    <w:rPr>
                      <w:bCs/>
                    </w:rPr>
                  </w:pPr>
                  <w:r>
                    <w:rPr>
                      <w:rFonts w:hint="eastAsia"/>
                      <w:lang w:val="zh-CN"/>
                    </w:rPr>
                    <w:t>《环境影响评价技术导则 大气环境》（HJ2.2-2018）附录D参考限值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6" w:type="dxa"/>
                  <w:tcBorders>
                    <w:tl2br w:val="nil"/>
                    <w:tr2bl w:val="nil"/>
                  </w:tcBorders>
                  <w:vAlign w:val="center"/>
                </w:tcPr>
                <w:p>
                  <w:pPr>
                    <w:pStyle w:val="82"/>
                    <w:rPr>
                      <w:bCs/>
                    </w:rPr>
                  </w:pPr>
                  <w:r>
                    <w:rPr>
                      <w:rFonts w:hint="eastAsia"/>
                      <w:bCs/>
                    </w:rPr>
                    <w:t>2</w:t>
                  </w:r>
                </w:p>
              </w:tc>
              <w:tc>
                <w:tcPr>
                  <w:tcW w:w="1850" w:type="dxa"/>
                  <w:tcBorders>
                    <w:tl2br w:val="nil"/>
                    <w:tr2bl w:val="nil"/>
                  </w:tcBorders>
                  <w:vAlign w:val="center"/>
                </w:tcPr>
                <w:p>
                  <w:pPr>
                    <w:pStyle w:val="82"/>
                  </w:pPr>
                  <w:r>
                    <w:t>H</w:t>
                  </w:r>
                  <w:r>
                    <w:rPr>
                      <w:vertAlign w:val="subscript"/>
                    </w:rPr>
                    <w:t>2</w:t>
                  </w:r>
                  <w:r>
                    <w:t>S</w:t>
                  </w:r>
                </w:p>
              </w:tc>
              <w:tc>
                <w:tcPr>
                  <w:tcW w:w="1940" w:type="dxa"/>
                  <w:tcBorders>
                    <w:tl2br w:val="nil"/>
                    <w:tr2bl w:val="nil"/>
                  </w:tcBorders>
                  <w:vAlign w:val="center"/>
                </w:tcPr>
                <w:p>
                  <w:pPr>
                    <w:pStyle w:val="82"/>
                    <w:rPr>
                      <w:bCs/>
                    </w:rPr>
                  </w:pPr>
                  <w:r>
                    <w:t>0.</w:t>
                  </w:r>
                  <w:r>
                    <w:rPr>
                      <w:rFonts w:hint="eastAsia"/>
                    </w:rPr>
                    <w:t>01</w:t>
                  </w:r>
                </w:p>
              </w:tc>
              <w:tc>
                <w:tcPr>
                  <w:tcW w:w="3207" w:type="dxa"/>
                  <w:vMerge w:val="continue"/>
                  <w:tcBorders>
                    <w:tl2br w:val="nil"/>
                    <w:tr2bl w:val="nil"/>
                  </w:tcBorders>
                  <w:vAlign w:val="center"/>
                </w:tcPr>
                <w:p>
                  <w:pPr>
                    <w:pStyle w:val="82"/>
                    <w:rPr>
                      <w:bCs/>
                    </w:rPr>
                  </w:pPr>
                </w:p>
              </w:tc>
            </w:tr>
          </w:tbl>
          <w:p>
            <w:pPr>
              <w:spacing w:line="360" w:lineRule="auto"/>
              <w:ind w:firstLine="482"/>
              <w:rPr>
                <w:bCs/>
                <w:sz w:val="24"/>
                <w:szCs w:val="24"/>
              </w:rPr>
            </w:pPr>
            <w:r>
              <w:rPr>
                <w:sz w:val="24"/>
                <w:szCs w:val="24"/>
              </w:rPr>
              <w:t>经工程分析，本项目废气污染源主要来源于</w:t>
            </w:r>
            <w:r>
              <w:rPr>
                <w:rFonts w:hint="eastAsia"/>
                <w:sz w:val="24"/>
                <w:szCs w:val="24"/>
                <w:lang w:val="en-US" w:eastAsia="zh-CN"/>
              </w:rPr>
              <w:t>污水处理系统各个单元产生的</w:t>
            </w:r>
            <w:r>
              <w:rPr>
                <w:sz w:val="24"/>
                <w:szCs w:val="24"/>
              </w:rPr>
              <w:t>恶臭</w:t>
            </w:r>
            <w:r>
              <w:rPr>
                <w:rFonts w:hint="eastAsia"/>
                <w:sz w:val="24"/>
                <w:szCs w:val="24"/>
              </w:rPr>
              <w:t>和厂区</w:t>
            </w:r>
            <w:r>
              <w:rPr>
                <w:sz w:val="24"/>
                <w:szCs w:val="24"/>
              </w:rPr>
              <w:t>无组织废气。本评价选择排放较大的主要污染源和污染物，利用导则推荐的估算模式AERSCREEN计算P</w:t>
            </w:r>
            <w:r>
              <w:rPr>
                <w:sz w:val="24"/>
                <w:szCs w:val="24"/>
                <w:vertAlign w:val="subscript"/>
              </w:rPr>
              <w:t>max</w:t>
            </w:r>
            <w:r>
              <w:rPr>
                <w:sz w:val="24"/>
                <w:szCs w:val="24"/>
              </w:rPr>
              <w:t>和D</w:t>
            </w:r>
            <w:r>
              <w:rPr>
                <w:sz w:val="24"/>
                <w:szCs w:val="24"/>
                <w:vertAlign w:val="subscript"/>
              </w:rPr>
              <w:t>10%</w:t>
            </w:r>
            <w:r>
              <w:rPr>
                <w:sz w:val="24"/>
                <w:szCs w:val="24"/>
              </w:rPr>
              <w:t>，估算模型参数见表28，相关参数取值见表29和表30，相关污染源最大预测及计算结果见表31。</w:t>
            </w:r>
          </w:p>
          <w:p>
            <w:pPr>
              <w:pStyle w:val="17"/>
              <w:spacing w:line="360" w:lineRule="auto"/>
              <w:rPr>
                <w:rFonts w:ascii="Times New Roman" w:hAnsi="Times New Roman" w:cs="Times New Roman"/>
                <w:b/>
                <w:sz w:val="24"/>
                <w:szCs w:val="24"/>
              </w:rPr>
            </w:pPr>
            <w:r>
              <w:rPr>
                <w:rFonts w:ascii="Times New Roman" w:hAnsi="Times New Roman" w:cs="Times New Roman"/>
                <w:b/>
                <w:sz w:val="24"/>
                <w:szCs w:val="24"/>
              </w:rPr>
              <w:t>表28  估算模型参数表</w:t>
            </w:r>
          </w:p>
          <w:tbl>
            <w:tblPr>
              <w:tblStyle w:val="48"/>
              <w:tblW w:w="8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9"/>
              <w:gridCol w:w="2742"/>
              <w:gridCol w:w="2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241" w:type="dxa"/>
                  <w:gridSpan w:val="2"/>
                  <w:tcBorders>
                    <w:top w:val="single" w:color="auto" w:sz="8" w:space="0"/>
                    <w:left w:val="single" w:color="auto" w:sz="8" w:space="0"/>
                  </w:tcBorders>
                  <w:vAlign w:val="center"/>
                </w:tcPr>
                <w:p>
                  <w:pPr>
                    <w:jc w:val="center"/>
                    <w:rPr>
                      <w:sz w:val="22"/>
                      <w:szCs w:val="22"/>
                    </w:rPr>
                  </w:pPr>
                  <w:r>
                    <w:rPr>
                      <w:sz w:val="22"/>
                      <w:szCs w:val="22"/>
                    </w:rPr>
                    <w:t>参数</w:t>
                  </w:r>
                </w:p>
              </w:tc>
              <w:tc>
                <w:tcPr>
                  <w:tcW w:w="2882" w:type="dxa"/>
                  <w:tcBorders>
                    <w:top w:val="single" w:color="auto" w:sz="8" w:space="0"/>
                    <w:right w:val="single" w:color="auto" w:sz="8" w:space="0"/>
                  </w:tcBorders>
                  <w:vAlign w:val="center"/>
                </w:tcPr>
                <w:p>
                  <w:pPr>
                    <w:jc w:val="center"/>
                    <w:rPr>
                      <w:sz w:val="22"/>
                      <w:szCs w:val="22"/>
                    </w:rPr>
                  </w:pPr>
                  <w:r>
                    <w:rPr>
                      <w:sz w:val="22"/>
                      <w:szCs w:val="22"/>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499" w:type="dxa"/>
                  <w:vMerge w:val="restart"/>
                  <w:tcBorders>
                    <w:left w:val="single" w:color="auto" w:sz="8" w:space="0"/>
                  </w:tcBorders>
                  <w:vAlign w:val="center"/>
                </w:tcPr>
                <w:p>
                  <w:pPr>
                    <w:jc w:val="center"/>
                    <w:rPr>
                      <w:sz w:val="22"/>
                      <w:szCs w:val="22"/>
                    </w:rPr>
                  </w:pPr>
                  <w:r>
                    <w:rPr>
                      <w:sz w:val="22"/>
                      <w:szCs w:val="22"/>
                    </w:rPr>
                    <w:t>城市/农村选项</w:t>
                  </w:r>
                </w:p>
              </w:tc>
              <w:tc>
                <w:tcPr>
                  <w:tcW w:w="2742" w:type="dxa"/>
                  <w:vAlign w:val="center"/>
                </w:tcPr>
                <w:p>
                  <w:pPr>
                    <w:jc w:val="center"/>
                    <w:rPr>
                      <w:sz w:val="22"/>
                      <w:szCs w:val="22"/>
                    </w:rPr>
                  </w:pPr>
                  <w:r>
                    <w:rPr>
                      <w:sz w:val="22"/>
                      <w:szCs w:val="22"/>
                    </w:rPr>
                    <w:t>城市/农村</w:t>
                  </w:r>
                </w:p>
              </w:tc>
              <w:tc>
                <w:tcPr>
                  <w:tcW w:w="2882" w:type="dxa"/>
                  <w:tcBorders>
                    <w:right w:val="single" w:color="auto" w:sz="8" w:space="0"/>
                  </w:tcBorders>
                  <w:vAlign w:val="center"/>
                </w:tcPr>
                <w:p>
                  <w:pPr>
                    <w:jc w:val="center"/>
                    <w:rPr>
                      <w:sz w:val="22"/>
                      <w:szCs w:val="22"/>
                    </w:rPr>
                  </w:pPr>
                  <w:r>
                    <w:rPr>
                      <w:sz w:val="22"/>
                      <w:szCs w:val="22"/>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9" w:type="dxa"/>
                  <w:vMerge w:val="continue"/>
                  <w:tcBorders>
                    <w:left w:val="single" w:color="auto" w:sz="8" w:space="0"/>
                  </w:tcBorders>
                  <w:vAlign w:val="center"/>
                </w:tcPr>
                <w:p>
                  <w:pPr>
                    <w:jc w:val="center"/>
                    <w:rPr>
                      <w:sz w:val="22"/>
                      <w:szCs w:val="22"/>
                    </w:rPr>
                  </w:pPr>
                </w:p>
              </w:tc>
              <w:tc>
                <w:tcPr>
                  <w:tcW w:w="2742" w:type="dxa"/>
                  <w:vAlign w:val="center"/>
                </w:tcPr>
                <w:p>
                  <w:pPr>
                    <w:jc w:val="center"/>
                    <w:rPr>
                      <w:sz w:val="22"/>
                      <w:szCs w:val="22"/>
                    </w:rPr>
                  </w:pPr>
                  <w:r>
                    <w:rPr>
                      <w:sz w:val="22"/>
                      <w:szCs w:val="22"/>
                    </w:rPr>
                    <w:t>人口数（城市选项时）</w:t>
                  </w:r>
                </w:p>
              </w:tc>
              <w:tc>
                <w:tcPr>
                  <w:tcW w:w="2882" w:type="dxa"/>
                  <w:tcBorders>
                    <w:right w:val="single" w:color="auto" w:sz="8" w:space="0"/>
                  </w:tcBorders>
                  <w:vAlign w:val="center"/>
                </w:tcPr>
                <w:p>
                  <w:pPr>
                    <w:jc w:val="center"/>
                    <w:rPr>
                      <w:sz w:val="22"/>
                      <w:szCs w:val="22"/>
                    </w:rPr>
                  </w:pPr>
                  <w:r>
                    <w:rPr>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41" w:type="dxa"/>
                  <w:gridSpan w:val="2"/>
                  <w:tcBorders>
                    <w:left w:val="single" w:color="auto" w:sz="8" w:space="0"/>
                  </w:tcBorders>
                  <w:vAlign w:val="center"/>
                </w:tcPr>
                <w:p>
                  <w:pPr>
                    <w:jc w:val="center"/>
                    <w:rPr>
                      <w:sz w:val="22"/>
                      <w:szCs w:val="22"/>
                    </w:rPr>
                  </w:pPr>
                  <w:r>
                    <w:rPr>
                      <w:sz w:val="22"/>
                      <w:szCs w:val="22"/>
                    </w:rPr>
                    <w:t>最高温度环境/</w:t>
                  </w:r>
                  <w:r>
                    <w:rPr>
                      <w:rFonts w:hint="eastAsia" w:ascii="宋体" w:hAnsi="宋体" w:cs="宋体"/>
                      <w:sz w:val="22"/>
                      <w:szCs w:val="22"/>
                    </w:rPr>
                    <w:t>℃</w:t>
                  </w:r>
                </w:p>
              </w:tc>
              <w:tc>
                <w:tcPr>
                  <w:tcW w:w="2882" w:type="dxa"/>
                  <w:tcBorders>
                    <w:right w:val="single" w:color="auto" w:sz="8" w:space="0"/>
                  </w:tcBorders>
                  <w:vAlign w:val="center"/>
                </w:tcPr>
                <w:p>
                  <w:pPr>
                    <w:jc w:val="center"/>
                    <w:rPr>
                      <w:sz w:val="22"/>
                      <w:szCs w:val="22"/>
                      <w:highlight w:val="none"/>
                    </w:rPr>
                  </w:pPr>
                  <w:r>
                    <w:rPr>
                      <w:sz w:val="22"/>
                      <w:szCs w:val="22"/>
                      <w:highlight w:val="none"/>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1" w:type="dxa"/>
                  <w:gridSpan w:val="2"/>
                  <w:tcBorders>
                    <w:left w:val="single" w:color="auto" w:sz="8" w:space="0"/>
                  </w:tcBorders>
                  <w:vAlign w:val="center"/>
                </w:tcPr>
                <w:p>
                  <w:pPr>
                    <w:jc w:val="center"/>
                    <w:rPr>
                      <w:sz w:val="22"/>
                      <w:szCs w:val="22"/>
                    </w:rPr>
                  </w:pPr>
                  <w:r>
                    <w:rPr>
                      <w:sz w:val="22"/>
                      <w:szCs w:val="22"/>
                    </w:rPr>
                    <w:t>最低温度环境/</w:t>
                  </w:r>
                  <w:r>
                    <w:rPr>
                      <w:rFonts w:hint="eastAsia" w:ascii="宋体" w:hAnsi="宋体" w:cs="宋体"/>
                      <w:sz w:val="22"/>
                      <w:szCs w:val="22"/>
                    </w:rPr>
                    <w:t>℃</w:t>
                  </w:r>
                </w:p>
              </w:tc>
              <w:tc>
                <w:tcPr>
                  <w:tcW w:w="2882" w:type="dxa"/>
                  <w:tcBorders>
                    <w:right w:val="single" w:color="auto" w:sz="8" w:space="0"/>
                  </w:tcBorders>
                  <w:vAlign w:val="center"/>
                </w:tcPr>
                <w:p>
                  <w:pPr>
                    <w:jc w:val="center"/>
                    <w:rPr>
                      <w:sz w:val="22"/>
                      <w:szCs w:val="22"/>
                      <w:highlight w:val="none"/>
                    </w:rPr>
                  </w:pPr>
                  <w:r>
                    <w:rPr>
                      <w:sz w:val="22"/>
                      <w:szCs w:val="22"/>
                      <w:highlight w:val="none"/>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1" w:type="dxa"/>
                  <w:gridSpan w:val="2"/>
                  <w:tcBorders>
                    <w:left w:val="single" w:color="auto" w:sz="8" w:space="0"/>
                  </w:tcBorders>
                  <w:vAlign w:val="center"/>
                </w:tcPr>
                <w:p>
                  <w:pPr>
                    <w:jc w:val="center"/>
                    <w:rPr>
                      <w:sz w:val="22"/>
                      <w:szCs w:val="22"/>
                    </w:rPr>
                  </w:pPr>
                  <w:r>
                    <w:rPr>
                      <w:sz w:val="22"/>
                      <w:szCs w:val="22"/>
                    </w:rPr>
                    <w:t>土地利用类型</w:t>
                  </w:r>
                </w:p>
              </w:tc>
              <w:tc>
                <w:tcPr>
                  <w:tcW w:w="2882" w:type="dxa"/>
                  <w:tcBorders>
                    <w:right w:val="single" w:color="auto" w:sz="8" w:space="0"/>
                  </w:tcBorders>
                  <w:vAlign w:val="center"/>
                </w:tcPr>
                <w:p>
                  <w:pPr>
                    <w:jc w:val="center"/>
                    <w:rPr>
                      <w:sz w:val="22"/>
                      <w:szCs w:val="22"/>
                    </w:rPr>
                  </w:pPr>
                  <w:r>
                    <w:rPr>
                      <w:sz w:val="22"/>
                      <w:szCs w:val="22"/>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41" w:type="dxa"/>
                  <w:gridSpan w:val="2"/>
                  <w:tcBorders>
                    <w:left w:val="single" w:color="auto" w:sz="8" w:space="0"/>
                  </w:tcBorders>
                  <w:vAlign w:val="center"/>
                </w:tcPr>
                <w:p>
                  <w:pPr>
                    <w:jc w:val="center"/>
                    <w:rPr>
                      <w:sz w:val="22"/>
                      <w:szCs w:val="22"/>
                    </w:rPr>
                  </w:pPr>
                  <w:r>
                    <w:rPr>
                      <w:sz w:val="22"/>
                      <w:szCs w:val="22"/>
                    </w:rPr>
                    <w:t>区域湿度条件</w:t>
                  </w:r>
                </w:p>
              </w:tc>
              <w:tc>
                <w:tcPr>
                  <w:tcW w:w="2882" w:type="dxa"/>
                  <w:tcBorders>
                    <w:right w:val="single" w:color="auto" w:sz="8" w:space="0"/>
                  </w:tcBorders>
                  <w:vAlign w:val="center"/>
                </w:tcPr>
                <w:p>
                  <w:pPr>
                    <w:jc w:val="center"/>
                    <w:rPr>
                      <w:sz w:val="22"/>
                      <w:szCs w:val="22"/>
                    </w:rPr>
                  </w:pPr>
                  <w:r>
                    <w:rPr>
                      <w:sz w:val="22"/>
                      <w:szCs w:val="22"/>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499" w:type="dxa"/>
                  <w:vMerge w:val="restart"/>
                  <w:tcBorders>
                    <w:left w:val="single" w:color="auto" w:sz="8" w:space="0"/>
                  </w:tcBorders>
                  <w:vAlign w:val="center"/>
                </w:tcPr>
                <w:p>
                  <w:pPr>
                    <w:jc w:val="center"/>
                    <w:rPr>
                      <w:sz w:val="22"/>
                      <w:szCs w:val="22"/>
                    </w:rPr>
                  </w:pPr>
                  <w:r>
                    <w:rPr>
                      <w:sz w:val="22"/>
                      <w:szCs w:val="22"/>
                    </w:rPr>
                    <w:t>是否考虑地形</w:t>
                  </w:r>
                </w:p>
              </w:tc>
              <w:tc>
                <w:tcPr>
                  <w:tcW w:w="2742" w:type="dxa"/>
                  <w:vAlign w:val="center"/>
                </w:tcPr>
                <w:p>
                  <w:pPr>
                    <w:jc w:val="center"/>
                    <w:rPr>
                      <w:sz w:val="22"/>
                      <w:szCs w:val="22"/>
                    </w:rPr>
                  </w:pPr>
                  <w:r>
                    <w:rPr>
                      <w:sz w:val="22"/>
                      <w:szCs w:val="22"/>
                    </w:rPr>
                    <w:t>考虑地形</w:t>
                  </w:r>
                </w:p>
              </w:tc>
              <w:tc>
                <w:tcPr>
                  <w:tcW w:w="2882" w:type="dxa"/>
                  <w:tcBorders>
                    <w:right w:val="single" w:color="auto" w:sz="8" w:space="0"/>
                  </w:tcBorders>
                  <w:vAlign w:val="center"/>
                </w:tcPr>
                <w:p>
                  <w:pPr>
                    <w:jc w:val="center"/>
                    <w:rPr>
                      <w:sz w:val="22"/>
                      <w:szCs w:val="22"/>
                    </w:rPr>
                  </w:pPr>
                  <w:r>
                    <w:rPr>
                      <w:sz w:val="22"/>
                      <w:szCs w:val="22"/>
                    </w:rPr>
                    <w:t xml:space="preserve">□是   </w:t>
                  </w:r>
                  <w:r>
                    <w:rPr>
                      <w:sz w:val="22"/>
                      <w:szCs w:val="22"/>
                    </w:rPr>
                    <w:fldChar w:fldCharType="begin"/>
                  </w:r>
                  <w:r>
                    <w:rPr>
                      <w:sz w:val="22"/>
                      <w:szCs w:val="22"/>
                    </w:rPr>
                    <w:instrText xml:space="preserve"> eq \o\ac(</w:instrText>
                  </w:r>
                  <w:r>
                    <w:rPr>
                      <w:position w:val="-4"/>
                      <w:sz w:val="33"/>
                      <w:szCs w:val="22"/>
                    </w:rPr>
                    <w:instrText xml:space="preserve">□</w:instrText>
                  </w:r>
                  <w:r>
                    <w:rPr>
                      <w:sz w:val="22"/>
                      <w:szCs w:val="22"/>
                    </w:rPr>
                    <w:instrText xml:space="preserve">,√)</w:instrText>
                  </w:r>
                  <w:r>
                    <w:rPr>
                      <w:sz w:val="22"/>
                      <w:szCs w:val="22"/>
                    </w:rPr>
                    <w:fldChar w:fldCharType="end"/>
                  </w:r>
                  <w:r>
                    <w:rPr>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499" w:type="dxa"/>
                  <w:vMerge w:val="continue"/>
                  <w:tcBorders>
                    <w:left w:val="single" w:color="auto" w:sz="8" w:space="0"/>
                  </w:tcBorders>
                  <w:vAlign w:val="center"/>
                </w:tcPr>
                <w:p>
                  <w:pPr>
                    <w:jc w:val="center"/>
                    <w:rPr>
                      <w:sz w:val="22"/>
                      <w:szCs w:val="22"/>
                    </w:rPr>
                  </w:pPr>
                </w:p>
              </w:tc>
              <w:tc>
                <w:tcPr>
                  <w:tcW w:w="2742" w:type="dxa"/>
                  <w:vAlign w:val="center"/>
                </w:tcPr>
                <w:p>
                  <w:pPr>
                    <w:jc w:val="center"/>
                    <w:rPr>
                      <w:sz w:val="22"/>
                      <w:szCs w:val="22"/>
                    </w:rPr>
                  </w:pPr>
                  <w:r>
                    <w:rPr>
                      <w:sz w:val="22"/>
                      <w:szCs w:val="22"/>
                    </w:rPr>
                    <w:t>地形数据分辨率/m</w:t>
                  </w:r>
                </w:p>
              </w:tc>
              <w:tc>
                <w:tcPr>
                  <w:tcW w:w="2882" w:type="dxa"/>
                  <w:tcBorders>
                    <w:right w:val="single" w:color="auto" w:sz="8" w:space="0"/>
                  </w:tcBorders>
                  <w:vAlign w:val="center"/>
                </w:tcPr>
                <w:p>
                  <w:pPr>
                    <w:jc w:val="center"/>
                    <w:rPr>
                      <w:sz w:val="22"/>
                      <w:szCs w:val="22"/>
                    </w:rPr>
                  </w:pPr>
                  <w:r>
                    <w:rPr>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99" w:type="dxa"/>
                  <w:vMerge w:val="restart"/>
                  <w:tcBorders>
                    <w:left w:val="single" w:color="auto" w:sz="8" w:space="0"/>
                  </w:tcBorders>
                  <w:vAlign w:val="center"/>
                </w:tcPr>
                <w:p>
                  <w:pPr>
                    <w:jc w:val="center"/>
                    <w:rPr>
                      <w:sz w:val="22"/>
                      <w:szCs w:val="22"/>
                    </w:rPr>
                  </w:pPr>
                  <w:r>
                    <w:rPr>
                      <w:sz w:val="22"/>
                      <w:szCs w:val="22"/>
                    </w:rPr>
                    <w:t>是否考虑岸线熏烟</w:t>
                  </w:r>
                </w:p>
              </w:tc>
              <w:tc>
                <w:tcPr>
                  <w:tcW w:w="2742" w:type="dxa"/>
                  <w:vAlign w:val="center"/>
                </w:tcPr>
                <w:p>
                  <w:pPr>
                    <w:jc w:val="center"/>
                    <w:rPr>
                      <w:sz w:val="22"/>
                      <w:szCs w:val="22"/>
                    </w:rPr>
                  </w:pPr>
                  <w:r>
                    <w:rPr>
                      <w:sz w:val="22"/>
                      <w:szCs w:val="22"/>
                    </w:rPr>
                    <w:t>考虑岸线熏烟</w:t>
                  </w:r>
                </w:p>
              </w:tc>
              <w:tc>
                <w:tcPr>
                  <w:tcW w:w="2882" w:type="dxa"/>
                  <w:tcBorders>
                    <w:right w:val="single" w:color="auto" w:sz="8" w:space="0"/>
                  </w:tcBorders>
                  <w:vAlign w:val="center"/>
                </w:tcPr>
                <w:p>
                  <w:pPr>
                    <w:jc w:val="center"/>
                    <w:rPr>
                      <w:sz w:val="22"/>
                      <w:szCs w:val="22"/>
                    </w:rPr>
                  </w:pPr>
                  <w:r>
                    <w:rPr>
                      <w:sz w:val="22"/>
                      <w:szCs w:val="22"/>
                    </w:rPr>
                    <w:t xml:space="preserve">□是   </w:t>
                  </w:r>
                  <w:r>
                    <w:rPr>
                      <w:sz w:val="22"/>
                      <w:szCs w:val="22"/>
                    </w:rPr>
                    <w:fldChar w:fldCharType="begin"/>
                  </w:r>
                  <w:r>
                    <w:rPr>
                      <w:sz w:val="22"/>
                      <w:szCs w:val="22"/>
                    </w:rPr>
                    <w:instrText xml:space="preserve"> eq \o\ac(</w:instrText>
                  </w:r>
                  <w:r>
                    <w:rPr>
                      <w:position w:val="-4"/>
                      <w:sz w:val="33"/>
                      <w:szCs w:val="22"/>
                    </w:rPr>
                    <w:instrText xml:space="preserve">□</w:instrText>
                  </w:r>
                  <w:r>
                    <w:rPr>
                      <w:sz w:val="22"/>
                      <w:szCs w:val="22"/>
                    </w:rPr>
                    <w:instrText xml:space="preserve">,√)</w:instrText>
                  </w:r>
                  <w:r>
                    <w:rPr>
                      <w:sz w:val="22"/>
                      <w:szCs w:val="22"/>
                    </w:rPr>
                    <w:fldChar w:fldCharType="end"/>
                  </w:r>
                  <w:r>
                    <w:rPr>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 w:hRule="atLeast"/>
                <w:jc w:val="center"/>
              </w:trPr>
              <w:tc>
                <w:tcPr>
                  <w:tcW w:w="2499" w:type="dxa"/>
                  <w:vMerge w:val="continue"/>
                  <w:tcBorders>
                    <w:left w:val="single" w:color="auto" w:sz="8" w:space="0"/>
                  </w:tcBorders>
                  <w:vAlign w:val="center"/>
                </w:tcPr>
                <w:p>
                  <w:pPr>
                    <w:jc w:val="center"/>
                    <w:rPr>
                      <w:sz w:val="22"/>
                      <w:szCs w:val="22"/>
                    </w:rPr>
                  </w:pPr>
                </w:p>
              </w:tc>
              <w:tc>
                <w:tcPr>
                  <w:tcW w:w="2742" w:type="dxa"/>
                  <w:vAlign w:val="center"/>
                </w:tcPr>
                <w:p>
                  <w:pPr>
                    <w:jc w:val="center"/>
                    <w:rPr>
                      <w:sz w:val="22"/>
                      <w:szCs w:val="22"/>
                    </w:rPr>
                  </w:pPr>
                  <w:r>
                    <w:rPr>
                      <w:sz w:val="22"/>
                      <w:szCs w:val="22"/>
                    </w:rPr>
                    <w:t>岸线距离/km</w:t>
                  </w:r>
                </w:p>
              </w:tc>
              <w:tc>
                <w:tcPr>
                  <w:tcW w:w="2882" w:type="dxa"/>
                  <w:tcBorders>
                    <w:right w:val="single" w:color="auto" w:sz="8" w:space="0"/>
                  </w:tcBorders>
                  <w:vAlign w:val="center"/>
                </w:tcPr>
                <w:p>
                  <w:pPr>
                    <w:jc w:val="center"/>
                    <w:rPr>
                      <w:sz w:val="22"/>
                      <w:szCs w:val="22"/>
                    </w:rPr>
                  </w:pPr>
                  <w:r>
                    <w:rPr>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99" w:type="dxa"/>
                  <w:vMerge w:val="continue"/>
                  <w:tcBorders>
                    <w:left w:val="single" w:color="auto" w:sz="8" w:space="0"/>
                    <w:bottom w:val="single" w:color="auto" w:sz="8" w:space="0"/>
                  </w:tcBorders>
                  <w:vAlign w:val="center"/>
                </w:tcPr>
                <w:p>
                  <w:pPr>
                    <w:jc w:val="center"/>
                    <w:rPr>
                      <w:sz w:val="22"/>
                      <w:szCs w:val="22"/>
                    </w:rPr>
                  </w:pPr>
                </w:p>
              </w:tc>
              <w:tc>
                <w:tcPr>
                  <w:tcW w:w="2742" w:type="dxa"/>
                  <w:tcBorders>
                    <w:bottom w:val="single" w:color="auto" w:sz="8" w:space="0"/>
                  </w:tcBorders>
                  <w:vAlign w:val="center"/>
                </w:tcPr>
                <w:p>
                  <w:pPr>
                    <w:jc w:val="center"/>
                    <w:rPr>
                      <w:sz w:val="22"/>
                      <w:szCs w:val="22"/>
                    </w:rPr>
                  </w:pPr>
                  <w:r>
                    <w:rPr>
                      <w:sz w:val="22"/>
                      <w:szCs w:val="22"/>
                    </w:rPr>
                    <w:t>岸线方向/°</w:t>
                  </w:r>
                </w:p>
              </w:tc>
              <w:tc>
                <w:tcPr>
                  <w:tcW w:w="2882" w:type="dxa"/>
                  <w:tcBorders>
                    <w:bottom w:val="single" w:color="auto" w:sz="8" w:space="0"/>
                    <w:right w:val="single" w:color="auto" w:sz="8" w:space="0"/>
                  </w:tcBorders>
                  <w:vAlign w:val="center"/>
                </w:tcPr>
                <w:p>
                  <w:pPr>
                    <w:jc w:val="center"/>
                    <w:rPr>
                      <w:sz w:val="22"/>
                      <w:szCs w:val="22"/>
                    </w:rPr>
                  </w:pPr>
                  <w:r>
                    <w:rPr>
                      <w:sz w:val="22"/>
                      <w:szCs w:val="22"/>
                    </w:rPr>
                    <w:t>—</w:t>
                  </w:r>
                </w:p>
              </w:tc>
            </w:tr>
          </w:tbl>
          <w:p>
            <w:pPr>
              <w:pStyle w:val="17"/>
              <w:spacing w:line="360" w:lineRule="auto"/>
              <w:rPr>
                <w:b/>
                <w:sz w:val="24"/>
                <w:szCs w:val="24"/>
              </w:rPr>
            </w:pPr>
            <w:r>
              <w:rPr>
                <w:b/>
                <w:sz w:val="24"/>
                <w:szCs w:val="24"/>
              </w:rPr>
              <w:t>表29  主要点源污染源参数一览表</w:t>
            </w:r>
          </w:p>
          <w:tbl>
            <w:tblPr>
              <w:tblStyle w:val="48"/>
              <w:tblW w:w="8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69"/>
              <w:gridCol w:w="642"/>
              <w:gridCol w:w="751"/>
              <w:gridCol w:w="700"/>
              <w:gridCol w:w="677"/>
              <w:gridCol w:w="656"/>
              <w:gridCol w:w="1069"/>
              <w:gridCol w:w="1080"/>
              <w:gridCol w:w="10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1469" w:type="dxa"/>
                  <w:vMerge w:val="restart"/>
                  <w:tcBorders>
                    <w:tl2br w:val="nil"/>
                    <w:tr2bl w:val="nil"/>
                  </w:tcBorders>
                  <w:vAlign w:val="center"/>
                </w:tcPr>
                <w:p>
                  <w:pPr>
                    <w:jc w:val="center"/>
                    <w:rPr>
                      <w:szCs w:val="21"/>
                    </w:rPr>
                  </w:pPr>
                  <w:r>
                    <w:rPr>
                      <w:szCs w:val="21"/>
                    </w:rPr>
                    <w:t>污染源名称</w:t>
                  </w:r>
                </w:p>
              </w:tc>
              <w:tc>
                <w:tcPr>
                  <w:tcW w:w="642" w:type="dxa"/>
                  <w:vMerge w:val="restart"/>
                  <w:tcBorders>
                    <w:tl2br w:val="nil"/>
                    <w:tr2bl w:val="nil"/>
                  </w:tcBorders>
                  <w:vAlign w:val="center"/>
                </w:tcPr>
                <w:p>
                  <w:pPr>
                    <w:jc w:val="center"/>
                    <w:rPr>
                      <w:szCs w:val="21"/>
                    </w:rPr>
                  </w:pPr>
                  <w:r>
                    <w:rPr>
                      <w:szCs w:val="21"/>
                    </w:rPr>
                    <w:t>排气筒高度m</w:t>
                  </w:r>
                </w:p>
              </w:tc>
              <w:tc>
                <w:tcPr>
                  <w:tcW w:w="751" w:type="dxa"/>
                  <w:vMerge w:val="restart"/>
                  <w:tcBorders>
                    <w:tl2br w:val="nil"/>
                    <w:tr2bl w:val="nil"/>
                  </w:tcBorders>
                  <w:vAlign w:val="center"/>
                </w:tcPr>
                <w:p>
                  <w:pPr>
                    <w:jc w:val="center"/>
                    <w:rPr>
                      <w:szCs w:val="21"/>
                    </w:rPr>
                  </w:pPr>
                  <w:r>
                    <w:rPr>
                      <w:szCs w:val="21"/>
                    </w:rPr>
                    <w:t>排气筒出口内径m</w:t>
                  </w:r>
                </w:p>
              </w:tc>
              <w:tc>
                <w:tcPr>
                  <w:tcW w:w="700" w:type="dxa"/>
                  <w:vMerge w:val="restart"/>
                  <w:tcBorders>
                    <w:tl2br w:val="nil"/>
                    <w:tr2bl w:val="nil"/>
                  </w:tcBorders>
                  <w:vAlign w:val="center"/>
                </w:tcPr>
                <w:p>
                  <w:pPr>
                    <w:jc w:val="center"/>
                    <w:rPr>
                      <w:szCs w:val="21"/>
                    </w:rPr>
                  </w:pPr>
                  <w:r>
                    <w:rPr>
                      <w:szCs w:val="21"/>
                    </w:rPr>
                    <w:t>废气量m</w:t>
                  </w:r>
                  <w:r>
                    <w:rPr>
                      <w:szCs w:val="21"/>
                      <w:vertAlign w:val="superscript"/>
                    </w:rPr>
                    <w:t>3</w:t>
                  </w:r>
                  <w:r>
                    <w:rPr>
                      <w:szCs w:val="21"/>
                    </w:rPr>
                    <w:t>/h</w:t>
                  </w:r>
                </w:p>
              </w:tc>
              <w:tc>
                <w:tcPr>
                  <w:tcW w:w="677" w:type="dxa"/>
                  <w:vMerge w:val="restart"/>
                  <w:tcBorders>
                    <w:tl2br w:val="nil"/>
                    <w:tr2bl w:val="nil"/>
                  </w:tcBorders>
                  <w:vAlign w:val="center"/>
                </w:tcPr>
                <w:p>
                  <w:pPr>
                    <w:pStyle w:val="11"/>
                    <w:spacing w:line="240" w:lineRule="auto"/>
                    <w:ind w:firstLine="0"/>
                    <w:jc w:val="center"/>
                    <w:rPr>
                      <w:sz w:val="21"/>
                      <w:szCs w:val="21"/>
                    </w:rPr>
                  </w:pPr>
                  <w:r>
                    <w:rPr>
                      <w:sz w:val="21"/>
                      <w:szCs w:val="21"/>
                    </w:rPr>
                    <w:t>烟气流速m/s</w:t>
                  </w:r>
                </w:p>
              </w:tc>
              <w:tc>
                <w:tcPr>
                  <w:tcW w:w="656" w:type="dxa"/>
                  <w:vMerge w:val="restart"/>
                  <w:tcBorders>
                    <w:tl2br w:val="nil"/>
                    <w:tr2bl w:val="nil"/>
                  </w:tcBorders>
                  <w:vAlign w:val="center"/>
                </w:tcPr>
                <w:p>
                  <w:pPr>
                    <w:jc w:val="center"/>
                    <w:rPr>
                      <w:szCs w:val="21"/>
                    </w:rPr>
                  </w:pPr>
                  <w:r>
                    <w:rPr>
                      <w:szCs w:val="21"/>
                    </w:rPr>
                    <w:t>烟气温度</w:t>
                  </w:r>
                  <w:r>
                    <w:rPr>
                      <w:rFonts w:hint="eastAsia" w:ascii="宋体" w:hAnsi="宋体" w:cs="宋体"/>
                      <w:szCs w:val="21"/>
                    </w:rPr>
                    <w:t>℃</w:t>
                  </w:r>
                </w:p>
              </w:tc>
              <w:tc>
                <w:tcPr>
                  <w:tcW w:w="1069" w:type="dxa"/>
                  <w:vMerge w:val="restart"/>
                  <w:tcBorders>
                    <w:tl2br w:val="nil"/>
                    <w:tr2bl w:val="nil"/>
                  </w:tcBorders>
                  <w:vAlign w:val="center"/>
                </w:tcPr>
                <w:p>
                  <w:pPr>
                    <w:pStyle w:val="11"/>
                    <w:spacing w:line="240" w:lineRule="auto"/>
                    <w:ind w:firstLine="0"/>
                    <w:jc w:val="center"/>
                    <w:rPr>
                      <w:sz w:val="21"/>
                      <w:szCs w:val="21"/>
                    </w:rPr>
                  </w:pPr>
                  <w:r>
                    <w:rPr>
                      <w:sz w:val="21"/>
                      <w:szCs w:val="21"/>
                    </w:rPr>
                    <w:t>排放工况</w:t>
                  </w:r>
                </w:p>
              </w:tc>
              <w:tc>
                <w:tcPr>
                  <w:tcW w:w="2159" w:type="dxa"/>
                  <w:gridSpan w:val="2"/>
                  <w:tcBorders>
                    <w:tl2br w:val="nil"/>
                    <w:tr2bl w:val="nil"/>
                  </w:tcBorders>
                  <w:vAlign w:val="center"/>
                </w:tcPr>
                <w:p>
                  <w:pPr>
                    <w:pStyle w:val="11"/>
                    <w:spacing w:line="240" w:lineRule="auto"/>
                    <w:ind w:firstLine="0"/>
                    <w:jc w:val="center"/>
                    <w:rPr>
                      <w:sz w:val="21"/>
                      <w:szCs w:val="21"/>
                    </w:rPr>
                  </w:pPr>
                  <w:r>
                    <w:rPr>
                      <w:sz w:val="21"/>
                      <w:szCs w:val="21"/>
                    </w:rPr>
                    <w:t>污染物排放速率kg/h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1469" w:type="dxa"/>
                  <w:vMerge w:val="continue"/>
                  <w:tcBorders>
                    <w:tl2br w:val="nil"/>
                    <w:tr2bl w:val="nil"/>
                  </w:tcBorders>
                  <w:vAlign w:val="center"/>
                </w:tcPr>
                <w:p>
                  <w:pPr>
                    <w:jc w:val="center"/>
                    <w:rPr>
                      <w:szCs w:val="21"/>
                    </w:rPr>
                  </w:pPr>
                </w:p>
              </w:tc>
              <w:tc>
                <w:tcPr>
                  <w:tcW w:w="642" w:type="dxa"/>
                  <w:vMerge w:val="continue"/>
                  <w:tcBorders>
                    <w:tl2br w:val="nil"/>
                    <w:tr2bl w:val="nil"/>
                  </w:tcBorders>
                  <w:vAlign w:val="center"/>
                </w:tcPr>
                <w:p>
                  <w:pPr>
                    <w:jc w:val="center"/>
                    <w:rPr>
                      <w:szCs w:val="21"/>
                    </w:rPr>
                  </w:pPr>
                </w:p>
              </w:tc>
              <w:tc>
                <w:tcPr>
                  <w:tcW w:w="751" w:type="dxa"/>
                  <w:vMerge w:val="continue"/>
                  <w:tcBorders>
                    <w:tl2br w:val="nil"/>
                    <w:tr2bl w:val="nil"/>
                  </w:tcBorders>
                  <w:vAlign w:val="center"/>
                </w:tcPr>
                <w:p>
                  <w:pPr>
                    <w:jc w:val="center"/>
                    <w:rPr>
                      <w:szCs w:val="21"/>
                    </w:rPr>
                  </w:pPr>
                </w:p>
              </w:tc>
              <w:tc>
                <w:tcPr>
                  <w:tcW w:w="700" w:type="dxa"/>
                  <w:vMerge w:val="continue"/>
                  <w:tcBorders>
                    <w:tl2br w:val="nil"/>
                    <w:tr2bl w:val="nil"/>
                  </w:tcBorders>
                  <w:vAlign w:val="center"/>
                </w:tcPr>
                <w:p>
                  <w:pPr>
                    <w:jc w:val="center"/>
                    <w:rPr>
                      <w:szCs w:val="21"/>
                    </w:rPr>
                  </w:pPr>
                </w:p>
              </w:tc>
              <w:tc>
                <w:tcPr>
                  <w:tcW w:w="677" w:type="dxa"/>
                  <w:vMerge w:val="continue"/>
                  <w:tcBorders>
                    <w:tl2br w:val="nil"/>
                    <w:tr2bl w:val="nil"/>
                  </w:tcBorders>
                  <w:vAlign w:val="center"/>
                </w:tcPr>
                <w:p>
                  <w:pPr>
                    <w:pStyle w:val="11"/>
                    <w:spacing w:line="240" w:lineRule="auto"/>
                    <w:ind w:firstLine="0"/>
                    <w:jc w:val="center"/>
                    <w:rPr>
                      <w:sz w:val="21"/>
                      <w:szCs w:val="21"/>
                    </w:rPr>
                  </w:pPr>
                </w:p>
              </w:tc>
              <w:tc>
                <w:tcPr>
                  <w:tcW w:w="656" w:type="dxa"/>
                  <w:vMerge w:val="continue"/>
                  <w:tcBorders>
                    <w:tl2br w:val="nil"/>
                    <w:tr2bl w:val="nil"/>
                  </w:tcBorders>
                  <w:vAlign w:val="center"/>
                </w:tcPr>
                <w:p>
                  <w:pPr>
                    <w:jc w:val="center"/>
                    <w:rPr>
                      <w:szCs w:val="21"/>
                    </w:rPr>
                  </w:pPr>
                </w:p>
              </w:tc>
              <w:tc>
                <w:tcPr>
                  <w:tcW w:w="1069" w:type="dxa"/>
                  <w:vMerge w:val="continue"/>
                  <w:tcBorders>
                    <w:tl2br w:val="nil"/>
                    <w:tr2bl w:val="nil"/>
                  </w:tcBorders>
                  <w:vAlign w:val="center"/>
                </w:tcPr>
                <w:p>
                  <w:pPr>
                    <w:pStyle w:val="11"/>
                    <w:spacing w:line="240" w:lineRule="auto"/>
                    <w:ind w:firstLine="0"/>
                    <w:jc w:val="center"/>
                    <w:rPr>
                      <w:sz w:val="21"/>
                      <w:szCs w:val="21"/>
                    </w:rPr>
                  </w:pPr>
                </w:p>
              </w:tc>
              <w:tc>
                <w:tcPr>
                  <w:tcW w:w="1080" w:type="dxa"/>
                  <w:tcBorders>
                    <w:tl2br w:val="nil"/>
                    <w:tr2bl w:val="nil"/>
                  </w:tcBorders>
                  <w:vAlign w:val="center"/>
                </w:tcPr>
                <w:p>
                  <w:pPr>
                    <w:pStyle w:val="11"/>
                    <w:spacing w:line="240" w:lineRule="auto"/>
                    <w:ind w:firstLine="0"/>
                    <w:jc w:val="center"/>
                    <w:rPr>
                      <w:sz w:val="21"/>
                      <w:szCs w:val="21"/>
                    </w:rPr>
                  </w:pPr>
                  <w:r>
                    <w:rPr>
                      <w:sz w:val="21"/>
                      <w:szCs w:val="21"/>
                    </w:rPr>
                    <w:t>H</w:t>
                  </w:r>
                  <w:r>
                    <w:rPr>
                      <w:sz w:val="21"/>
                      <w:szCs w:val="21"/>
                      <w:vertAlign w:val="subscript"/>
                    </w:rPr>
                    <w:t>2</w:t>
                  </w:r>
                  <w:r>
                    <w:rPr>
                      <w:sz w:val="21"/>
                      <w:szCs w:val="21"/>
                    </w:rPr>
                    <w:t>S</w:t>
                  </w:r>
                </w:p>
              </w:tc>
              <w:tc>
                <w:tcPr>
                  <w:tcW w:w="1079" w:type="dxa"/>
                  <w:tcBorders>
                    <w:tl2br w:val="nil"/>
                    <w:tr2bl w:val="nil"/>
                  </w:tcBorders>
                  <w:vAlign w:val="center"/>
                </w:tcPr>
                <w:p>
                  <w:pPr>
                    <w:pStyle w:val="11"/>
                    <w:spacing w:line="240" w:lineRule="auto"/>
                    <w:ind w:firstLine="0"/>
                    <w:jc w:val="center"/>
                    <w:rPr>
                      <w:sz w:val="21"/>
                      <w:szCs w:val="21"/>
                    </w:rPr>
                  </w:pPr>
                  <w:r>
                    <w:rPr>
                      <w:sz w:val="21"/>
                      <w:szCs w:val="21"/>
                    </w:rPr>
                    <w:t>NH</w:t>
                  </w:r>
                  <w:r>
                    <w:rPr>
                      <w:sz w:val="21"/>
                      <w:szCs w:val="21"/>
                      <w:vertAlign w:val="sub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469" w:type="dxa"/>
                  <w:tcBorders>
                    <w:tl2br w:val="nil"/>
                    <w:tr2bl w:val="nil"/>
                  </w:tcBorders>
                  <w:vAlign w:val="center"/>
                </w:tcPr>
                <w:p>
                  <w:pPr>
                    <w:jc w:val="center"/>
                    <w:rPr>
                      <w:szCs w:val="21"/>
                    </w:rPr>
                  </w:pPr>
                  <w:r>
                    <w:rPr>
                      <w:rFonts w:hint="eastAsia"/>
                      <w:szCs w:val="21"/>
                      <w:lang w:val="en-US" w:eastAsia="zh-CN"/>
                    </w:rPr>
                    <w:t>污水处理系统单元</w:t>
                  </w:r>
                  <w:r>
                    <w:rPr>
                      <w:szCs w:val="21"/>
                    </w:rPr>
                    <w:t>恶臭</w:t>
                  </w:r>
                  <w:r>
                    <w:t>（P1）</w:t>
                  </w:r>
                </w:p>
              </w:tc>
              <w:tc>
                <w:tcPr>
                  <w:tcW w:w="642" w:type="dxa"/>
                  <w:tcBorders>
                    <w:tl2br w:val="nil"/>
                    <w:tr2bl w:val="nil"/>
                  </w:tcBorders>
                  <w:vAlign w:val="center"/>
                </w:tcPr>
                <w:p>
                  <w:pPr>
                    <w:jc w:val="center"/>
                    <w:rPr>
                      <w:szCs w:val="21"/>
                    </w:rPr>
                  </w:pPr>
                  <w:r>
                    <w:rPr>
                      <w:rFonts w:hint="eastAsia"/>
                      <w:szCs w:val="21"/>
                    </w:rPr>
                    <w:t>15</w:t>
                  </w:r>
                </w:p>
              </w:tc>
              <w:tc>
                <w:tcPr>
                  <w:tcW w:w="751" w:type="dxa"/>
                  <w:tcBorders>
                    <w:tl2br w:val="nil"/>
                    <w:tr2bl w:val="nil"/>
                  </w:tcBorders>
                  <w:vAlign w:val="center"/>
                </w:tcPr>
                <w:p>
                  <w:pPr>
                    <w:jc w:val="center"/>
                    <w:rPr>
                      <w:szCs w:val="21"/>
                    </w:rPr>
                  </w:pPr>
                  <w:r>
                    <w:rPr>
                      <w:rFonts w:hint="eastAsia"/>
                      <w:szCs w:val="21"/>
                    </w:rPr>
                    <w:t>0.5</w:t>
                  </w:r>
                </w:p>
              </w:tc>
              <w:tc>
                <w:tcPr>
                  <w:tcW w:w="700" w:type="dxa"/>
                  <w:tcBorders>
                    <w:tl2br w:val="nil"/>
                    <w:tr2bl w:val="nil"/>
                  </w:tcBorders>
                  <w:vAlign w:val="center"/>
                </w:tcPr>
                <w:p>
                  <w:pPr>
                    <w:jc w:val="center"/>
                    <w:rPr>
                      <w:szCs w:val="21"/>
                    </w:rPr>
                  </w:pPr>
                  <w:r>
                    <w:rPr>
                      <w:rFonts w:hint="eastAsia"/>
                      <w:szCs w:val="21"/>
                      <w:lang w:val="en-US" w:eastAsia="zh-CN"/>
                    </w:rPr>
                    <w:t>10</w:t>
                  </w:r>
                  <w:r>
                    <w:rPr>
                      <w:szCs w:val="21"/>
                    </w:rPr>
                    <w:t>000</w:t>
                  </w:r>
                </w:p>
              </w:tc>
              <w:tc>
                <w:tcPr>
                  <w:tcW w:w="677" w:type="dxa"/>
                  <w:tcBorders>
                    <w:tl2br w:val="nil"/>
                    <w:tr2bl w:val="nil"/>
                  </w:tcBorders>
                  <w:vAlign w:val="center"/>
                </w:tcPr>
                <w:p>
                  <w:pPr>
                    <w:pStyle w:val="11"/>
                    <w:spacing w:line="240" w:lineRule="auto"/>
                    <w:ind w:firstLine="0"/>
                    <w:jc w:val="center"/>
                    <w:rPr>
                      <w:sz w:val="21"/>
                      <w:szCs w:val="21"/>
                    </w:rPr>
                  </w:pPr>
                  <w:r>
                    <w:rPr>
                      <w:rFonts w:hint="eastAsia"/>
                      <w:sz w:val="21"/>
                      <w:szCs w:val="21"/>
                    </w:rPr>
                    <w:t>5.65</w:t>
                  </w:r>
                </w:p>
              </w:tc>
              <w:tc>
                <w:tcPr>
                  <w:tcW w:w="656" w:type="dxa"/>
                  <w:tcBorders>
                    <w:tl2br w:val="nil"/>
                    <w:tr2bl w:val="nil"/>
                  </w:tcBorders>
                  <w:vAlign w:val="center"/>
                </w:tcPr>
                <w:p>
                  <w:pPr>
                    <w:jc w:val="center"/>
                    <w:rPr>
                      <w:szCs w:val="21"/>
                    </w:rPr>
                  </w:pPr>
                  <w:r>
                    <w:rPr>
                      <w:rFonts w:hint="eastAsia"/>
                      <w:szCs w:val="21"/>
                    </w:rPr>
                    <w:t>20</w:t>
                  </w:r>
                </w:p>
              </w:tc>
              <w:tc>
                <w:tcPr>
                  <w:tcW w:w="1069" w:type="dxa"/>
                  <w:tcBorders>
                    <w:tl2br w:val="nil"/>
                    <w:tr2bl w:val="nil"/>
                  </w:tcBorders>
                  <w:vAlign w:val="center"/>
                </w:tcPr>
                <w:p>
                  <w:pPr>
                    <w:pStyle w:val="11"/>
                    <w:spacing w:line="240" w:lineRule="auto"/>
                    <w:ind w:firstLine="0"/>
                    <w:jc w:val="center"/>
                    <w:rPr>
                      <w:sz w:val="21"/>
                      <w:szCs w:val="21"/>
                    </w:rPr>
                  </w:pPr>
                  <w:r>
                    <w:rPr>
                      <w:rFonts w:hint="eastAsia"/>
                      <w:sz w:val="21"/>
                      <w:szCs w:val="21"/>
                    </w:rPr>
                    <w:t>正常</w:t>
                  </w:r>
                  <w:r>
                    <w:rPr>
                      <w:sz w:val="21"/>
                      <w:szCs w:val="21"/>
                    </w:rPr>
                    <w:t>工况</w:t>
                  </w:r>
                </w:p>
              </w:tc>
              <w:tc>
                <w:tcPr>
                  <w:tcW w:w="1080" w:type="dxa"/>
                  <w:tcBorders>
                    <w:tl2br w:val="nil"/>
                    <w:tr2bl w:val="nil"/>
                  </w:tcBorders>
                  <w:vAlign w:val="center"/>
                </w:tcPr>
                <w:p>
                  <w:pPr>
                    <w:pStyle w:val="11"/>
                    <w:spacing w:line="240" w:lineRule="auto"/>
                    <w:ind w:firstLine="0"/>
                    <w:jc w:val="center"/>
                    <w:rPr>
                      <w:rFonts w:hint="default" w:eastAsia="宋体"/>
                      <w:sz w:val="21"/>
                      <w:szCs w:val="21"/>
                      <w:lang w:val="en-US" w:eastAsia="zh-CN"/>
                    </w:rPr>
                  </w:pPr>
                  <w:r>
                    <w:rPr>
                      <w:rFonts w:hint="eastAsia"/>
                      <w:sz w:val="21"/>
                      <w:szCs w:val="21"/>
                      <w:lang w:val="en-US" w:eastAsia="zh-CN"/>
                    </w:rPr>
                    <w:t>0.013</w:t>
                  </w:r>
                </w:p>
              </w:tc>
              <w:tc>
                <w:tcPr>
                  <w:tcW w:w="1079" w:type="dxa"/>
                  <w:tcBorders>
                    <w:tl2br w:val="nil"/>
                    <w:tr2bl w:val="nil"/>
                  </w:tcBorders>
                  <w:vAlign w:val="center"/>
                </w:tcPr>
                <w:p>
                  <w:pPr>
                    <w:pStyle w:val="11"/>
                    <w:spacing w:line="240" w:lineRule="auto"/>
                    <w:ind w:firstLine="0"/>
                    <w:jc w:val="center"/>
                    <w:rPr>
                      <w:rFonts w:hint="default" w:eastAsia="宋体"/>
                      <w:sz w:val="21"/>
                      <w:szCs w:val="21"/>
                      <w:lang w:val="en-US" w:eastAsia="zh-CN"/>
                    </w:rPr>
                  </w:pPr>
                  <w:r>
                    <w:rPr>
                      <w:rFonts w:hint="eastAsia"/>
                      <w:sz w:val="21"/>
                      <w:szCs w:val="21"/>
                      <w:lang w:val="en-US" w:eastAsia="zh-CN"/>
                    </w:rPr>
                    <w:t>0.168</w:t>
                  </w:r>
                </w:p>
              </w:tc>
            </w:tr>
          </w:tbl>
          <w:p>
            <w:pPr>
              <w:spacing w:line="360" w:lineRule="auto"/>
              <w:jc w:val="center"/>
              <w:rPr>
                <w:b/>
                <w:sz w:val="24"/>
                <w:szCs w:val="24"/>
              </w:rPr>
            </w:pPr>
            <w:r>
              <w:rPr>
                <w:b/>
                <w:sz w:val="24"/>
                <w:szCs w:val="24"/>
              </w:rPr>
              <w:t>表30  主要面源污染源强一览表</w:t>
            </w:r>
          </w:p>
          <w:tbl>
            <w:tblPr>
              <w:tblStyle w:val="48"/>
              <w:tblW w:w="8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817"/>
              <w:gridCol w:w="1012"/>
              <w:gridCol w:w="1446"/>
              <w:gridCol w:w="887"/>
              <w:gridCol w:w="1162"/>
              <w:gridCol w:w="1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636" w:type="dxa"/>
                  <w:vMerge w:val="restart"/>
                  <w:tcBorders>
                    <w:tl2br w:val="nil"/>
                    <w:tr2bl w:val="nil"/>
                  </w:tcBorders>
                  <w:vAlign w:val="center"/>
                </w:tcPr>
                <w:p>
                  <w:pPr>
                    <w:pStyle w:val="11"/>
                    <w:spacing w:line="240" w:lineRule="auto"/>
                    <w:ind w:firstLine="0"/>
                    <w:jc w:val="center"/>
                    <w:rPr>
                      <w:sz w:val="22"/>
                      <w:szCs w:val="22"/>
                    </w:rPr>
                  </w:pPr>
                  <w:r>
                    <w:rPr>
                      <w:sz w:val="22"/>
                      <w:szCs w:val="22"/>
                    </w:rPr>
                    <w:t>污染源</w:t>
                  </w:r>
                </w:p>
                <w:p>
                  <w:pPr>
                    <w:pStyle w:val="11"/>
                    <w:spacing w:line="240" w:lineRule="auto"/>
                    <w:ind w:firstLine="0"/>
                    <w:jc w:val="center"/>
                    <w:rPr>
                      <w:sz w:val="22"/>
                      <w:szCs w:val="22"/>
                    </w:rPr>
                  </w:pPr>
                  <w:r>
                    <w:rPr>
                      <w:sz w:val="22"/>
                      <w:szCs w:val="22"/>
                    </w:rPr>
                    <w:t>名称</w:t>
                  </w:r>
                </w:p>
              </w:tc>
              <w:tc>
                <w:tcPr>
                  <w:tcW w:w="817" w:type="dxa"/>
                  <w:vMerge w:val="restart"/>
                  <w:tcBorders>
                    <w:tl2br w:val="nil"/>
                    <w:tr2bl w:val="nil"/>
                  </w:tcBorders>
                  <w:vAlign w:val="center"/>
                </w:tcPr>
                <w:p>
                  <w:pPr>
                    <w:jc w:val="center"/>
                    <w:rPr>
                      <w:sz w:val="22"/>
                      <w:szCs w:val="22"/>
                    </w:rPr>
                  </w:pPr>
                  <w:r>
                    <w:rPr>
                      <w:sz w:val="22"/>
                      <w:szCs w:val="22"/>
                    </w:rPr>
                    <w:t>面源长度m</w:t>
                  </w:r>
                </w:p>
              </w:tc>
              <w:tc>
                <w:tcPr>
                  <w:tcW w:w="1012" w:type="dxa"/>
                  <w:vMerge w:val="restart"/>
                  <w:tcBorders>
                    <w:tl2br w:val="nil"/>
                    <w:tr2bl w:val="nil"/>
                  </w:tcBorders>
                  <w:vAlign w:val="center"/>
                </w:tcPr>
                <w:p>
                  <w:pPr>
                    <w:jc w:val="center"/>
                    <w:rPr>
                      <w:sz w:val="22"/>
                      <w:szCs w:val="22"/>
                    </w:rPr>
                  </w:pPr>
                  <w:r>
                    <w:rPr>
                      <w:sz w:val="22"/>
                      <w:szCs w:val="22"/>
                    </w:rPr>
                    <w:t>面源宽度径m</w:t>
                  </w:r>
                </w:p>
              </w:tc>
              <w:tc>
                <w:tcPr>
                  <w:tcW w:w="1446" w:type="dxa"/>
                  <w:vMerge w:val="restart"/>
                  <w:tcBorders>
                    <w:tl2br w:val="nil"/>
                    <w:tr2bl w:val="nil"/>
                  </w:tcBorders>
                  <w:vAlign w:val="center"/>
                </w:tcPr>
                <w:p>
                  <w:pPr>
                    <w:jc w:val="center"/>
                    <w:rPr>
                      <w:sz w:val="22"/>
                      <w:szCs w:val="22"/>
                    </w:rPr>
                  </w:pPr>
                  <w:r>
                    <w:rPr>
                      <w:sz w:val="22"/>
                      <w:szCs w:val="22"/>
                    </w:rPr>
                    <w:t>面源有效排放高度m</w:t>
                  </w:r>
                </w:p>
              </w:tc>
              <w:tc>
                <w:tcPr>
                  <w:tcW w:w="887" w:type="dxa"/>
                  <w:vMerge w:val="restart"/>
                  <w:tcBorders>
                    <w:tl2br w:val="nil"/>
                    <w:tr2bl w:val="nil"/>
                  </w:tcBorders>
                  <w:vAlign w:val="center"/>
                </w:tcPr>
                <w:p>
                  <w:pPr>
                    <w:pStyle w:val="11"/>
                    <w:spacing w:line="240" w:lineRule="auto"/>
                    <w:ind w:firstLine="0"/>
                    <w:jc w:val="center"/>
                    <w:rPr>
                      <w:sz w:val="22"/>
                      <w:szCs w:val="22"/>
                    </w:rPr>
                  </w:pPr>
                  <w:r>
                    <w:rPr>
                      <w:sz w:val="22"/>
                      <w:szCs w:val="22"/>
                    </w:rPr>
                    <w:t>排放工况</w:t>
                  </w:r>
                </w:p>
              </w:tc>
              <w:tc>
                <w:tcPr>
                  <w:tcW w:w="2325" w:type="dxa"/>
                  <w:gridSpan w:val="2"/>
                  <w:tcBorders>
                    <w:tl2br w:val="nil"/>
                    <w:tr2bl w:val="nil"/>
                  </w:tcBorders>
                  <w:vAlign w:val="center"/>
                </w:tcPr>
                <w:p>
                  <w:pPr>
                    <w:pStyle w:val="11"/>
                    <w:spacing w:line="240" w:lineRule="auto"/>
                    <w:ind w:firstLine="0"/>
                    <w:jc w:val="center"/>
                    <w:rPr>
                      <w:sz w:val="22"/>
                      <w:szCs w:val="22"/>
                    </w:rPr>
                  </w:pPr>
                  <w:r>
                    <w:rPr>
                      <w:sz w:val="22"/>
                      <w:szCs w:val="22"/>
                    </w:rPr>
                    <w:t>污染物排放速率kg/h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6" w:type="dxa"/>
                  <w:vMerge w:val="continue"/>
                  <w:tcBorders>
                    <w:tl2br w:val="nil"/>
                    <w:tr2bl w:val="nil"/>
                  </w:tcBorders>
                  <w:vAlign w:val="center"/>
                </w:tcPr>
                <w:p>
                  <w:pPr>
                    <w:pStyle w:val="11"/>
                    <w:spacing w:line="240" w:lineRule="auto"/>
                    <w:ind w:firstLine="0"/>
                    <w:jc w:val="center"/>
                    <w:rPr>
                      <w:sz w:val="22"/>
                      <w:szCs w:val="22"/>
                    </w:rPr>
                  </w:pPr>
                </w:p>
              </w:tc>
              <w:tc>
                <w:tcPr>
                  <w:tcW w:w="817" w:type="dxa"/>
                  <w:vMerge w:val="continue"/>
                  <w:tcBorders>
                    <w:tl2br w:val="nil"/>
                    <w:tr2bl w:val="nil"/>
                  </w:tcBorders>
                  <w:vAlign w:val="center"/>
                </w:tcPr>
                <w:p>
                  <w:pPr>
                    <w:pStyle w:val="11"/>
                    <w:spacing w:line="240" w:lineRule="auto"/>
                    <w:ind w:firstLine="0"/>
                    <w:jc w:val="center"/>
                    <w:rPr>
                      <w:sz w:val="22"/>
                      <w:szCs w:val="22"/>
                    </w:rPr>
                  </w:pPr>
                </w:p>
              </w:tc>
              <w:tc>
                <w:tcPr>
                  <w:tcW w:w="1012" w:type="dxa"/>
                  <w:vMerge w:val="continue"/>
                  <w:tcBorders>
                    <w:tl2br w:val="nil"/>
                    <w:tr2bl w:val="nil"/>
                  </w:tcBorders>
                  <w:vAlign w:val="center"/>
                </w:tcPr>
                <w:p>
                  <w:pPr>
                    <w:pStyle w:val="11"/>
                    <w:spacing w:line="240" w:lineRule="auto"/>
                    <w:ind w:firstLine="0"/>
                    <w:jc w:val="center"/>
                    <w:rPr>
                      <w:sz w:val="22"/>
                      <w:szCs w:val="22"/>
                    </w:rPr>
                  </w:pPr>
                </w:p>
              </w:tc>
              <w:tc>
                <w:tcPr>
                  <w:tcW w:w="1446" w:type="dxa"/>
                  <w:vMerge w:val="continue"/>
                  <w:tcBorders>
                    <w:tl2br w:val="nil"/>
                    <w:tr2bl w:val="nil"/>
                  </w:tcBorders>
                  <w:vAlign w:val="center"/>
                </w:tcPr>
                <w:p>
                  <w:pPr>
                    <w:pStyle w:val="11"/>
                    <w:spacing w:line="240" w:lineRule="auto"/>
                    <w:ind w:firstLine="0"/>
                    <w:jc w:val="center"/>
                    <w:rPr>
                      <w:sz w:val="22"/>
                      <w:szCs w:val="22"/>
                    </w:rPr>
                  </w:pPr>
                </w:p>
              </w:tc>
              <w:tc>
                <w:tcPr>
                  <w:tcW w:w="887" w:type="dxa"/>
                  <w:vMerge w:val="continue"/>
                  <w:tcBorders>
                    <w:tl2br w:val="nil"/>
                    <w:tr2bl w:val="nil"/>
                  </w:tcBorders>
                  <w:vAlign w:val="center"/>
                </w:tcPr>
                <w:p>
                  <w:pPr>
                    <w:pStyle w:val="11"/>
                    <w:spacing w:line="240" w:lineRule="auto"/>
                    <w:ind w:firstLine="0"/>
                    <w:jc w:val="center"/>
                    <w:rPr>
                      <w:sz w:val="22"/>
                      <w:szCs w:val="22"/>
                    </w:rPr>
                  </w:pPr>
                </w:p>
              </w:tc>
              <w:tc>
                <w:tcPr>
                  <w:tcW w:w="1162" w:type="dxa"/>
                  <w:tcBorders>
                    <w:tl2br w:val="nil"/>
                    <w:tr2bl w:val="nil"/>
                  </w:tcBorders>
                  <w:vAlign w:val="center"/>
                </w:tcPr>
                <w:p>
                  <w:pPr>
                    <w:pStyle w:val="11"/>
                    <w:spacing w:line="240" w:lineRule="auto"/>
                    <w:ind w:firstLine="0"/>
                    <w:jc w:val="center"/>
                    <w:rPr>
                      <w:sz w:val="21"/>
                      <w:szCs w:val="21"/>
                    </w:rPr>
                  </w:pPr>
                  <w:r>
                    <w:rPr>
                      <w:sz w:val="21"/>
                      <w:szCs w:val="21"/>
                    </w:rPr>
                    <w:t>NH</w:t>
                  </w:r>
                  <w:r>
                    <w:rPr>
                      <w:sz w:val="21"/>
                      <w:szCs w:val="21"/>
                      <w:vertAlign w:val="subscript"/>
                    </w:rPr>
                    <w:t>3</w:t>
                  </w:r>
                </w:p>
              </w:tc>
              <w:tc>
                <w:tcPr>
                  <w:tcW w:w="1163" w:type="dxa"/>
                  <w:tcBorders>
                    <w:tl2br w:val="nil"/>
                    <w:tr2bl w:val="nil"/>
                  </w:tcBorders>
                  <w:vAlign w:val="center"/>
                </w:tcPr>
                <w:p>
                  <w:pPr>
                    <w:pStyle w:val="11"/>
                    <w:spacing w:line="240" w:lineRule="auto"/>
                    <w:ind w:firstLine="0"/>
                    <w:jc w:val="center"/>
                    <w:rPr>
                      <w:sz w:val="22"/>
                      <w:szCs w:val="22"/>
                    </w:rPr>
                  </w:pPr>
                  <w:r>
                    <w:rPr>
                      <w:sz w:val="21"/>
                      <w:szCs w:val="21"/>
                    </w:rPr>
                    <w:t>H</w:t>
                  </w:r>
                  <w:r>
                    <w:rPr>
                      <w:sz w:val="21"/>
                      <w:szCs w:val="21"/>
                      <w:vertAlign w:val="subscript"/>
                    </w:rPr>
                    <w:t>2</w:t>
                  </w:r>
                  <w:r>
                    <w:rPr>
                      <w:sz w:val="21"/>
                      <w:szCs w:val="21"/>
                    </w:rPr>
                    <w:t>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36" w:type="dxa"/>
                  <w:tcBorders>
                    <w:tl2br w:val="nil"/>
                    <w:tr2bl w:val="nil"/>
                  </w:tcBorders>
                  <w:vAlign w:val="center"/>
                </w:tcPr>
                <w:p>
                  <w:pPr>
                    <w:jc w:val="center"/>
                    <w:rPr>
                      <w:sz w:val="22"/>
                      <w:szCs w:val="22"/>
                    </w:rPr>
                  </w:pPr>
                  <w:r>
                    <w:rPr>
                      <w:rFonts w:hint="eastAsia"/>
                      <w:bCs/>
                      <w:sz w:val="22"/>
                      <w:szCs w:val="22"/>
                    </w:rPr>
                    <w:t>污水</w:t>
                  </w:r>
                  <w:r>
                    <w:rPr>
                      <w:bCs/>
                      <w:sz w:val="22"/>
                      <w:szCs w:val="22"/>
                    </w:rPr>
                    <w:t>处理</w:t>
                  </w:r>
                  <w:r>
                    <w:rPr>
                      <w:rFonts w:hint="eastAsia"/>
                      <w:bCs/>
                      <w:sz w:val="22"/>
                      <w:szCs w:val="22"/>
                    </w:rPr>
                    <w:t>厂</w:t>
                  </w:r>
                  <w:r>
                    <w:rPr>
                      <w:bCs/>
                      <w:sz w:val="22"/>
                      <w:szCs w:val="22"/>
                    </w:rPr>
                    <w:t>无组织废气</w:t>
                  </w:r>
                </w:p>
              </w:tc>
              <w:tc>
                <w:tcPr>
                  <w:tcW w:w="817" w:type="dxa"/>
                  <w:tcBorders>
                    <w:tl2br w:val="nil"/>
                    <w:tr2bl w:val="nil"/>
                  </w:tcBorders>
                  <w:vAlign w:val="center"/>
                </w:tcPr>
                <w:p>
                  <w:pPr>
                    <w:jc w:val="center"/>
                    <w:rPr>
                      <w:sz w:val="22"/>
                      <w:szCs w:val="22"/>
                    </w:rPr>
                  </w:pPr>
                  <w:r>
                    <w:rPr>
                      <w:sz w:val="22"/>
                      <w:szCs w:val="22"/>
                    </w:rPr>
                    <w:t>186</w:t>
                  </w:r>
                </w:p>
              </w:tc>
              <w:tc>
                <w:tcPr>
                  <w:tcW w:w="1012" w:type="dxa"/>
                  <w:tcBorders>
                    <w:tl2br w:val="nil"/>
                    <w:tr2bl w:val="nil"/>
                  </w:tcBorders>
                  <w:vAlign w:val="center"/>
                </w:tcPr>
                <w:p>
                  <w:pPr>
                    <w:jc w:val="center"/>
                    <w:rPr>
                      <w:sz w:val="22"/>
                      <w:szCs w:val="22"/>
                    </w:rPr>
                  </w:pPr>
                  <w:r>
                    <w:rPr>
                      <w:rFonts w:hint="eastAsia"/>
                      <w:sz w:val="22"/>
                      <w:szCs w:val="22"/>
                    </w:rPr>
                    <w:t>75</w:t>
                  </w:r>
                </w:p>
              </w:tc>
              <w:tc>
                <w:tcPr>
                  <w:tcW w:w="1446" w:type="dxa"/>
                  <w:tcBorders>
                    <w:tl2br w:val="nil"/>
                    <w:tr2bl w:val="nil"/>
                  </w:tcBorders>
                  <w:vAlign w:val="center"/>
                </w:tcPr>
                <w:p>
                  <w:pPr>
                    <w:jc w:val="center"/>
                    <w:rPr>
                      <w:sz w:val="22"/>
                      <w:szCs w:val="22"/>
                    </w:rPr>
                  </w:pPr>
                  <w:r>
                    <w:rPr>
                      <w:sz w:val="22"/>
                      <w:szCs w:val="22"/>
                    </w:rPr>
                    <w:t>6</w:t>
                  </w:r>
                </w:p>
              </w:tc>
              <w:tc>
                <w:tcPr>
                  <w:tcW w:w="887" w:type="dxa"/>
                  <w:tcBorders>
                    <w:tl2br w:val="nil"/>
                    <w:tr2bl w:val="nil"/>
                  </w:tcBorders>
                  <w:vAlign w:val="center"/>
                </w:tcPr>
                <w:p>
                  <w:pPr>
                    <w:pStyle w:val="11"/>
                    <w:spacing w:line="240" w:lineRule="auto"/>
                    <w:ind w:firstLine="0"/>
                    <w:jc w:val="center"/>
                    <w:rPr>
                      <w:sz w:val="22"/>
                      <w:szCs w:val="22"/>
                    </w:rPr>
                  </w:pPr>
                  <w:r>
                    <w:rPr>
                      <w:sz w:val="22"/>
                      <w:szCs w:val="22"/>
                    </w:rPr>
                    <w:t>正常</w:t>
                  </w:r>
                </w:p>
                <w:p>
                  <w:pPr>
                    <w:pStyle w:val="11"/>
                    <w:spacing w:line="240" w:lineRule="auto"/>
                    <w:ind w:firstLine="0"/>
                    <w:jc w:val="center"/>
                    <w:rPr>
                      <w:sz w:val="22"/>
                      <w:szCs w:val="22"/>
                    </w:rPr>
                  </w:pPr>
                  <w:r>
                    <w:rPr>
                      <w:sz w:val="22"/>
                      <w:szCs w:val="22"/>
                    </w:rPr>
                    <w:t>工况</w:t>
                  </w:r>
                </w:p>
              </w:tc>
              <w:tc>
                <w:tcPr>
                  <w:tcW w:w="1162" w:type="dxa"/>
                  <w:tcBorders>
                    <w:tl2br w:val="nil"/>
                    <w:tr2bl w:val="nil"/>
                  </w:tcBorders>
                  <w:vAlign w:val="center"/>
                </w:tcPr>
                <w:p>
                  <w:pPr>
                    <w:jc w:val="center"/>
                    <w:rPr>
                      <w:sz w:val="22"/>
                      <w:szCs w:val="22"/>
                    </w:rPr>
                  </w:pPr>
                  <w:r>
                    <w:rPr>
                      <w:rFonts w:hint="eastAsia"/>
                      <w:sz w:val="22"/>
                      <w:szCs w:val="22"/>
                    </w:rPr>
                    <w:t>0.01</w:t>
                  </w:r>
                </w:p>
              </w:tc>
              <w:tc>
                <w:tcPr>
                  <w:tcW w:w="1163" w:type="dxa"/>
                  <w:tcBorders>
                    <w:tl2br w:val="nil"/>
                    <w:tr2bl w:val="nil"/>
                  </w:tcBorders>
                  <w:vAlign w:val="center"/>
                </w:tcPr>
                <w:p>
                  <w:pPr>
                    <w:jc w:val="center"/>
                    <w:rPr>
                      <w:sz w:val="22"/>
                      <w:szCs w:val="22"/>
                    </w:rPr>
                  </w:pPr>
                  <w:r>
                    <w:rPr>
                      <w:sz w:val="22"/>
                      <w:szCs w:val="22"/>
                    </w:rPr>
                    <w:t>0.0003</w:t>
                  </w:r>
                </w:p>
              </w:tc>
            </w:tr>
          </w:tbl>
          <w:p>
            <w:pPr>
              <w:pStyle w:val="17"/>
              <w:spacing w:line="360" w:lineRule="auto"/>
              <w:rPr>
                <w:b/>
                <w:sz w:val="24"/>
                <w:szCs w:val="24"/>
              </w:rPr>
            </w:pPr>
            <w:r>
              <w:rPr>
                <w:rFonts w:ascii="Times New Roman" w:hAnsi="Times New Roman" w:cs="Times New Roman"/>
                <w:b/>
                <w:sz w:val="24"/>
                <w:szCs w:val="24"/>
              </w:rPr>
              <w:t>表31</w:t>
            </w:r>
            <w:r>
              <w:rPr>
                <w:b/>
                <w:sz w:val="24"/>
                <w:szCs w:val="24"/>
              </w:rPr>
              <w:t xml:space="preserve">  估算模式各污染物最大落地浓度和距离计算结果一览表</w:t>
            </w:r>
          </w:p>
          <w:tbl>
            <w:tblPr>
              <w:tblStyle w:val="47"/>
              <w:tblW w:w="8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04"/>
              <w:gridCol w:w="1956"/>
              <w:gridCol w:w="1477"/>
              <w:gridCol w:w="1746"/>
              <w:gridCol w:w="1248"/>
              <w:gridCol w:w="10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4" w:type="dxa"/>
                  <w:tcBorders>
                    <w:tl2br w:val="nil"/>
                    <w:tr2bl w:val="nil"/>
                  </w:tcBorders>
                  <w:vAlign w:val="center"/>
                </w:tcPr>
                <w:p>
                  <w:pPr>
                    <w:jc w:val="center"/>
                    <w:rPr>
                      <w:sz w:val="22"/>
                      <w:szCs w:val="22"/>
                    </w:rPr>
                  </w:pPr>
                  <w:r>
                    <w:rPr>
                      <w:sz w:val="22"/>
                      <w:szCs w:val="22"/>
                    </w:rPr>
                    <w:t>类别</w:t>
                  </w:r>
                </w:p>
              </w:tc>
              <w:tc>
                <w:tcPr>
                  <w:tcW w:w="1956" w:type="dxa"/>
                  <w:tcBorders>
                    <w:tl2br w:val="nil"/>
                    <w:tr2bl w:val="nil"/>
                  </w:tcBorders>
                  <w:vAlign w:val="center"/>
                </w:tcPr>
                <w:p>
                  <w:pPr>
                    <w:jc w:val="center"/>
                    <w:rPr>
                      <w:sz w:val="22"/>
                      <w:szCs w:val="22"/>
                    </w:rPr>
                  </w:pPr>
                  <w:r>
                    <w:rPr>
                      <w:sz w:val="22"/>
                      <w:szCs w:val="22"/>
                    </w:rPr>
                    <w:t>污染源</w:t>
                  </w:r>
                </w:p>
              </w:tc>
              <w:tc>
                <w:tcPr>
                  <w:tcW w:w="1477" w:type="dxa"/>
                  <w:tcBorders>
                    <w:tl2br w:val="nil"/>
                    <w:tr2bl w:val="nil"/>
                  </w:tcBorders>
                  <w:vAlign w:val="center"/>
                </w:tcPr>
                <w:p>
                  <w:pPr>
                    <w:jc w:val="center"/>
                    <w:rPr>
                      <w:sz w:val="22"/>
                      <w:szCs w:val="22"/>
                    </w:rPr>
                  </w:pPr>
                  <w:r>
                    <w:rPr>
                      <w:sz w:val="22"/>
                      <w:szCs w:val="22"/>
                    </w:rPr>
                    <w:t>污染因子</w:t>
                  </w:r>
                </w:p>
              </w:tc>
              <w:tc>
                <w:tcPr>
                  <w:tcW w:w="1746" w:type="dxa"/>
                  <w:tcBorders>
                    <w:tl2br w:val="nil"/>
                    <w:tr2bl w:val="nil"/>
                  </w:tcBorders>
                  <w:vAlign w:val="center"/>
                </w:tcPr>
                <w:p>
                  <w:pPr>
                    <w:jc w:val="center"/>
                    <w:rPr>
                      <w:sz w:val="22"/>
                      <w:szCs w:val="22"/>
                    </w:rPr>
                  </w:pPr>
                  <w:r>
                    <w:rPr>
                      <w:sz w:val="22"/>
                      <w:szCs w:val="22"/>
                    </w:rPr>
                    <w:t>最大落地</w:t>
                  </w:r>
                </w:p>
                <w:p>
                  <w:pPr>
                    <w:jc w:val="center"/>
                    <w:rPr>
                      <w:sz w:val="22"/>
                      <w:szCs w:val="22"/>
                    </w:rPr>
                  </w:pPr>
                  <w:r>
                    <w:rPr>
                      <w:sz w:val="22"/>
                      <w:szCs w:val="22"/>
                    </w:rPr>
                    <w:t>浓度(</w:t>
                  </w:r>
                  <w:r>
                    <w:t>μg/m</w:t>
                  </w:r>
                  <w:r>
                    <w:rPr>
                      <w:vertAlign w:val="superscript"/>
                    </w:rPr>
                    <w:t>3</w:t>
                  </w:r>
                  <w:r>
                    <w:rPr>
                      <w:sz w:val="22"/>
                      <w:szCs w:val="22"/>
                    </w:rPr>
                    <w:t>)</w:t>
                  </w:r>
                </w:p>
              </w:tc>
              <w:tc>
                <w:tcPr>
                  <w:tcW w:w="1248" w:type="dxa"/>
                  <w:tcBorders>
                    <w:tl2br w:val="nil"/>
                    <w:tr2bl w:val="nil"/>
                  </w:tcBorders>
                  <w:vAlign w:val="center"/>
                </w:tcPr>
                <w:p>
                  <w:pPr>
                    <w:jc w:val="center"/>
                    <w:rPr>
                      <w:sz w:val="22"/>
                      <w:szCs w:val="22"/>
                    </w:rPr>
                  </w:pPr>
                  <w:r>
                    <w:rPr>
                      <w:sz w:val="22"/>
                      <w:szCs w:val="22"/>
                    </w:rPr>
                    <w:t>浓度占标率％</w:t>
                  </w:r>
                </w:p>
              </w:tc>
              <w:tc>
                <w:tcPr>
                  <w:tcW w:w="1092" w:type="dxa"/>
                  <w:tcBorders>
                    <w:tl2br w:val="nil"/>
                    <w:tr2bl w:val="nil"/>
                  </w:tcBorders>
                  <w:vAlign w:val="center"/>
                </w:tcPr>
                <w:p>
                  <w:pPr>
                    <w:jc w:val="center"/>
                    <w:rPr>
                      <w:sz w:val="22"/>
                      <w:szCs w:val="22"/>
                    </w:rPr>
                  </w:pPr>
                  <w:r>
                    <w:rPr>
                      <w:bCs/>
                      <w:szCs w:val="21"/>
                    </w:rPr>
                    <w:t>D</w:t>
                  </w:r>
                  <w:r>
                    <w:rPr>
                      <w:bCs/>
                      <w:szCs w:val="21"/>
                      <w:vertAlign w:val="subscript"/>
                    </w:rPr>
                    <w:t>10%</w:t>
                  </w:r>
                  <w:r>
                    <w:rPr>
                      <w:bCs/>
                      <w:szCs w:val="21"/>
                    </w:rPr>
                    <w:t>最远距离/m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10" w:hRule="atLeast"/>
                <w:jc w:val="center"/>
              </w:trPr>
              <w:tc>
                <w:tcPr>
                  <w:tcW w:w="604" w:type="dxa"/>
                  <w:vMerge w:val="restart"/>
                  <w:tcBorders>
                    <w:tl2br w:val="nil"/>
                    <w:tr2bl w:val="nil"/>
                  </w:tcBorders>
                  <w:vAlign w:val="center"/>
                </w:tcPr>
                <w:p>
                  <w:pPr>
                    <w:jc w:val="center"/>
                    <w:rPr>
                      <w:rFonts w:hint="default" w:eastAsia="宋体"/>
                      <w:sz w:val="22"/>
                      <w:szCs w:val="22"/>
                      <w:lang w:val="en-US" w:eastAsia="zh-CN"/>
                    </w:rPr>
                  </w:pPr>
                  <w:r>
                    <w:rPr>
                      <w:rFonts w:hint="eastAsia"/>
                      <w:sz w:val="22"/>
                      <w:szCs w:val="22"/>
                      <w:lang w:val="en-US" w:eastAsia="zh-CN"/>
                    </w:rPr>
                    <w:t>点源</w:t>
                  </w:r>
                </w:p>
              </w:tc>
              <w:tc>
                <w:tcPr>
                  <w:tcW w:w="1956" w:type="dxa"/>
                  <w:vMerge w:val="restart"/>
                  <w:tcBorders>
                    <w:tl2br w:val="nil"/>
                    <w:tr2bl w:val="nil"/>
                  </w:tcBorders>
                  <w:vAlign w:val="center"/>
                </w:tcPr>
                <w:p>
                  <w:pPr>
                    <w:jc w:val="center"/>
                  </w:pPr>
                  <w:r>
                    <w:rPr>
                      <w:rFonts w:hint="eastAsia"/>
                      <w:szCs w:val="21"/>
                      <w:lang w:val="en-US" w:eastAsia="zh-CN"/>
                    </w:rPr>
                    <w:t>污水处理系统单元</w:t>
                  </w:r>
                  <w:r>
                    <w:rPr>
                      <w:szCs w:val="21"/>
                    </w:rPr>
                    <w:t>恶臭</w:t>
                  </w:r>
                  <w:r>
                    <w:t>（P</w:t>
                  </w:r>
                  <w:r>
                    <w:rPr>
                      <w:rFonts w:hint="eastAsia"/>
                      <w:lang w:val="en-US" w:eastAsia="zh-CN"/>
                    </w:rPr>
                    <w:t>1</w:t>
                  </w:r>
                  <w:r>
                    <w:t>）</w:t>
                  </w:r>
                </w:p>
              </w:tc>
              <w:tc>
                <w:tcPr>
                  <w:tcW w:w="1477" w:type="dxa"/>
                  <w:tcBorders>
                    <w:tl2br w:val="nil"/>
                    <w:tr2bl w:val="nil"/>
                  </w:tcBorders>
                  <w:vAlign w:val="center"/>
                </w:tcPr>
                <w:p>
                  <w:pPr>
                    <w:jc w:val="center"/>
                    <w:rPr>
                      <w:sz w:val="22"/>
                      <w:szCs w:val="22"/>
                    </w:rPr>
                  </w:pPr>
                  <w:r>
                    <w:rPr>
                      <w:szCs w:val="21"/>
                    </w:rPr>
                    <w:t>H</w:t>
                  </w:r>
                  <w:r>
                    <w:rPr>
                      <w:szCs w:val="21"/>
                      <w:vertAlign w:val="subscript"/>
                    </w:rPr>
                    <w:t>2</w:t>
                  </w:r>
                  <w:r>
                    <w:rPr>
                      <w:szCs w:val="21"/>
                    </w:rPr>
                    <w:t>S</w:t>
                  </w:r>
                </w:p>
              </w:tc>
              <w:tc>
                <w:tcPr>
                  <w:tcW w:w="1746" w:type="dxa"/>
                  <w:tcBorders>
                    <w:tl2br w:val="nil"/>
                    <w:tr2bl w:val="nil"/>
                  </w:tcBorders>
                  <w:vAlign w:val="center"/>
                </w:tcPr>
                <w:p>
                  <w:pPr>
                    <w:jc w:val="center"/>
                    <w:rPr>
                      <w:sz w:val="22"/>
                      <w:szCs w:val="22"/>
                    </w:rPr>
                  </w:pPr>
                  <w:r>
                    <w:rPr>
                      <w:rFonts w:hint="eastAsia"/>
                      <w:sz w:val="22"/>
                      <w:szCs w:val="22"/>
                    </w:rPr>
                    <w:t>0.637</w:t>
                  </w:r>
                </w:p>
              </w:tc>
              <w:tc>
                <w:tcPr>
                  <w:tcW w:w="1248" w:type="dxa"/>
                  <w:tcBorders>
                    <w:tl2br w:val="nil"/>
                    <w:tr2bl w:val="nil"/>
                  </w:tcBorders>
                  <w:vAlign w:val="center"/>
                </w:tcPr>
                <w:p>
                  <w:pPr>
                    <w:jc w:val="center"/>
                    <w:rPr>
                      <w:sz w:val="22"/>
                      <w:szCs w:val="22"/>
                    </w:rPr>
                  </w:pPr>
                  <w:r>
                    <w:rPr>
                      <w:rFonts w:hint="eastAsia"/>
                      <w:sz w:val="22"/>
                      <w:szCs w:val="22"/>
                    </w:rPr>
                    <w:t>6.37</w:t>
                  </w:r>
                </w:p>
              </w:tc>
              <w:tc>
                <w:tcPr>
                  <w:tcW w:w="1092" w:type="dxa"/>
                  <w:tcBorders>
                    <w:tl2br w:val="nil"/>
                    <w:tr2bl w:val="nil"/>
                  </w:tcBorders>
                  <w:vAlign w:val="center"/>
                </w:tcPr>
                <w:p>
                  <w:pPr>
                    <w:jc w:val="center"/>
                    <w:rPr>
                      <w:bCs/>
                      <w:szCs w:val="21"/>
                    </w:rPr>
                  </w:pPr>
                  <w:r>
                    <w:rPr>
                      <w:rFonts w:hint="eastAsia"/>
                      <w:bCs/>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10" w:hRule="atLeast"/>
                <w:jc w:val="center"/>
              </w:trPr>
              <w:tc>
                <w:tcPr>
                  <w:tcW w:w="604" w:type="dxa"/>
                  <w:vMerge w:val="continue"/>
                  <w:tcBorders>
                    <w:tl2br w:val="nil"/>
                    <w:tr2bl w:val="nil"/>
                  </w:tcBorders>
                  <w:vAlign w:val="center"/>
                </w:tcPr>
                <w:p>
                  <w:pPr>
                    <w:jc w:val="center"/>
                    <w:rPr>
                      <w:sz w:val="22"/>
                      <w:szCs w:val="22"/>
                    </w:rPr>
                  </w:pPr>
                </w:p>
              </w:tc>
              <w:tc>
                <w:tcPr>
                  <w:tcW w:w="1956" w:type="dxa"/>
                  <w:vMerge w:val="continue"/>
                  <w:tcBorders>
                    <w:tl2br w:val="nil"/>
                    <w:tr2bl w:val="nil"/>
                  </w:tcBorders>
                  <w:vAlign w:val="center"/>
                </w:tcPr>
                <w:p>
                  <w:pPr>
                    <w:jc w:val="center"/>
                  </w:pPr>
                </w:p>
              </w:tc>
              <w:tc>
                <w:tcPr>
                  <w:tcW w:w="1477" w:type="dxa"/>
                  <w:tcBorders>
                    <w:tl2br w:val="nil"/>
                    <w:tr2bl w:val="nil"/>
                  </w:tcBorders>
                  <w:vAlign w:val="center"/>
                </w:tcPr>
                <w:p>
                  <w:pPr>
                    <w:jc w:val="center"/>
                    <w:rPr>
                      <w:sz w:val="22"/>
                      <w:szCs w:val="22"/>
                    </w:rPr>
                  </w:pPr>
                  <w:r>
                    <w:rPr>
                      <w:szCs w:val="21"/>
                    </w:rPr>
                    <w:t>NH</w:t>
                  </w:r>
                  <w:r>
                    <w:rPr>
                      <w:szCs w:val="21"/>
                      <w:vertAlign w:val="subscript"/>
                    </w:rPr>
                    <w:t>3</w:t>
                  </w:r>
                </w:p>
              </w:tc>
              <w:tc>
                <w:tcPr>
                  <w:tcW w:w="1746" w:type="dxa"/>
                  <w:tcBorders>
                    <w:tl2br w:val="nil"/>
                    <w:tr2bl w:val="nil"/>
                  </w:tcBorders>
                  <w:vAlign w:val="center"/>
                </w:tcPr>
                <w:p>
                  <w:pPr>
                    <w:jc w:val="center"/>
                    <w:rPr>
                      <w:sz w:val="22"/>
                      <w:szCs w:val="22"/>
                    </w:rPr>
                  </w:pPr>
                  <w:r>
                    <w:rPr>
                      <w:rFonts w:hint="eastAsia"/>
                      <w:sz w:val="22"/>
                      <w:szCs w:val="22"/>
                    </w:rPr>
                    <w:t>8.28</w:t>
                  </w:r>
                </w:p>
              </w:tc>
              <w:tc>
                <w:tcPr>
                  <w:tcW w:w="1248" w:type="dxa"/>
                  <w:tcBorders>
                    <w:tl2br w:val="nil"/>
                    <w:tr2bl w:val="nil"/>
                  </w:tcBorders>
                  <w:vAlign w:val="center"/>
                </w:tcPr>
                <w:p>
                  <w:pPr>
                    <w:jc w:val="center"/>
                    <w:rPr>
                      <w:sz w:val="22"/>
                      <w:szCs w:val="22"/>
                    </w:rPr>
                  </w:pPr>
                  <w:r>
                    <w:rPr>
                      <w:rFonts w:hint="eastAsia"/>
                      <w:sz w:val="22"/>
                      <w:szCs w:val="22"/>
                    </w:rPr>
                    <w:t>4.14</w:t>
                  </w:r>
                </w:p>
              </w:tc>
              <w:tc>
                <w:tcPr>
                  <w:tcW w:w="1092" w:type="dxa"/>
                  <w:tcBorders>
                    <w:tl2br w:val="nil"/>
                    <w:tr2bl w:val="nil"/>
                  </w:tcBorders>
                  <w:vAlign w:val="center"/>
                </w:tcPr>
                <w:p>
                  <w:pPr>
                    <w:jc w:val="center"/>
                    <w:rPr>
                      <w:bCs/>
                      <w:szCs w:val="21"/>
                    </w:rPr>
                  </w:pPr>
                  <w:r>
                    <w:rPr>
                      <w:rFonts w:hint="eastAsia"/>
                      <w:bCs/>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4" w:type="dxa"/>
                  <w:vMerge w:val="restart"/>
                  <w:tcBorders>
                    <w:tl2br w:val="nil"/>
                    <w:tr2bl w:val="nil"/>
                  </w:tcBorders>
                  <w:vAlign w:val="center"/>
                </w:tcPr>
                <w:p>
                  <w:pPr>
                    <w:jc w:val="center"/>
                    <w:rPr>
                      <w:sz w:val="22"/>
                      <w:szCs w:val="22"/>
                    </w:rPr>
                  </w:pPr>
                  <w:r>
                    <w:rPr>
                      <w:rFonts w:hint="eastAsia"/>
                      <w:sz w:val="22"/>
                      <w:szCs w:val="22"/>
                    </w:rPr>
                    <w:t>面源</w:t>
                  </w:r>
                </w:p>
              </w:tc>
              <w:tc>
                <w:tcPr>
                  <w:tcW w:w="1956" w:type="dxa"/>
                  <w:vMerge w:val="restart"/>
                  <w:tcBorders>
                    <w:tl2br w:val="nil"/>
                    <w:tr2bl w:val="nil"/>
                  </w:tcBorders>
                  <w:vAlign w:val="center"/>
                </w:tcPr>
                <w:p>
                  <w:pPr>
                    <w:jc w:val="center"/>
                    <w:rPr>
                      <w:sz w:val="22"/>
                      <w:szCs w:val="22"/>
                    </w:rPr>
                  </w:pPr>
                  <w:r>
                    <w:rPr>
                      <w:rFonts w:hint="eastAsia"/>
                      <w:bCs/>
                      <w:sz w:val="22"/>
                      <w:szCs w:val="22"/>
                    </w:rPr>
                    <w:t>污水</w:t>
                  </w:r>
                  <w:r>
                    <w:rPr>
                      <w:bCs/>
                      <w:sz w:val="22"/>
                      <w:szCs w:val="22"/>
                    </w:rPr>
                    <w:t>处理</w:t>
                  </w:r>
                  <w:r>
                    <w:rPr>
                      <w:rFonts w:hint="eastAsia"/>
                      <w:bCs/>
                      <w:sz w:val="22"/>
                      <w:szCs w:val="22"/>
                    </w:rPr>
                    <w:t>厂</w:t>
                  </w:r>
                  <w:r>
                    <w:rPr>
                      <w:bCs/>
                      <w:sz w:val="22"/>
                      <w:szCs w:val="22"/>
                    </w:rPr>
                    <w:t>无组织废气</w:t>
                  </w:r>
                </w:p>
              </w:tc>
              <w:tc>
                <w:tcPr>
                  <w:tcW w:w="1477" w:type="dxa"/>
                  <w:tcBorders>
                    <w:tl2br w:val="nil"/>
                    <w:tr2bl w:val="nil"/>
                  </w:tcBorders>
                  <w:vAlign w:val="center"/>
                </w:tcPr>
                <w:p>
                  <w:pPr>
                    <w:jc w:val="center"/>
                    <w:rPr>
                      <w:sz w:val="22"/>
                      <w:szCs w:val="22"/>
                    </w:rPr>
                  </w:pPr>
                  <w:r>
                    <w:rPr>
                      <w:szCs w:val="21"/>
                    </w:rPr>
                    <w:t>NH</w:t>
                  </w:r>
                  <w:r>
                    <w:rPr>
                      <w:szCs w:val="21"/>
                      <w:vertAlign w:val="subscript"/>
                    </w:rPr>
                    <w:t>3</w:t>
                  </w:r>
                </w:p>
              </w:tc>
              <w:tc>
                <w:tcPr>
                  <w:tcW w:w="1746" w:type="dxa"/>
                  <w:tcBorders>
                    <w:tl2br w:val="nil"/>
                    <w:tr2bl w:val="nil"/>
                  </w:tcBorders>
                  <w:vAlign w:val="center"/>
                </w:tcPr>
                <w:p>
                  <w:pPr>
                    <w:jc w:val="center"/>
                    <w:rPr>
                      <w:sz w:val="22"/>
                      <w:szCs w:val="22"/>
                    </w:rPr>
                  </w:pPr>
                  <w:r>
                    <w:rPr>
                      <w:rFonts w:hint="eastAsia"/>
                      <w:sz w:val="22"/>
                      <w:szCs w:val="22"/>
                    </w:rPr>
                    <w:t>7.47</w:t>
                  </w:r>
                </w:p>
              </w:tc>
              <w:tc>
                <w:tcPr>
                  <w:tcW w:w="1248" w:type="dxa"/>
                  <w:tcBorders>
                    <w:tl2br w:val="nil"/>
                    <w:tr2bl w:val="nil"/>
                  </w:tcBorders>
                  <w:vAlign w:val="center"/>
                </w:tcPr>
                <w:p>
                  <w:pPr>
                    <w:jc w:val="center"/>
                    <w:rPr>
                      <w:sz w:val="22"/>
                      <w:szCs w:val="22"/>
                    </w:rPr>
                  </w:pPr>
                  <w:r>
                    <w:rPr>
                      <w:rFonts w:hint="eastAsia"/>
                      <w:sz w:val="22"/>
                      <w:szCs w:val="22"/>
                    </w:rPr>
                    <w:t>3.73</w:t>
                  </w:r>
                </w:p>
              </w:tc>
              <w:tc>
                <w:tcPr>
                  <w:tcW w:w="1092" w:type="dxa"/>
                  <w:tcBorders>
                    <w:tl2br w:val="nil"/>
                    <w:tr2bl w:val="nil"/>
                  </w:tcBorders>
                  <w:vAlign w:val="center"/>
                </w:tcPr>
                <w:p>
                  <w:pPr>
                    <w:jc w:val="center"/>
                    <w:rPr>
                      <w:bCs/>
                      <w:szCs w:val="21"/>
                    </w:rPr>
                  </w:pPr>
                  <w:r>
                    <w:rPr>
                      <w:rFonts w:hint="eastAsia"/>
                      <w:bCs/>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04" w:type="dxa"/>
                  <w:vMerge w:val="continue"/>
                  <w:tcBorders>
                    <w:tl2br w:val="nil"/>
                    <w:tr2bl w:val="nil"/>
                  </w:tcBorders>
                  <w:vAlign w:val="center"/>
                </w:tcPr>
                <w:p>
                  <w:pPr>
                    <w:jc w:val="center"/>
                    <w:rPr>
                      <w:sz w:val="22"/>
                      <w:szCs w:val="22"/>
                    </w:rPr>
                  </w:pPr>
                </w:p>
              </w:tc>
              <w:tc>
                <w:tcPr>
                  <w:tcW w:w="1956" w:type="dxa"/>
                  <w:vMerge w:val="continue"/>
                  <w:tcBorders>
                    <w:tl2br w:val="nil"/>
                    <w:tr2bl w:val="nil"/>
                  </w:tcBorders>
                  <w:vAlign w:val="center"/>
                </w:tcPr>
                <w:p>
                  <w:pPr>
                    <w:jc w:val="center"/>
                    <w:rPr>
                      <w:bCs/>
                      <w:sz w:val="22"/>
                      <w:szCs w:val="22"/>
                    </w:rPr>
                  </w:pPr>
                </w:p>
              </w:tc>
              <w:tc>
                <w:tcPr>
                  <w:tcW w:w="1477" w:type="dxa"/>
                  <w:tcBorders>
                    <w:tl2br w:val="nil"/>
                    <w:tr2bl w:val="nil"/>
                  </w:tcBorders>
                  <w:vAlign w:val="center"/>
                </w:tcPr>
                <w:p>
                  <w:pPr>
                    <w:jc w:val="center"/>
                    <w:rPr>
                      <w:szCs w:val="21"/>
                    </w:rPr>
                  </w:pPr>
                  <w:r>
                    <w:rPr>
                      <w:szCs w:val="21"/>
                    </w:rPr>
                    <w:t>H</w:t>
                  </w:r>
                  <w:r>
                    <w:rPr>
                      <w:szCs w:val="21"/>
                      <w:vertAlign w:val="subscript"/>
                    </w:rPr>
                    <w:t>2</w:t>
                  </w:r>
                  <w:r>
                    <w:rPr>
                      <w:szCs w:val="21"/>
                    </w:rPr>
                    <w:t>S</w:t>
                  </w:r>
                </w:p>
              </w:tc>
              <w:tc>
                <w:tcPr>
                  <w:tcW w:w="1746" w:type="dxa"/>
                  <w:tcBorders>
                    <w:tl2br w:val="nil"/>
                    <w:tr2bl w:val="nil"/>
                  </w:tcBorders>
                  <w:vAlign w:val="center"/>
                </w:tcPr>
                <w:p>
                  <w:pPr>
                    <w:jc w:val="center"/>
                    <w:rPr>
                      <w:sz w:val="22"/>
                      <w:szCs w:val="22"/>
                    </w:rPr>
                  </w:pPr>
                  <w:r>
                    <w:rPr>
                      <w:rFonts w:hint="eastAsia"/>
                      <w:sz w:val="22"/>
                      <w:szCs w:val="22"/>
                    </w:rPr>
                    <w:t>0.224</w:t>
                  </w:r>
                </w:p>
              </w:tc>
              <w:tc>
                <w:tcPr>
                  <w:tcW w:w="1248" w:type="dxa"/>
                  <w:tcBorders>
                    <w:tl2br w:val="nil"/>
                    <w:tr2bl w:val="nil"/>
                  </w:tcBorders>
                  <w:vAlign w:val="center"/>
                </w:tcPr>
                <w:p>
                  <w:pPr>
                    <w:jc w:val="center"/>
                    <w:rPr>
                      <w:sz w:val="22"/>
                      <w:szCs w:val="22"/>
                    </w:rPr>
                  </w:pPr>
                  <w:r>
                    <w:rPr>
                      <w:rFonts w:hint="eastAsia"/>
                      <w:sz w:val="22"/>
                      <w:szCs w:val="22"/>
                    </w:rPr>
                    <w:t>2.24</w:t>
                  </w:r>
                </w:p>
              </w:tc>
              <w:tc>
                <w:tcPr>
                  <w:tcW w:w="1092" w:type="dxa"/>
                  <w:tcBorders>
                    <w:tl2br w:val="nil"/>
                    <w:tr2bl w:val="nil"/>
                  </w:tcBorders>
                  <w:vAlign w:val="center"/>
                </w:tcPr>
                <w:p>
                  <w:pPr>
                    <w:jc w:val="center"/>
                    <w:rPr>
                      <w:bCs/>
                      <w:szCs w:val="21"/>
                    </w:rPr>
                  </w:pPr>
                  <w:r>
                    <w:rPr>
                      <w:rFonts w:hint="eastAsia"/>
                      <w:bCs/>
                      <w:szCs w:val="21"/>
                    </w:rPr>
                    <w:t>——</w:t>
                  </w:r>
                </w:p>
              </w:tc>
            </w:tr>
          </w:tbl>
          <w:p>
            <w:pPr>
              <w:pStyle w:val="319"/>
              <w:ind w:firstLine="482" w:firstLineChars="200"/>
              <w:jc w:val="left"/>
              <w:rPr>
                <w:szCs w:val="24"/>
              </w:rPr>
            </w:pPr>
            <w:r>
              <w:rPr>
                <w:szCs w:val="24"/>
              </w:rPr>
              <w:t>（2）评价工作等级的确定</w:t>
            </w:r>
          </w:p>
          <w:p>
            <w:pPr>
              <w:spacing w:line="360" w:lineRule="auto"/>
              <w:ind w:firstLine="480"/>
              <w:rPr>
                <w:sz w:val="24"/>
                <w:szCs w:val="24"/>
              </w:rPr>
            </w:pPr>
            <w:r>
              <w:rPr>
                <w:sz w:val="24"/>
                <w:szCs w:val="24"/>
              </w:rPr>
              <w:t>根据《环境影响评价技术导则 大气环境》（HJ2.2-2018），将大气环境评价工作级别划分情况列于表32。</w:t>
            </w:r>
          </w:p>
          <w:p>
            <w:pPr>
              <w:spacing w:line="360" w:lineRule="auto"/>
              <w:jc w:val="center"/>
              <w:rPr>
                <w:b/>
                <w:bCs/>
                <w:sz w:val="24"/>
                <w:szCs w:val="24"/>
              </w:rPr>
            </w:pPr>
            <w:r>
              <w:rPr>
                <w:b/>
                <w:bCs/>
                <w:sz w:val="24"/>
                <w:szCs w:val="24"/>
              </w:rPr>
              <w:t>表32  评价工作级别</w:t>
            </w:r>
          </w:p>
          <w:tbl>
            <w:tblPr>
              <w:tblStyle w:val="47"/>
              <w:tblW w:w="812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868"/>
              <w:gridCol w:w="62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868" w:type="dxa"/>
                  <w:tcBorders>
                    <w:right w:val="single" w:color="auto" w:sz="4" w:space="0"/>
                  </w:tcBorders>
                  <w:vAlign w:val="center"/>
                </w:tcPr>
                <w:p>
                  <w:pPr>
                    <w:autoSpaceDE w:val="0"/>
                    <w:autoSpaceDN w:val="0"/>
                    <w:jc w:val="center"/>
                  </w:pPr>
                  <w:r>
                    <w:t>评价工作等级</w:t>
                  </w:r>
                </w:p>
              </w:tc>
              <w:tc>
                <w:tcPr>
                  <w:tcW w:w="6255" w:type="dxa"/>
                  <w:tcBorders>
                    <w:left w:val="single" w:color="auto" w:sz="4" w:space="0"/>
                  </w:tcBorders>
                  <w:vAlign w:val="center"/>
                </w:tcPr>
                <w:p>
                  <w:pPr>
                    <w:autoSpaceDE w:val="0"/>
                    <w:autoSpaceDN w:val="0"/>
                    <w:jc w:val="center"/>
                  </w:pPr>
                  <w:r>
                    <w:t>评价工作分级判据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868" w:type="dxa"/>
                  <w:tcBorders>
                    <w:right w:val="single" w:color="auto" w:sz="4" w:space="0"/>
                  </w:tcBorders>
                  <w:vAlign w:val="center"/>
                </w:tcPr>
                <w:p>
                  <w:pPr>
                    <w:autoSpaceDE w:val="0"/>
                    <w:autoSpaceDN w:val="0"/>
                    <w:jc w:val="center"/>
                  </w:pPr>
                  <w:r>
                    <w:t>一级</w:t>
                  </w:r>
                </w:p>
              </w:tc>
              <w:tc>
                <w:tcPr>
                  <w:tcW w:w="6255" w:type="dxa"/>
                  <w:tcBorders>
                    <w:left w:val="single" w:color="auto" w:sz="4" w:space="0"/>
                  </w:tcBorders>
                  <w:vAlign w:val="center"/>
                </w:tcPr>
                <w:p>
                  <w:pPr>
                    <w:autoSpaceDE w:val="0"/>
                    <w:autoSpaceDN w:val="0"/>
                    <w:jc w:val="center"/>
                  </w:pPr>
                  <w:r>
                    <w:t>P</w:t>
                  </w:r>
                  <w:r>
                    <w:rPr>
                      <w:vertAlign w:val="subscript"/>
                    </w:rPr>
                    <w:t>max</w:t>
                  </w:r>
                  <w: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868" w:type="dxa"/>
                  <w:tcBorders>
                    <w:right w:val="single" w:color="auto" w:sz="4" w:space="0"/>
                  </w:tcBorders>
                  <w:vAlign w:val="center"/>
                </w:tcPr>
                <w:p>
                  <w:pPr>
                    <w:autoSpaceDE w:val="0"/>
                    <w:autoSpaceDN w:val="0"/>
                    <w:jc w:val="center"/>
                  </w:pPr>
                  <w:r>
                    <w:t>二级</w:t>
                  </w:r>
                </w:p>
              </w:tc>
              <w:tc>
                <w:tcPr>
                  <w:tcW w:w="6255" w:type="dxa"/>
                  <w:tcBorders>
                    <w:left w:val="single" w:color="auto" w:sz="4" w:space="0"/>
                  </w:tcBorders>
                  <w:vAlign w:val="center"/>
                </w:tcPr>
                <w:p>
                  <w:pPr>
                    <w:autoSpaceDE w:val="0"/>
                    <w:autoSpaceDN w:val="0"/>
                    <w:jc w:val="center"/>
                  </w:pPr>
                  <w:r>
                    <w:t>1%≤P</w:t>
                  </w:r>
                  <w:r>
                    <w:rPr>
                      <w:vertAlign w:val="subscript"/>
                    </w:rPr>
                    <w:t>max</w:t>
                  </w:r>
                  <w: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868" w:type="dxa"/>
                  <w:tcBorders>
                    <w:right w:val="single" w:color="auto" w:sz="4" w:space="0"/>
                  </w:tcBorders>
                  <w:vAlign w:val="center"/>
                </w:tcPr>
                <w:p>
                  <w:pPr>
                    <w:autoSpaceDE w:val="0"/>
                    <w:autoSpaceDN w:val="0"/>
                    <w:jc w:val="center"/>
                  </w:pPr>
                  <w:r>
                    <w:t>三级</w:t>
                  </w:r>
                </w:p>
              </w:tc>
              <w:tc>
                <w:tcPr>
                  <w:tcW w:w="6255" w:type="dxa"/>
                  <w:tcBorders>
                    <w:left w:val="single" w:color="auto" w:sz="4" w:space="0"/>
                  </w:tcBorders>
                  <w:vAlign w:val="center"/>
                </w:tcPr>
                <w:p>
                  <w:pPr>
                    <w:autoSpaceDE w:val="0"/>
                    <w:autoSpaceDN w:val="0"/>
                    <w:jc w:val="center"/>
                  </w:pPr>
                  <w:r>
                    <w:t>P</w:t>
                  </w:r>
                  <w:r>
                    <w:rPr>
                      <w:vertAlign w:val="subscript"/>
                    </w:rPr>
                    <w:t>max</w:t>
                  </w:r>
                  <w:r>
                    <w:t>＜1%</w:t>
                  </w:r>
                </w:p>
              </w:tc>
            </w:tr>
          </w:tbl>
          <w:p>
            <w:pPr>
              <w:ind w:firstLine="420"/>
              <w:rPr>
                <w:sz w:val="24"/>
                <w:szCs w:val="24"/>
              </w:rPr>
            </w:pPr>
            <w:r>
              <w:rPr>
                <w:sz w:val="24"/>
                <w:szCs w:val="24"/>
              </w:rPr>
              <w:t>注：Pmax——取Pi值中最大者</w:t>
            </w:r>
          </w:p>
          <w:p>
            <w:pPr>
              <w:spacing w:line="360" w:lineRule="auto"/>
              <w:ind w:firstLine="480" w:firstLineChars="200"/>
              <w:jc w:val="both"/>
              <w:rPr>
                <w:rFonts w:hint="eastAsia" w:eastAsia="宋体"/>
                <w:b/>
                <w:sz w:val="24"/>
                <w:szCs w:val="24"/>
                <w:lang w:eastAsia="zh-CN"/>
              </w:rPr>
            </w:pPr>
            <w:r>
              <w:rPr>
                <w:sz w:val="24"/>
                <w:szCs w:val="24"/>
              </w:rPr>
              <w:t>综合以上分析，本项目最大占标率1%＜P</w:t>
            </w:r>
            <w:r>
              <w:rPr>
                <w:sz w:val="24"/>
                <w:szCs w:val="24"/>
                <w:vertAlign w:val="subscript"/>
              </w:rPr>
              <w:t>max</w:t>
            </w:r>
            <w:r>
              <w:rPr>
                <w:sz w:val="24"/>
                <w:szCs w:val="24"/>
              </w:rPr>
              <w:t>=6.37%＜10%，根据《环境影响评价技术导则 大气环境》（HJ2.2-2018）对评价工作级别的确定原则，本工程大气环境影响评价工作级别为二级。评价范围为以厂址为中心，边长为5km的矩形区域</w:t>
            </w:r>
            <w:r>
              <w:rPr>
                <w:rFonts w:hint="eastAsia"/>
                <w:sz w:val="24"/>
                <w:szCs w:val="24"/>
                <w:lang w:eastAsia="zh-CN"/>
              </w:rPr>
              <w:t>。</w:t>
            </w:r>
          </w:p>
          <w:p>
            <w:pPr>
              <w:spacing w:line="360" w:lineRule="auto"/>
              <w:ind w:firstLine="480" w:firstLineChars="200"/>
              <w:rPr>
                <w:b/>
                <w:sz w:val="24"/>
                <w:szCs w:val="24"/>
              </w:rPr>
            </w:pPr>
            <w:r>
              <w:rPr>
                <w:sz w:val="24"/>
                <w:szCs w:val="24"/>
              </w:rPr>
              <w:t>（</w:t>
            </w:r>
            <w:r>
              <w:rPr>
                <w:b/>
                <w:sz w:val="24"/>
                <w:szCs w:val="24"/>
              </w:rPr>
              <w:t>3）大气环境影响评价</w:t>
            </w:r>
          </w:p>
          <w:p>
            <w:pPr>
              <w:spacing w:line="360" w:lineRule="auto"/>
              <w:ind w:firstLine="482"/>
              <w:rPr>
                <w:sz w:val="24"/>
                <w:szCs w:val="24"/>
              </w:rPr>
            </w:pPr>
            <w:r>
              <w:rPr>
                <w:sz w:val="24"/>
                <w:szCs w:val="24"/>
              </w:rPr>
              <w:t>根据《环境影响评价技术导则 大气环境》（HJ2.2-2018）的规定，大气评价级别为二级时，项目不进行进一步预测与评价，只对污染物排放量进行核算。项目大气污染物排放量核算见表33至表35。</w:t>
            </w:r>
          </w:p>
          <w:p>
            <w:pPr>
              <w:ind w:firstLine="422"/>
              <w:jc w:val="center"/>
              <w:rPr>
                <w:b/>
                <w:bCs/>
                <w:sz w:val="24"/>
                <w:szCs w:val="24"/>
              </w:rPr>
            </w:pPr>
            <w:r>
              <w:rPr>
                <w:b/>
                <w:bCs/>
                <w:sz w:val="24"/>
                <w:szCs w:val="24"/>
              </w:rPr>
              <w:t>表33  大气污染物有组织排放量核算表</w:t>
            </w:r>
          </w:p>
          <w:tbl>
            <w:tblPr>
              <w:tblStyle w:val="47"/>
              <w:tblW w:w="8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108" w:type="dxa"/>
                <w:bottom w:w="28" w:type="dxa"/>
                <w:right w:w="108" w:type="dxa"/>
              </w:tblCellMar>
            </w:tblPr>
            <w:tblGrid>
              <w:gridCol w:w="641"/>
              <w:gridCol w:w="1279"/>
              <w:gridCol w:w="855"/>
              <w:gridCol w:w="1491"/>
              <w:gridCol w:w="2293"/>
              <w:gridCol w:w="14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641" w:type="dxa"/>
                  <w:vAlign w:val="center"/>
                </w:tcPr>
                <w:p>
                  <w:pPr>
                    <w:widowControl/>
                    <w:jc w:val="center"/>
                    <w:rPr>
                      <w:bCs/>
                      <w:szCs w:val="21"/>
                    </w:rPr>
                  </w:pPr>
                  <w:r>
                    <w:rPr>
                      <w:bCs/>
                      <w:szCs w:val="21"/>
                    </w:rPr>
                    <w:t>序号</w:t>
                  </w:r>
                </w:p>
              </w:tc>
              <w:tc>
                <w:tcPr>
                  <w:tcW w:w="1279" w:type="dxa"/>
                  <w:vAlign w:val="center"/>
                </w:tcPr>
                <w:p>
                  <w:pPr>
                    <w:widowControl/>
                    <w:jc w:val="center"/>
                    <w:rPr>
                      <w:bCs/>
                      <w:szCs w:val="21"/>
                    </w:rPr>
                  </w:pPr>
                  <w:r>
                    <w:rPr>
                      <w:bCs/>
                      <w:szCs w:val="21"/>
                    </w:rPr>
                    <w:t>排放口编号</w:t>
                  </w:r>
                </w:p>
              </w:tc>
              <w:tc>
                <w:tcPr>
                  <w:tcW w:w="855" w:type="dxa"/>
                  <w:vAlign w:val="center"/>
                </w:tcPr>
                <w:p>
                  <w:pPr>
                    <w:widowControl/>
                    <w:jc w:val="center"/>
                    <w:rPr>
                      <w:bCs/>
                      <w:szCs w:val="21"/>
                    </w:rPr>
                  </w:pPr>
                  <w:r>
                    <w:rPr>
                      <w:bCs/>
                      <w:szCs w:val="21"/>
                    </w:rPr>
                    <w:t>污染物</w:t>
                  </w:r>
                </w:p>
              </w:tc>
              <w:tc>
                <w:tcPr>
                  <w:tcW w:w="1491" w:type="dxa"/>
                  <w:vAlign w:val="center"/>
                </w:tcPr>
                <w:p>
                  <w:pPr>
                    <w:jc w:val="center"/>
                    <w:rPr>
                      <w:szCs w:val="21"/>
                    </w:rPr>
                  </w:pPr>
                  <w:r>
                    <w:rPr>
                      <w:szCs w:val="21"/>
                    </w:rPr>
                    <w:t>核算排放浓度</w:t>
                  </w:r>
                </w:p>
                <w:p>
                  <w:pPr>
                    <w:jc w:val="center"/>
                    <w:rPr>
                      <w:szCs w:val="21"/>
                    </w:rPr>
                  </w:pPr>
                  <w:r>
                    <w:rPr>
                      <w:szCs w:val="21"/>
                    </w:rPr>
                    <w:t>（mg/m</w:t>
                  </w:r>
                  <w:r>
                    <w:rPr>
                      <w:szCs w:val="21"/>
                      <w:vertAlign w:val="superscript"/>
                    </w:rPr>
                    <w:t>3</w:t>
                  </w:r>
                  <w:r>
                    <w:rPr>
                      <w:szCs w:val="21"/>
                    </w:rPr>
                    <w:t>）</w:t>
                  </w:r>
                </w:p>
              </w:tc>
              <w:tc>
                <w:tcPr>
                  <w:tcW w:w="2293" w:type="dxa"/>
                  <w:vAlign w:val="center"/>
                </w:tcPr>
                <w:p>
                  <w:pPr>
                    <w:jc w:val="center"/>
                    <w:rPr>
                      <w:szCs w:val="21"/>
                    </w:rPr>
                  </w:pPr>
                  <w:r>
                    <w:rPr>
                      <w:szCs w:val="21"/>
                    </w:rPr>
                    <w:t>核算排放速率（kg/h）</w:t>
                  </w:r>
                </w:p>
              </w:tc>
              <w:tc>
                <w:tcPr>
                  <w:tcW w:w="1491" w:type="dxa"/>
                  <w:vAlign w:val="center"/>
                </w:tcPr>
                <w:p>
                  <w:pPr>
                    <w:widowControl/>
                    <w:jc w:val="center"/>
                    <w:rPr>
                      <w:bCs/>
                      <w:szCs w:val="21"/>
                    </w:rPr>
                  </w:pPr>
                  <w:r>
                    <w:rPr>
                      <w:bCs/>
                      <w:szCs w:val="21"/>
                    </w:rPr>
                    <w:t>核算年排放量</w:t>
                  </w:r>
                </w:p>
                <w:p>
                  <w:pPr>
                    <w:widowControl/>
                    <w:jc w:val="center"/>
                    <w:rPr>
                      <w:bCs/>
                      <w:szCs w:val="21"/>
                    </w:rPr>
                  </w:pPr>
                  <w:r>
                    <w:rPr>
                      <w:bCs/>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641" w:type="dxa"/>
                  <w:vMerge w:val="restart"/>
                  <w:vAlign w:val="center"/>
                </w:tcPr>
                <w:p>
                  <w:pPr>
                    <w:widowControl/>
                    <w:jc w:val="center"/>
                    <w:rPr>
                      <w:bCs/>
                      <w:szCs w:val="21"/>
                    </w:rPr>
                  </w:pPr>
                  <w:r>
                    <w:rPr>
                      <w:bCs/>
                      <w:szCs w:val="21"/>
                    </w:rPr>
                    <w:t>1</w:t>
                  </w:r>
                </w:p>
              </w:tc>
              <w:tc>
                <w:tcPr>
                  <w:tcW w:w="1279" w:type="dxa"/>
                  <w:vMerge w:val="restart"/>
                  <w:vAlign w:val="center"/>
                </w:tcPr>
                <w:p>
                  <w:pPr>
                    <w:widowControl/>
                    <w:jc w:val="center"/>
                    <w:rPr>
                      <w:bCs/>
                      <w:szCs w:val="21"/>
                    </w:rPr>
                  </w:pPr>
                  <w:r>
                    <w:rPr>
                      <w:rFonts w:hint="eastAsia"/>
                      <w:szCs w:val="21"/>
                      <w:lang w:val="en-US" w:eastAsia="zh-CN"/>
                    </w:rPr>
                    <w:t>污水处理系统单元</w:t>
                  </w:r>
                  <w:r>
                    <w:rPr>
                      <w:szCs w:val="21"/>
                    </w:rPr>
                    <w:t>恶臭</w:t>
                  </w:r>
                  <w:r>
                    <w:t>（P1）</w:t>
                  </w:r>
                </w:p>
              </w:tc>
              <w:tc>
                <w:tcPr>
                  <w:tcW w:w="855" w:type="dxa"/>
                  <w:vAlign w:val="center"/>
                </w:tcPr>
                <w:p>
                  <w:pPr>
                    <w:spacing w:line="240" w:lineRule="exact"/>
                    <w:jc w:val="center"/>
                    <w:rPr>
                      <w:szCs w:val="22"/>
                    </w:rPr>
                  </w:pPr>
                  <w:r>
                    <w:rPr>
                      <w:rFonts w:hint="eastAsia"/>
                      <w:szCs w:val="22"/>
                    </w:rPr>
                    <w:t>H</w:t>
                  </w:r>
                  <w:r>
                    <w:rPr>
                      <w:rFonts w:hint="eastAsia"/>
                      <w:szCs w:val="22"/>
                      <w:vertAlign w:val="subscript"/>
                    </w:rPr>
                    <w:t>2</w:t>
                  </w:r>
                  <w:r>
                    <w:rPr>
                      <w:rFonts w:hint="eastAsia"/>
                      <w:szCs w:val="22"/>
                    </w:rPr>
                    <w:t>S</w:t>
                  </w:r>
                </w:p>
              </w:tc>
              <w:tc>
                <w:tcPr>
                  <w:tcW w:w="1491" w:type="dxa"/>
                  <w:vAlign w:val="center"/>
                </w:tcPr>
                <w:p>
                  <w:pPr>
                    <w:jc w:val="center"/>
                    <w:rPr>
                      <w:rFonts w:hint="default" w:eastAsia="宋体"/>
                      <w:szCs w:val="21"/>
                      <w:lang w:val="en-US" w:eastAsia="zh-CN"/>
                    </w:rPr>
                  </w:pPr>
                  <w:r>
                    <w:rPr>
                      <w:rFonts w:hint="eastAsia"/>
                      <w:szCs w:val="21"/>
                      <w:lang w:val="en-US" w:eastAsia="zh-CN"/>
                    </w:rPr>
                    <w:t>1.296</w:t>
                  </w:r>
                </w:p>
              </w:tc>
              <w:tc>
                <w:tcPr>
                  <w:tcW w:w="2293" w:type="dxa"/>
                  <w:vAlign w:val="center"/>
                </w:tcPr>
                <w:p>
                  <w:pPr>
                    <w:jc w:val="center"/>
                    <w:rPr>
                      <w:rFonts w:hint="default" w:eastAsia="宋体"/>
                      <w:szCs w:val="21"/>
                      <w:lang w:val="en-US" w:eastAsia="zh-CN"/>
                    </w:rPr>
                  </w:pPr>
                  <w:r>
                    <w:rPr>
                      <w:rFonts w:hint="eastAsia"/>
                      <w:szCs w:val="21"/>
                      <w:lang w:val="en-US" w:eastAsia="zh-CN"/>
                    </w:rPr>
                    <w:t>0.013</w:t>
                  </w:r>
                </w:p>
              </w:tc>
              <w:tc>
                <w:tcPr>
                  <w:tcW w:w="1491" w:type="dxa"/>
                  <w:vAlign w:val="center"/>
                </w:tcPr>
                <w:p>
                  <w:pPr>
                    <w:widowControl/>
                    <w:jc w:val="center"/>
                    <w:rPr>
                      <w:rFonts w:hint="default" w:eastAsia="宋体"/>
                      <w:bCs/>
                      <w:szCs w:val="21"/>
                      <w:lang w:val="en-US" w:eastAsia="zh-CN"/>
                    </w:rPr>
                  </w:pPr>
                  <w:r>
                    <w:rPr>
                      <w:rFonts w:hint="eastAsia"/>
                      <w:bCs/>
                      <w:szCs w:val="21"/>
                      <w:lang w:val="en-US" w:eastAsia="zh-CN"/>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641" w:type="dxa"/>
                  <w:vMerge w:val="continue"/>
                  <w:vAlign w:val="center"/>
                </w:tcPr>
                <w:p>
                  <w:pPr>
                    <w:widowControl/>
                    <w:jc w:val="center"/>
                    <w:rPr>
                      <w:bCs/>
                      <w:szCs w:val="21"/>
                    </w:rPr>
                  </w:pPr>
                </w:p>
              </w:tc>
              <w:tc>
                <w:tcPr>
                  <w:tcW w:w="1279" w:type="dxa"/>
                  <w:vMerge w:val="continue"/>
                  <w:vAlign w:val="center"/>
                </w:tcPr>
                <w:p>
                  <w:pPr>
                    <w:widowControl/>
                    <w:jc w:val="center"/>
                    <w:rPr>
                      <w:bCs/>
                      <w:szCs w:val="21"/>
                    </w:rPr>
                  </w:pPr>
                </w:p>
              </w:tc>
              <w:tc>
                <w:tcPr>
                  <w:tcW w:w="855" w:type="dxa"/>
                  <w:vAlign w:val="center"/>
                </w:tcPr>
                <w:p>
                  <w:pPr>
                    <w:spacing w:line="240" w:lineRule="exact"/>
                    <w:jc w:val="center"/>
                    <w:rPr>
                      <w:szCs w:val="22"/>
                    </w:rPr>
                  </w:pPr>
                  <w:r>
                    <w:rPr>
                      <w:rFonts w:hint="eastAsia"/>
                      <w:szCs w:val="22"/>
                    </w:rPr>
                    <w:t>NH</w:t>
                  </w:r>
                  <w:r>
                    <w:rPr>
                      <w:rFonts w:hint="eastAsia"/>
                      <w:szCs w:val="22"/>
                      <w:vertAlign w:val="subscript"/>
                    </w:rPr>
                    <w:t>3</w:t>
                  </w:r>
                </w:p>
              </w:tc>
              <w:tc>
                <w:tcPr>
                  <w:tcW w:w="1491" w:type="dxa"/>
                  <w:vAlign w:val="center"/>
                </w:tcPr>
                <w:p>
                  <w:pPr>
                    <w:jc w:val="center"/>
                    <w:rPr>
                      <w:rFonts w:hint="default" w:eastAsia="宋体"/>
                      <w:szCs w:val="21"/>
                      <w:lang w:val="en-US" w:eastAsia="zh-CN"/>
                    </w:rPr>
                  </w:pPr>
                  <w:r>
                    <w:rPr>
                      <w:rFonts w:hint="eastAsia"/>
                      <w:szCs w:val="21"/>
                      <w:lang w:val="en-US" w:eastAsia="zh-CN"/>
                    </w:rPr>
                    <w:t>16.87</w:t>
                  </w:r>
                </w:p>
              </w:tc>
              <w:tc>
                <w:tcPr>
                  <w:tcW w:w="2293" w:type="dxa"/>
                  <w:vAlign w:val="center"/>
                </w:tcPr>
                <w:p>
                  <w:pPr>
                    <w:jc w:val="center"/>
                    <w:rPr>
                      <w:rFonts w:hint="default" w:eastAsia="宋体"/>
                      <w:szCs w:val="21"/>
                      <w:lang w:val="en-US" w:eastAsia="zh-CN"/>
                    </w:rPr>
                  </w:pPr>
                  <w:r>
                    <w:rPr>
                      <w:rFonts w:hint="eastAsia"/>
                      <w:szCs w:val="21"/>
                      <w:lang w:val="en-US" w:eastAsia="zh-CN"/>
                    </w:rPr>
                    <w:t>0.168</w:t>
                  </w:r>
                </w:p>
              </w:tc>
              <w:tc>
                <w:tcPr>
                  <w:tcW w:w="1491" w:type="dxa"/>
                  <w:vAlign w:val="center"/>
                </w:tcPr>
                <w:p>
                  <w:pPr>
                    <w:widowControl/>
                    <w:jc w:val="center"/>
                    <w:rPr>
                      <w:rFonts w:hint="default" w:eastAsia="宋体"/>
                      <w:bCs/>
                      <w:szCs w:val="21"/>
                      <w:lang w:val="en-US" w:eastAsia="zh-CN"/>
                    </w:rPr>
                  </w:pPr>
                  <w:r>
                    <w:rPr>
                      <w:rFonts w:hint="eastAsia"/>
                      <w:bCs/>
                      <w:szCs w:val="21"/>
                      <w:lang w:val="en-US" w:eastAsia="zh-CN"/>
                    </w:rPr>
                    <w:t>0.911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920" w:type="dxa"/>
                  <w:gridSpan w:val="2"/>
                  <w:vMerge w:val="restart"/>
                  <w:vAlign w:val="center"/>
                </w:tcPr>
                <w:p>
                  <w:pPr>
                    <w:widowControl/>
                    <w:jc w:val="center"/>
                    <w:rPr>
                      <w:bCs/>
                      <w:szCs w:val="21"/>
                    </w:rPr>
                  </w:pPr>
                  <w:r>
                    <w:rPr>
                      <w:bCs/>
                      <w:szCs w:val="21"/>
                    </w:rPr>
                    <w:t>一般排放口合计</w:t>
                  </w:r>
                </w:p>
              </w:tc>
              <w:tc>
                <w:tcPr>
                  <w:tcW w:w="4639" w:type="dxa"/>
                  <w:gridSpan w:val="3"/>
                  <w:vAlign w:val="center"/>
                </w:tcPr>
                <w:p>
                  <w:pPr>
                    <w:widowControl/>
                    <w:jc w:val="center"/>
                    <w:rPr>
                      <w:bCs/>
                      <w:szCs w:val="21"/>
                    </w:rPr>
                  </w:pPr>
                  <w:r>
                    <w:rPr>
                      <w:kern w:val="0"/>
                      <w:szCs w:val="22"/>
                    </w:rPr>
                    <w:t>H</w:t>
                  </w:r>
                  <w:r>
                    <w:rPr>
                      <w:kern w:val="0"/>
                      <w:szCs w:val="22"/>
                      <w:vertAlign w:val="subscript"/>
                    </w:rPr>
                    <w:t>2</w:t>
                  </w:r>
                  <w:r>
                    <w:rPr>
                      <w:kern w:val="0"/>
                      <w:szCs w:val="22"/>
                    </w:rPr>
                    <w:t>S</w:t>
                  </w:r>
                </w:p>
              </w:tc>
              <w:tc>
                <w:tcPr>
                  <w:tcW w:w="1491" w:type="dxa"/>
                  <w:vAlign w:val="center"/>
                </w:tcPr>
                <w:p>
                  <w:pPr>
                    <w:widowControl/>
                    <w:jc w:val="center"/>
                    <w:rPr>
                      <w:bCs/>
                      <w:szCs w:val="21"/>
                    </w:rPr>
                  </w:pPr>
                  <w:r>
                    <w:rPr>
                      <w:rFonts w:hint="eastAsia"/>
                      <w:bCs/>
                      <w:szCs w:val="21"/>
                      <w:lang w:val="en-US" w:eastAsia="zh-CN"/>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920" w:type="dxa"/>
                  <w:gridSpan w:val="2"/>
                  <w:vMerge w:val="continue"/>
                  <w:vAlign w:val="center"/>
                </w:tcPr>
                <w:p>
                  <w:pPr>
                    <w:widowControl/>
                    <w:jc w:val="center"/>
                    <w:rPr>
                      <w:bCs/>
                      <w:szCs w:val="21"/>
                    </w:rPr>
                  </w:pPr>
                </w:p>
              </w:tc>
              <w:tc>
                <w:tcPr>
                  <w:tcW w:w="4639" w:type="dxa"/>
                  <w:gridSpan w:val="3"/>
                  <w:vAlign w:val="center"/>
                </w:tcPr>
                <w:p>
                  <w:pPr>
                    <w:widowControl/>
                    <w:jc w:val="center"/>
                    <w:rPr>
                      <w:bCs/>
                      <w:szCs w:val="21"/>
                    </w:rPr>
                  </w:pPr>
                  <w:r>
                    <w:rPr>
                      <w:kern w:val="0"/>
                      <w:szCs w:val="22"/>
                    </w:rPr>
                    <w:t>NH</w:t>
                  </w:r>
                  <w:r>
                    <w:rPr>
                      <w:kern w:val="0"/>
                      <w:szCs w:val="22"/>
                      <w:vertAlign w:val="subscript"/>
                    </w:rPr>
                    <w:t>3</w:t>
                  </w:r>
                </w:p>
              </w:tc>
              <w:tc>
                <w:tcPr>
                  <w:tcW w:w="1491" w:type="dxa"/>
                  <w:vAlign w:val="center"/>
                </w:tcPr>
                <w:p>
                  <w:pPr>
                    <w:widowControl/>
                    <w:jc w:val="center"/>
                    <w:rPr>
                      <w:bCs/>
                      <w:szCs w:val="21"/>
                    </w:rPr>
                  </w:pPr>
                  <w:r>
                    <w:rPr>
                      <w:rFonts w:hint="eastAsia"/>
                      <w:bCs/>
                      <w:szCs w:val="21"/>
                      <w:lang w:val="en-US" w:eastAsia="zh-CN"/>
                    </w:rPr>
                    <w:t>0.911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8050" w:type="dxa"/>
                  <w:gridSpan w:val="6"/>
                  <w:vAlign w:val="center"/>
                </w:tcPr>
                <w:p>
                  <w:pPr>
                    <w:widowControl/>
                    <w:jc w:val="center"/>
                    <w:rPr>
                      <w:bCs/>
                      <w:szCs w:val="21"/>
                    </w:rPr>
                  </w:pPr>
                  <w:r>
                    <w:rPr>
                      <w:bCs/>
                      <w:szCs w:val="21"/>
                    </w:rPr>
                    <w:t>有组织排放总计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920" w:type="dxa"/>
                  <w:gridSpan w:val="2"/>
                  <w:vMerge w:val="restart"/>
                  <w:vAlign w:val="center"/>
                </w:tcPr>
                <w:p>
                  <w:pPr>
                    <w:widowControl/>
                    <w:jc w:val="center"/>
                    <w:rPr>
                      <w:bCs/>
                      <w:szCs w:val="21"/>
                    </w:rPr>
                  </w:pPr>
                  <w:r>
                    <w:rPr>
                      <w:bCs/>
                      <w:szCs w:val="21"/>
                    </w:rPr>
                    <w:t>有组织排放总计</w:t>
                  </w:r>
                </w:p>
              </w:tc>
              <w:tc>
                <w:tcPr>
                  <w:tcW w:w="4639" w:type="dxa"/>
                  <w:gridSpan w:val="3"/>
                  <w:vAlign w:val="center"/>
                </w:tcPr>
                <w:p>
                  <w:pPr>
                    <w:widowControl/>
                    <w:jc w:val="center"/>
                    <w:rPr>
                      <w:bCs/>
                      <w:szCs w:val="21"/>
                    </w:rPr>
                  </w:pPr>
                  <w:r>
                    <w:rPr>
                      <w:kern w:val="0"/>
                      <w:szCs w:val="22"/>
                    </w:rPr>
                    <w:t>H</w:t>
                  </w:r>
                  <w:r>
                    <w:rPr>
                      <w:kern w:val="0"/>
                      <w:szCs w:val="22"/>
                      <w:vertAlign w:val="subscript"/>
                    </w:rPr>
                    <w:t>2</w:t>
                  </w:r>
                  <w:r>
                    <w:rPr>
                      <w:kern w:val="0"/>
                      <w:szCs w:val="22"/>
                    </w:rPr>
                    <w:t>S</w:t>
                  </w:r>
                </w:p>
              </w:tc>
              <w:tc>
                <w:tcPr>
                  <w:tcW w:w="1491" w:type="dxa"/>
                  <w:vAlign w:val="center"/>
                </w:tcPr>
                <w:p>
                  <w:pPr>
                    <w:widowControl/>
                    <w:jc w:val="center"/>
                    <w:rPr>
                      <w:bCs/>
                      <w:szCs w:val="21"/>
                    </w:rPr>
                  </w:pPr>
                  <w:r>
                    <w:rPr>
                      <w:rFonts w:hint="eastAsia"/>
                      <w:bCs/>
                      <w:szCs w:val="21"/>
                      <w:lang w:val="en-US" w:eastAsia="zh-CN"/>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920" w:type="dxa"/>
                  <w:gridSpan w:val="2"/>
                  <w:vMerge w:val="continue"/>
                  <w:vAlign w:val="center"/>
                </w:tcPr>
                <w:p>
                  <w:pPr>
                    <w:widowControl/>
                    <w:jc w:val="center"/>
                    <w:rPr>
                      <w:bCs/>
                      <w:szCs w:val="21"/>
                    </w:rPr>
                  </w:pPr>
                </w:p>
              </w:tc>
              <w:tc>
                <w:tcPr>
                  <w:tcW w:w="4639" w:type="dxa"/>
                  <w:gridSpan w:val="3"/>
                  <w:vAlign w:val="center"/>
                </w:tcPr>
                <w:p>
                  <w:pPr>
                    <w:widowControl/>
                    <w:jc w:val="center"/>
                    <w:rPr>
                      <w:bCs/>
                      <w:szCs w:val="21"/>
                    </w:rPr>
                  </w:pPr>
                  <w:r>
                    <w:rPr>
                      <w:kern w:val="0"/>
                      <w:szCs w:val="22"/>
                    </w:rPr>
                    <w:t>NH</w:t>
                  </w:r>
                  <w:r>
                    <w:rPr>
                      <w:kern w:val="0"/>
                      <w:szCs w:val="22"/>
                      <w:vertAlign w:val="subscript"/>
                    </w:rPr>
                    <w:t>3</w:t>
                  </w:r>
                </w:p>
              </w:tc>
              <w:tc>
                <w:tcPr>
                  <w:tcW w:w="1491" w:type="dxa"/>
                  <w:vAlign w:val="center"/>
                </w:tcPr>
                <w:p>
                  <w:pPr>
                    <w:widowControl/>
                    <w:jc w:val="center"/>
                    <w:rPr>
                      <w:bCs/>
                      <w:szCs w:val="21"/>
                    </w:rPr>
                  </w:pPr>
                  <w:r>
                    <w:rPr>
                      <w:rFonts w:hint="eastAsia"/>
                      <w:bCs/>
                      <w:szCs w:val="21"/>
                      <w:lang w:val="en-US" w:eastAsia="zh-CN"/>
                    </w:rPr>
                    <w:t>0.911</w:t>
                  </w:r>
                </w:p>
              </w:tc>
            </w:tr>
          </w:tbl>
          <w:p>
            <w:pPr>
              <w:pStyle w:val="319"/>
              <w:rPr>
                <w:szCs w:val="24"/>
              </w:rPr>
            </w:pPr>
            <w:r>
              <w:rPr>
                <w:szCs w:val="24"/>
              </w:rPr>
              <w:t>表34  大气污染物无组织排放量核算表</w:t>
            </w:r>
          </w:p>
          <w:tbl>
            <w:tblPr>
              <w:tblStyle w:val="47"/>
              <w:tblW w:w="812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381"/>
              <w:gridCol w:w="1166"/>
              <w:gridCol w:w="844"/>
              <w:gridCol w:w="1287"/>
              <w:gridCol w:w="2261"/>
              <w:gridCol w:w="1190"/>
              <w:gridCol w:w="9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83" w:type="dxa"/>
                  <w:vMerge w:val="restart"/>
                  <w:vAlign w:val="center"/>
                </w:tcPr>
                <w:p>
                  <w:pPr>
                    <w:jc w:val="center"/>
                    <w:rPr>
                      <w:szCs w:val="21"/>
                    </w:rPr>
                  </w:pPr>
                  <w:r>
                    <w:rPr>
                      <w:szCs w:val="21"/>
                    </w:rPr>
                    <w:t>序号</w:t>
                  </w:r>
                </w:p>
              </w:tc>
              <w:tc>
                <w:tcPr>
                  <w:tcW w:w="1201" w:type="dxa"/>
                  <w:vMerge w:val="restart"/>
                  <w:vAlign w:val="center"/>
                </w:tcPr>
                <w:p>
                  <w:pPr>
                    <w:jc w:val="center"/>
                    <w:rPr>
                      <w:szCs w:val="21"/>
                    </w:rPr>
                  </w:pPr>
                  <w:r>
                    <w:rPr>
                      <w:szCs w:val="21"/>
                    </w:rPr>
                    <w:t>产污环节</w:t>
                  </w:r>
                </w:p>
              </w:tc>
              <w:tc>
                <w:tcPr>
                  <w:tcW w:w="859" w:type="dxa"/>
                  <w:vMerge w:val="restart"/>
                  <w:vAlign w:val="center"/>
                </w:tcPr>
                <w:p>
                  <w:pPr>
                    <w:jc w:val="center"/>
                    <w:rPr>
                      <w:szCs w:val="21"/>
                    </w:rPr>
                  </w:pPr>
                  <w:r>
                    <w:rPr>
                      <w:szCs w:val="21"/>
                    </w:rPr>
                    <w:t>污染物</w:t>
                  </w:r>
                </w:p>
              </w:tc>
              <w:tc>
                <w:tcPr>
                  <w:tcW w:w="1327" w:type="dxa"/>
                  <w:vMerge w:val="restart"/>
                  <w:vAlign w:val="center"/>
                </w:tcPr>
                <w:p>
                  <w:pPr>
                    <w:jc w:val="center"/>
                    <w:rPr>
                      <w:szCs w:val="21"/>
                    </w:rPr>
                  </w:pPr>
                  <w:r>
                    <w:rPr>
                      <w:szCs w:val="21"/>
                    </w:rPr>
                    <w:t>主要污染防治措施</w:t>
                  </w:r>
                </w:p>
              </w:tc>
              <w:tc>
                <w:tcPr>
                  <w:tcW w:w="3342" w:type="dxa"/>
                  <w:gridSpan w:val="2"/>
                  <w:vAlign w:val="center"/>
                </w:tcPr>
                <w:p>
                  <w:pPr>
                    <w:jc w:val="center"/>
                    <w:rPr>
                      <w:szCs w:val="21"/>
                    </w:rPr>
                  </w:pPr>
                  <w:r>
                    <w:rPr>
                      <w:szCs w:val="21"/>
                    </w:rPr>
                    <w:t>国家或地方污染物排放标准</w:t>
                  </w:r>
                </w:p>
              </w:tc>
              <w:tc>
                <w:tcPr>
                  <w:tcW w:w="1011" w:type="dxa"/>
                  <w:vMerge w:val="restart"/>
                  <w:vAlign w:val="center"/>
                </w:tcPr>
                <w:p>
                  <w:pPr>
                    <w:jc w:val="center"/>
                    <w:rPr>
                      <w:szCs w:val="21"/>
                    </w:rPr>
                  </w:pPr>
                  <w:r>
                    <w:rPr>
                      <w:szCs w:val="21"/>
                    </w:rPr>
                    <w:t>年排放量</w:t>
                  </w:r>
                </w:p>
                <w:p>
                  <w:pPr>
                    <w:pStyle w:val="2"/>
                    <w:ind w:left="0" w:leftChars="0" w:firstLine="0" w:firstLineChars="0"/>
                    <w:jc w:val="center"/>
                    <w:rPr>
                      <w:szCs w:val="21"/>
                    </w:rPr>
                  </w:pPr>
                  <w:r>
                    <w:rPr>
                      <w:bCs/>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83" w:type="dxa"/>
                  <w:vMerge w:val="continue"/>
                  <w:vAlign w:val="center"/>
                </w:tcPr>
                <w:p>
                  <w:pPr>
                    <w:jc w:val="center"/>
                    <w:rPr>
                      <w:szCs w:val="21"/>
                    </w:rPr>
                  </w:pPr>
                </w:p>
              </w:tc>
              <w:tc>
                <w:tcPr>
                  <w:tcW w:w="1201" w:type="dxa"/>
                  <w:vMerge w:val="continue"/>
                  <w:vAlign w:val="center"/>
                </w:tcPr>
                <w:p>
                  <w:pPr>
                    <w:jc w:val="center"/>
                    <w:rPr>
                      <w:szCs w:val="21"/>
                    </w:rPr>
                  </w:pPr>
                </w:p>
              </w:tc>
              <w:tc>
                <w:tcPr>
                  <w:tcW w:w="859" w:type="dxa"/>
                  <w:vMerge w:val="continue"/>
                  <w:vAlign w:val="center"/>
                </w:tcPr>
                <w:p>
                  <w:pPr>
                    <w:jc w:val="center"/>
                    <w:rPr>
                      <w:szCs w:val="21"/>
                    </w:rPr>
                  </w:pPr>
                </w:p>
              </w:tc>
              <w:tc>
                <w:tcPr>
                  <w:tcW w:w="1327" w:type="dxa"/>
                  <w:vMerge w:val="continue"/>
                  <w:vAlign w:val="center"/>
                </w:tcPr>
                <w:p>
                  <w:pPr>
                    <w:jc w:val="center"/>
                    <w:rPr>
                      <w:szCs w:val="21"/>
                    </w:rPr>
                  </w:pPr>
                </w:p>
              </w:tc>
              <w:tc>
                <w:tcPr>
                  <w:tcW w:w="2148" w:type="dxa"/>
                  <w:vAlign w:val="center"/>
                </w:tcPr>
                <w:p>
                  <w:pPr>
                    <w:jc w:val="center"/>
                    <w:rPr>
                      <w:szCs w:val="21"/>
                    </w:rPr>
                  </w:pPr>
                  <w:r>
                    <w:rPr>
                      <w:szCs w:val="21"/>
                    </w:rPr>
                    <w:t>标准名称</w:t>
                  </w:r>
                </w:p>
              </w:tc>
              <w:tc>
                <w:tcPr>
                  <w:tcW w:w="1194" w:type="dxa"/>
                  <w:vAlign w:val="center"/>
                </w:tcPr>
                <w:p>
                  <w:pPr>
                    <w:jc w:val="center"/>
                    <w:rPr>
                      <w:szCs w:val="21"/>
                    </w:rPr>
                  </w:pPr>
                  <w:r>
                    <w:rPr>
                      <w:szCs w:val="21"/>
                    </w:rPr>
                    <w:t>浓度限值/（mg/m</w:t>
                  </w:r>
                  <w:r>
                    <w:rPr>
                      <w:szCs w:val="21"/>
                      <w:vertAlign w:val="superscript"/>
                    </w:rPr>
                    <w:t>3</w:t>
                  </w:r>
                  <w:r>
                    <w:rPr>
                      <w:szCs w:val="21"/>
                    </w:rPr>
                    <w:t>）</w:t>
                  </w:r>
                </w:p>
              </w:tc>
              <w:tc>
                <w:tcPr>
                  <w:tcW w:w="1011" w:type="dxa"/>
                  <w:vMerge w:val="continue"/>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82" w:hRule="atLeast"/>
              </w:trPr>
              <w:tc>
                <w:tcPr>
                  <w:tcW w:w="383" w:type="dxa"/>
                  <w:vMerge w:val="restart"/>
                  <w:vAlign w:val="center"/>
                </w:tcPr>
                <w:p>
                  <w:pPr>
                    <w:jc w:val="center"/>
                    <w:rPr>
                      <w:szCs w:val="21"/>
                    </w:rPr>
                  </w:pPr>
                  <w:r>
                    <w:rPr>
                      <w:szCs w:val="21"/>
                    </w:rPr>
                    <w:t>1</w:t>
                  </w:r>
                </w:p>
              </w:tc>
              <w:tc>
                <w:tcPr>
                  <w:tcW w:w="1201" w:type="dxa"/>
                  <w:vMerge w:val="restart"/>
                  <w:vAlign w:val="center"/>
                </w:tcPr>
                <w:p>
                  <w:pPr>
                    <w:jc w:val="center"/>
                    <w:rPr>
                      <w:szCs w:val="21"/>
                    </w:rPr>
                  </w:pPr>
                  <w:r>
                    <w:rPr>
                      <w:rFonts w:hint="eastAsia"/>
                      <w:bCs/>
                      <w:szCs w:val="21"/>
                    </w:rPr>
                    <w:t>污水</w:t>
                  </w:r>
                  <w:r>
                    <w:rPr>
                      <w:bCs/>
                      <w:szCs w:val="21"/>
                    </w:rPr>
                    <w:t>处理厂无组织废气</w:t>
                  </w:r>
                </w:p>
              </w:tc>
              <w:tc>
                <w:tcPr>
                  <w:tcW w:w="859" w:type="dxa"/>
                  <w:vAlign w:val="center"/>
                </w:tcPr>
                <w:p>
                  <w:pPr>
                    <w:jc w:val="center"/>
                    <w:rPr>
                      <w:szCs w:val="21"/>
                    </w:rPr>
                  </w:pPr>
                  <w:r>
                    <w:rPr>
                      <w:szCs w:val="21"/>
                    </w:rPr>
                    <w:t>H</w:t>
                  </w:r>
                  <w:r>
                    <w:rPr>
                      <w:szCs w:val="21"/>
                      <w:vertAlign w:val="subscript"/>
                    </w:rPr>
                    <w:t>2</w:t>
                  </w:r>
                  <w:r>
                    <w:rPr>
                      <w:szCs w:val="21"/>
                    </w:rPr>
                    <w:t>S</w:t>
                  </w:r>
                </w:p>
              </w:tc>
              <w:tc>
                <w:tcPr>
                  <w:tcW w:w="1327" w:type="dxa"/>
                  <w:vMerge w:val="restart"/>
                  <w:vAlign w:val="center"/>
                </w:tcPr>
                <w:p>
                  <w:pPr>
                    <w:jc w:val="center"/>
                    <w:rPr>
                      <w:szCs w:val="21"/>
                    </w:rPr>
                  </w:pPr>
                  <w:r>
                    <w:rPr>
                      <w:rFonts w:hint="eastAsia"/>
                      <w:szCs w:val="21"/>
                    </w:rPr>
                    <w:t>加强</w:t>
                  </w:r>
                  <w:r>
                    <w:rPr>
                      <w:szCs w:val="21"/>
                    </w:rPr>
                    <w:t>厂区</w:t>
                  </w:r>
                </w:p>
                <w:p>
                  <w:pPr>
                    <w:jc w:val="center"/>
                    <w:rPr>
                      <w:szCs w:val="21"/>
                    </w:rPr>
                  </w:pPr>
                  <w:r>
                    <w:rPr>
                      <w:rFonts w:hint="eastAsia"/>
                      <w:szCs w:val="21"/>
                    </w:rPr>
                    <w:t>绿化</w:t>
                  </w:r>
                </w:p>
              </w:tc>
              <w:tc>
                <w:tcPr>
                  <w:tcW w:w="2148" w:type="dxa"/>
                  <w:vMerge w:val="restart"/>
                  <w:vAlign w:val="center"/>
                </w:tcPr>
                <w:p>
                  <w:pPr>
                    <w:pStyle w:val="11"/>
                    <w:adjustRightInd/>
                    <w:spacing w:line="240" w:lineRule="auto"/>
                    <w:ind w:firstLine="420" w:firstLineChars="200"/>
                    <w:textAlignment w:val="auto"/>
                    <w:rPr>
                      <w:sz w:val="21"/>
                      <w:szCs w:val="21"/>
                    </w:rPr>
                  </w:pPr>
                  <w:r>
                    <w:rPr>
                      <w:sz w:val="21"/>
                      <w:szCs w:val="21"/>
                    </w:rPr>
                    <w:t>《城镇污水处理厂污染物排放标准》</w:t>
                  </w:r>
                </w:p>
                <w:p>
                  <w:pPr>
                    <w:pStyle w:val="11"/>
                    <w:adjustRightInd/>
                    <w:spacing w:line="240" w:lineRule="auto"/>
                    <w:ind w:firstLine="420" w:firstLineChars="200"/>
                    <w:textAlignment w:val="auto"/>
                    <w:rPr>
                      <w:color w:val="000000" w:themeColor="text1"/>
                      <w:sz w:val="21"/>
                      <w:szCs w:val="21"/>
                    </w:rPr>
                  </w:pPr>
                  <w:r>
                    <w:rPr>
                      <w:sz w:val="21"/>
                      <w:szCs w:val="21"/>
                    </w:rPr>
                    <w:t>（GB18918-2002）</w:t>
                  </w:r>
                  <w:r>
                    <w:rPr>
                      <w:rFonts w:hint="eastAsia"/>
                      <w:sz w:val="21"/>
                      <w:szCs w:val="21"/>
                    </w:rPr>
                    <w:t>表4</w:t>
                  </w:r>
                  <w:r>
                    <w:rPr>
                      <w:sz w:val="21"/>
                      <w:szCs w:val="21"/>
                    </w:rPr>
                    <w:t>厂界（防护带边缘）废气排放最高允许浓度二级</w:t>
                  </w:r>
                  <w:r>
                    <w:rPr>
                      <w:rFonts w:hint="eastAsia"/>
                      <w:sz w:val="21"/>
                      <w:szCs w:val="21"/>
                    </w:rPr>
                    <w:t>标准限值</w:t>
                  </w:r>
                </w:p>
              </w:tc>
              <w:tc>
                <w:tcPr>
                  <w:tcW w:w="1194" w:type="dxa"/>
                  <w:vAlign w:val="center"/>
                </w:tcPr>
                <w:p>
                  <w:pPr>
                    <w:jc w:val="center"/>
                    <w:rPr>
                      <w:szCs w:val="21"/>
                    </w:rPr>
                  </w:pPr>
                  <w:r>
                    <w:rPr>
                      <w:szCs w:val="21"/>
                    </w:rPr>
                    <w:t>0.06</w:t>
                  </w:r>
                </w:p>
              </w:tc>
              <w:tc>
                <w:tcPr>
                  <w:tcW w:w="1011" w:type="dxa"/>
                  <w:vAlign w:val="center"/>
                </w:tcPr>
                <w:p>
                  <w:pPr>
                    <w:jc w:val="center"/>
                    <w:rPr>
                      <w:szCs w:val="21"/>
                    </w:rPr>
                  </w:pPr>
                  <w:r>
                    <w:rPr>
                      <w:rFonts w:hint="eastAsia"/>
                      <w:szCs w:val="21"/>
                    </w:rPr>
                    <w:t>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80" w:hRule="atLeast"/>
              </w:trPr>
              <w:tc>
                <w:tcPr>
                  <w:tcW w:w="383" w:type="dxa"/>
                  <w:vMerge w:val="continue"/>
                  <w:vAlign w:val="center"/>
                </w:tcPr>
                <w:p>
                  <w:pPr>
                    <w:jc w:val="center"/>
                    <w:rPr>
                      <w:szCs w:val="21"/>
                    </w:rPr>
                  </w:pPr>
                </w:p>
              </w:tc>
              <w:tc>
                <w:tcPr>
                  <w:tcW w:w="1201" w:type="dxa"/>
                  <w:vMerge w:val="continue"/>
                  <w:vAlign w:val="center"/>
                </w:tcPr>
                <w:p>
                  <w:pPr>
                    <w:jc w:val="center"/>
                    <w:rPr>
                      <w:bCs/>
                      <w:szCs w:val="21"/>
                    </w:rPr>
                  </w:pPr>
                </w:p>
              </w:tc>
              <w:tc>
                <w:tcPr>
                  <w:tcW w:w="859" w:type="dxa"/>
                  <w:vAlign w:val="center"/>
                </w:tcPr>
                <w:p>
                  <w:pPr>
                    <w:jc w:val="center"/>
                    <w:rPr>
                      <w:szCs w:val="21"/>
                    </w:rPr>
                  </w:pPr>
                  <w:r>
                    <w:rPr>
                      <w:szCs w:val="21"/>
                    </w:rPr>
                    <w:t>NH</w:t>
                  </w:r>
                  <w:r>
                    <w:rPr>
                      <w:szCs w:val="21"/>
                      <w:vertAlign w:val="subscript"/>
                    </w:rPr>
                    <w:t>3</w:t>
                  </w:r>
                </w:p>
              </w:tc>
              <w:tc>
                <w:tcPr>
                  <w:tcW w:w="1327" w:type="dxa"/>
                  <w:vMerge w:val="continue"/>
                  <w:vAlign w:val="center"/>
                </w:tcPr>
                <w:p>
                  <w:pPr>
                    <w:jc w:val="center"/>
                    <w:rPr>
                      <w:szCs w:val="21"/>
                    </w:rPr>
                  </w:pPr>
                </w:p>
              </w:tc>
              <w:tc>
                <w:tcPr>
                  <w:tcW w:w="2148" w:type="dxa"/>
                  <w:vMerge w:val="continue"/>
                  <w:vAlign w:val="center"/>
                </w:tcPr>
                <w:p>
                  <w:pPr>
                    <w:pStyle w:val="11"/>
                    <w:adjustRightInd/>
                    <w:spacing w:line="360" w:lineRule="auto"/>
                    <w:ind w:firstLine="420" w:firstLineChars="200"/>
                    <w:textAlignment w:val="auto"/>
                    <w:rPr>
                      <w:sz w:val="21"/>
                      <w:szCs w:val="21"/>
                    </w:rPr>
                  </w:pPr>
                </w:p>
              </w:tc>
              <w:tc>
                <w:tcPr>
                  <w:tcW w:w="1194" w:type="dxa"/>
                  <w:vAlign w:val="center"/>
                </w:tcPr>
                <w:p>
                  <w:pPr>
                    <w:jc w:val="center"/>
                    <w:rPr>
                      <w:szCs w:val="21"/>
                    </w:rPr>
                  </w:pPr>
                  <w:r>
                    <w:rPr>
                      <w:szCs w:val="21"/>
                    </w:rPr>
                    <w:t>1.5</w:t>
                  </w:r>
                </w:p>
              </w:tc>
              <w:tc>
                <w:tcPr>
                  <w:tcW w:w="1011" w:type="dxa"/>
                  <w:vAlign w:val="center"/>
                </w:tcPr>
                <w:p>
                  <w:pPr>
                    <w:jc w:val="center"/>
                    <w:rPr>
                      <w:szCs w:val="21"/>
                    </w:rPr>
                  </w:pPr>
                  <w:r>
                    <w:rPr>
                      <w:rFonts w:hint="eastAsia"/>
                      <w:szCs w:val="21"/>
                    </w:rPr>
                    <w:t>0.088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80" w:hRule="atLeast"/>
              </w:trPr>
              <w:tc>
                <w:tcPr>
                  <w:tcW w:w="383" w:type="dxa"/>
                  <w:vMerge w:val="continue"/>
                  <w:vAlign w:val="center"/>
                </w:tcPr>
                <w:p>
                  <w:pPr>
                    <w:jc w:val="center"/>
                    <w:rPr>
                      <w:szCs w:val="21"/>
                    </w:rPr>
                  </w:pPr>
                </w:p>
              </w:tc>
              <w:tc>
                <w:tcPr>
                  <w:tcW w:w="1201" w:type="dxa"/>
                  <w:vMerge w:val="continue"/>
                  <w:vAlign w:val="center"/>
                </w:tcPr>
                <w:p>
                  <w:pPr>
                    <w:jc w:val="center"/>
                    <w:rPr>
                      <w:bCs/>
                      <w:szCs w:val="21"/>
                    </w:rPr>
                  </w:pPr>
                </w:p>
              </w:tc>
              <w:tc>
                <w:tcPr>
                  <w:tcW w:w="859" w:type="dxa"/>
                  <w:vAlign w:val="center"/>
                </w:tcPr>
                <w:p>
                  <w:pPr>
                    <w:jc w:val="center"/>
                    <w:rPr>
                      <w:szCs w:val="21"/>
                    </w:rPr>
                  </w:pPr>
                  <w:r>
                    <w:rPr>
                      <w:kern w:val="0"/>
                      <w:szCs w:val="21"/>
                    </w:rPr>
                    <w:t>臭气</w:t>
                  </w:r>
                  <w:r>
                    <w:rPr>
                      <w:rFonts w:hint="eastAsia"/>
                      <w:kern w:val="0"/>
                      <w:szCs w:val="21"/>
                    </w:rPr>
                    <w:t>浓度</w:t>
                  </w:r>
                </w:p>
              </w:tc>
              <w:tc>
                <w:tcPr>
                  <w:tcW w:w="1327" w:type="dxa"/>
                  <w:vMerge w:val="continue"/>
                  <w:vAlign w:val="center"/>
                </w:tcPr>
                <w:p>
                  <w:pPr>
                    <w:jc w:val="center"/>
                    <w:rPr>
                      <w:szCs w:val="21"/>
                    </w:rPr>
                  </w:pPr>
                </w:p>
              </w:tc>
              <w:tc>
                <w:tcPr>
                  <w:tcW w:w="2148" w:type="dxa"/>
                  <w:vMerge w:val="continue"/>
                  <w:vAlign w:val="center"/>
                </w:tcPr>
                <w:p>
                  <w:pPr>
                    <w:pStyle w:val="11"/>
                    <w:adjustRightInd/>
                    <w:spacing w:line="360" w:lineRule="auto"/>
                    <w:ind w:firstLine="420" w:firstLineChars="200"/>
                    <w:textAlignment w:val="auto"/>
                    <w:rPr>
                      <w:sz w:val="21"/>
                      <w:szCs w:val="21"/>
                    </w:rPr>
                  </w:pPr>
                </w:p>
              </w:tc>
              <w:tc>
                <w:tcPr>
                  <w:tcW w:w="1194" w:type="dxa"/>
                  <w:vAlign w:val="center"/>
                </w:tcPr>
                <w:p>
                  <w:pPr>
                    <w:jc w:val="center"/>
                    <w:rPr>
                      <w:szCs w:val="21"/>
                    </w:rPr>
                  </w:pPr>
                  <w:r>
                    <w:rPr>
                      <w:rFonts w:hint="eastAsia"/>
                      <w:szCs w:val="21"/>
                    </w:rPr>
                    <w:t>20(无量纲)</w:t>
                  </w:r>
                </w:p>
              </w:tc>
              <w:tc>
                <w:tcPr>
                  <w:tcW w:w="1011"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123" w:type="dxa"/>
                  <w:gridSpan w:val="7"/>
                  <w:vAlign w:val="center"/>
                </w:tcPr>
                <w:p>
                  <w:pPr>
                    <w:jc w:val="center"/>
                    <w:rPr>
                      <w:szCs w:val="21"/>
                    </w:rPr>
                  </w:pPr>
                  <w:r>
                    <w:rPr>
                      <w:kern w:val="0"/>
                      <w:szCs w:val="21"/>
                    </w:rPr>
                    <w:t>无组织排放总计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443" w:type="dxa"/>
                  <w:gridSpan w:val="3"/>
                  <w:vMerge w:val="restart"/>
                  <w:vAlign w:val="center"/>
                </w:tcPr>
                <w:p>
                  <w:pPr>
                    <w:jc w:val="center"/>
                    <w:rPr>
                      <w:szCs w:val="21"/>
                    </w:rPr>
                  </w:pPr>
                  <w:r>
                    <w:rPr>
                      <w:kern w:val="0"/>
                      <w:szCs w:val="21"/>
                    </w:rPr>
                    <w:t>无组织排放总计</w:t>
                  </w:r>
                </w:p>
              </w:tc>
              <w:tc>
                <w:tcPr>
                  <w:tcW w:w="4669" w:type="dxa"/>
                  <w:gridSpan w:val="3"/>
                  <w:vAlign w:val="center"/>
                </w:tcPr>
                <w:p>
                  <w:pPr>
                    <w:jc w:val="center"/>
                    <w:rPr>
                      <w:szCs w:val="21"/>
                    </w:rPr>
                  </w:pPr>
                  <w:r>
                    <w:rPr>
                      <w:szCs w:val="21"/>
                    </w:rPr>
                    <w:t>NH</w:t>
                  </w:r>
                  <w:r>
                    <w:rPr>
                      <w:szCs w:val="21"/>
                      <w:vertAlign w:val="subscript"/>
                    </w:rPr>
                    <w:t>3</w:t>
                  </w:r>
                </w:p>
              </w:tc>
              <w:tc>
                <w:tcPr>
                  <w:tcW w:w="1011" w:type="dxa"/>
                  <w:vAlign w:val="center"/>
                </w:tcPr>
                <w:p>
                  <w:pPr>
                    <w:jc w:val="center"/>
                    <w:rPr>
                      <w:szCs w:val="21"/>
                    </w:rPr>
                  </w:pPr>
                  <w:r>
                    <w:rPr>
                      <w:kern w:val="0"/>
                      <w:szCs w:val="21"/>
                    </w:rPr>
                    <w:t>0.088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443" w:type="dxa"/>
                  <w:gridSpan w:val="3"/>
                  <w:vMerge w:val="continue"/>
                  <w:vAlign w:val="center"/>
                </w:tcPr>
                <w:p>
                  <w:pPr>
                    <w:jc w:val="center"/>
                    <w:rPr>
                      <w:kern w:val="0"/>
                      <w:szCs w:val="21"/>
                    </w:rPr>
                  </w:pPr>
                </w:p>
              </w:tc>
              <w:tc>
                <w:tcPr>
                  <w:tcW w:w="4669" w:type="dxa"/>
                  <w:gridSpan w:val="3"/>
                  <w:vAlign w:val="center"/>
                </w:tcPr>
                <w:p>
                  <w:pPr>
                    <w:jc w:val="center"/>
                    <w:rPr>
                      <w:szCs w:val="21"/>
                    </w:rPr>
                  </w:pPr>
                  <w:r>
                    <w:rPr>
                      <w:szCs w:val="21"/>
                    </w:rPr>
                    <w:t>H</w:t>
                  </w:r>
                  <w:r>
                    <w:rPr>
                      <w:szCs w:val="21"/>
                      <w:vertAlign w:val="subscript"/>
                    </w:rPr>
                    <w:t>2</w:t>
                  </w:r>
                  <w:r>
                    <w:rPr>
                      <w:szCs w:val="21"/>
                    </w:rPr>
                    <w:t>S</w:t>
                  </w:r>
                </w:p>
              </w:tc>
              <w:tc>
                <w:tcPr>
                  <w:tcW w:w="1011" w:type="dxa"/>
                  <w:vAlign w:val="center"/>
                </w:tcPr>
                <w:p>
                  <w:pPr>
                    <w:jc w:val="center"/>
                    <w:rPr>
                      <w:szCs w:val="21"/>
                    </w:rPr>
                  </w:pPr>
                  <w:r>
                    <w:rPr>
                      <w:szCs w:val="21"/>
                    </w:rPr>
                    <w:t>0.003</w:t>
                  </w:r>
                </w:p>
              </w:tc>
            </w:tr>
          </w:tbl>
          <w:p>
            <w:pPr>
              <w:pStyle w:val="319"/>
              <w:rPr>
                <w:szCs w:val="24"/>
              </w:rPr>
            </w:pPr>
            <w:r>
              <w:rPr>
                <w:szCs w:val="24"/>
              </w:rPr>
              <w:t>表35  大气污染物排放量核算表</w:t>
            </w:r>
          </w:p>
          <w:tbl>
            <w:tblPr>
              <w:tblStyle w:val="47"/>
              <w:tblW w:w="812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516"/>
              <w:gridCol w:w="3899"/>
              <w:gridCol w:w="27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516" w:type="dxa"/>
                  <w:vAlign w:val="center"/>
                </w:tcPr>
                <w:p>
                  <w:pPr>
                    <w:pStyle w:val="11"/>
                    <w:spacing w:line="240" w:lineRule="auto"/>
                    <w:ind w:firstLine="0"/>
                    <w:jc w:val="center"/>
                    <w:rPr>
                      <w:sz w:val="21"/>
                      <w:szCs w:val="21"/>
                    </w:rPr>
                  </w:pPr>
                  <w:r>
                    <w:rPr>
                      <w:sz w:val="21"/>
                      <w:szCs w:val="21"/>
                    </w:rPr>
                    <w:t>序号</w:t>
                  </w:r>
                </w:p>
              </w:tc>
              <w:tc>
                <w:tcPr>
                  <w:tcW w:w="3899" w:type="dxa"/>
                  <w:vAlign w:val="center"/>
                </w:tcPr>
                <w:p>
                  <w:pPr>
                    <w:pStyle w:val="11"/>
                    <w:spacing w:line="240" w:lineRule="auto"/>
                    <w:ind w:firstLine="0"/>
                    <w:jc w:val="center"/>
                    <w:rPr>
                      <w:sz w:val="21"/>
                      <w:szCs w:val="21"/>
                    </w:rPr>
                  </w:pPr>
                  <w:r>
                    <w:rPr>
                      <w:sz w:val="21"/>
                      <w:szCs w:val="21"/>
                    </w:rPr>
                    <w:t>污染物</w:t>
                  </w:r>
                </w:p>
              </w:tc>
              <w:tc>
                <w:tcPr>
                  <w:tcW w:w="2708" w:type="dxa"/>
                  <w:vAlign w:val="center"/>
                </w:tcPr>
                <w:p>
                  <w:pPr>
                    <w:pStyle w:val="11"/>
                    <w:spacing w:line="240" w:lineRule="auto"/>
                    <w:ind w:firstLine="0"/>
                    <w:jc w:val="center"/>
                    <w:rPr>
                      <w:sz w:val="21"/>
                      <w:szCs w:val="21"/>
                    </w:rPr>
                  </w:pPr>
                  <w:r>
                    <w:rPr>
                      <w:sz w:val="21"/>
                      <w:szCs w:val="21"/>
                    </w:rPr>
                    <w:t>年排放量/（t/a）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516" w:type="dxa"/>
                  <w:vAlign w:val="center"/>
                </w:tcPr>
                <w:p>
                  <w:pPr>
                    <w:pStyle w:val="11"/>
                    <w:spacing w:line="240" w:lineRule="auto"/>
                    <w:ind w:firstLine="0"/>
                    <w:jc w:val="center"/>
                    <w:rPr>
                      <w:sz w:val="21"/>
                      <w:szCs w:val="21"/>
                    </w:rPr>
                  </w:pPr>
                  <w:r>
                    <w:rPr>
                      <w:sz w:val="21"/>
                      <w:szCs w:val="21"/>
                    </w:rPr>
                    <w:t>1</w:t>
                  </w:r>
                </w:p>
              </w:tc>
              <w:tc>
                <w:tcPr>
                  <w:tcW w:w="3899" w:type="dxa"/>
                  <w:vAlign w:val="center"/>
                </w:tcPr>
                <w:p>
                  <w:pPr>
                    <w:pStyle w:val="11"/>
                    <w:spacing w:line="240" w:lineRule="auto"/>
                    <w:ind w:firstLine="0"/>
                    <w:jc w:val="center"/>
                    <w:rPr>
                      <w:sz w:val="21"/>
                      <w:szCs w:val="21"/>
                    </w:rPr>
                  </w:pPr>
                  <w:r>
                    <w:rPr>
                      <w:sz w:val="21"/>
                      <w:szCs w:val="21"/>
                    </w:rPr>
                    <w:t>NH</w:t>
                  </w:r>
                  <w:r>
                    <w:rPr>
                      <w:sz w:val="21"/>
                      <w:szCs w:val="21"/>
                      <w:vertAlign w:val="subscript"/>
                    </w:rPr>
                    <w:t>3</w:t>
                  </w:r>
                </w:p>
              </w:tc>
              <w:tc>
                <w:tcPr>
                  <w:tcW w:w="2708" w:type="dxa"/>
                  <w:vAlign w:val="center"/>
                </w:tcPr>
                <w:p>
                  <w:pPr>
                    <w:jc w:val="center"/>
                    <w:rPr>
                      <w:rFonts w:hint="default" w:eastAsia="宋体"/>
                      <w:szCs w:val="21"/>
                      <w:lang w:val="en-US" w:eastAsia="zh-CN"/>
                    </w:rPr>
                  </w:pPr>
                  <w:r>
                    <w:rPr>
                      <w:rFonts w:hint="eastAsia"/>
                      <w:szCs w:val="21"/>
                      <w:lang w:val="en-US" w:eastAsia="zh-CN"/>
                    </w:rPr>
                    <w:t>0.073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516" w:type="dxa"/>
                  <w:vAlign w:val="center"/>
                </w:tcPr>
                <w:p>
                  <w:pPr>
                    <w:pStyle w:val="11"/>
                    <w:spacing w:line="240" w:lineRule="auto"/>
                    <w:ind w:firstLine="0"/>
                    <w:jc w:val="center"/>
                    <w:rPr>
                      <w:sz w:val="21"/>
                      <w:szCs w:val="21"/>
                    </w:rPr>
                  </w:pPr>
                  <w:r>
                    <w:rPr>
                      <w:rFonts w:hint="eastAsia"/>
                      <w:sz w:val="21"/>
                      <w:szCs w:val="21"/>
                    </w:rPr>
                    <w:t>2</w:t>
                  </w:r>
                </w:p>
              </w:tc>
              <w:tc>
                <w:tcPr>
                  <w:tcW w:w="3899" w:type="dxa"/>
                  <w:vAlign w:val="center"/>
                </w:tcPr>
                <w:p>
                  <w:pPr>
                    <w:pStyle w:val="11"/>
                    <w:spacing w:line="240" w:lineRule="auto"/>
                    <w:ind w:firstLine="0"/>
                    <w:jc w:val="center"/>
                    <w:rPr>
                      <w:sz w:val="21"/>
                      <w:szCs w:val="21"/>
                    </w:rPr>
                  </w:pPr>
                  <w:r>
                    <w:rPr>
                      <w:sz w:val="21"/>
                      <w:szCs w:val="21"/>
                    </w:rPr>
                    <w:t>H</w:t>
                  </w:r>
                  <w:r>
                    <w:rPr>
                      <w:sz w:val="21"/>
                      <w:szCs w:val="21"/>
                      <w:vertAlign w:val="subscript"/>
                    </w:rPr>
                    <w:t>2</w:t>
                  </w:r>
                  <w:r>
                    <w:rPr>
                      <w:sz w:val="21"/>
                      <w:szCs w:val="21"/>
                    </w:rPr>
                    <w:t>S</w:t>
                  </w:r>
                </w:p>
              </w:tc>
              <w:tc>
                <w:tcPr>
                  <w:tcW w:w="2708" w:type="dxa"/>
                  <w:vAlign w:val="center"/>
                </w:tcPr>
                <w:p>
                  <w:pPr>
                    <w:jc w:val="center"/>
                    <w:rPr>
                      <w:rFonts w:hint="default" w:eastAsia="宋体"/>
                      <w:szCs w:val="21"/>
                      <w:lang w:val="en-US" w:eastAsia="zh-CN"/>
                    </w:rPr>
                  </w:pPr>
                  <w:r>
                    <w:rPr>
                      <w:rFonts w:hint="eastAsia"/>
                      <w:szCs w:val="21"/>
                      <w:lang w:val="en-US" w:eastAsia="zh-CN"/>
                    </w:rPr>
                    <w:t>0.999</w:t>
                  </w:r>
                </w:p>
              </w:tc>
            </w:tr>
          </w:tbl>
          <w:p>
            <w:pPr>
              <w:spacing w:line="360" w:lineRule="auto"/>
              <w:ind w:firstLine="482" w:firstLineChars="200"/>
              <w:rPr>
                <w:b/>
                <w:sz w:val="24"/>
                <w:szCs w:val="24"/>
              </w:rPr>
            </w:pPr>
            <w:r>
              <w:rPr>
                <w:b/>
                <w:sz w:val="24"/>
                <w:szCs w:val="24"/>
              </w:rPr>
              <w:t>4、结论</w:t>
            </w:r>
          </w:p>
          <w:p>
            <w:pPr>
              <w:spacing w:line="360" w:lineRule="auto"/>
              <w:ind w:firstLine="480" w:firstLineChars="200"/>
              <w:rPr>
                <w:sz w:val="24"/>
                <w:szCs w:val="24"/>
              </w:rPr>
            </w:pPr>
            <w:r>
              <w:rPr>
                <w:sz w:val="24"/>
                <w:szCs w:val="24"/>
              </w:rPr>
              <w:t>（1）评价等级及评价范围</w:t>
            </w:r>
          </w:p>
          <w:p>
            <w:pPr>
              <w:spacing w:line="360" w:lineRule="auto"/>
              <w:ind w:firstLine="480" w:firstLineChars="200"/>
              <w:rPr>
                <w:sz w:val="24"/>
                <w:szCs w:val="24"/>
              </w:rPr>
            </w:pPr>
            <w:r>
              <w:rPr>
                <w:sz w:val="24"/>
                <w:szCs w:val="24"/>
              </w:rPr>
              <w:t>根据《环境影响评价技术导则 大气环境》（HJ2.2-2018）中大气环境影响评价工作等级划分原则，本项目最大地面空气质量浓度占标率为1%＜P</w:t>
            </w:r>
            <w:r>
              <w:rPr>
                <w:sz w:val="24"/>
                <w:szCs w:val="24"/>
                <w:vertAlign w:val="subscript"/>
              </w:rPr>
              <w:t>max</w:t>
            </w:r>
            <w:r>
              <w:rPr>
                <w:sz w:val="24"/>
                <w:szCs w:val="24"/>
              </w:rPr>
              <w:t>=6.37%＜10%，故确定大气环境影响评价等级为二级，评价范围为以厂址为中心，边长为5km的矩形区域。</w:t>
            </w:r>
          </w:p>
          <w:p>
            <w:pPr>
              <w:spacing w:line="360" w:lineRule="auto"/>
              <w:ind w:firstLine="480" w:firstLineChars="200"/>
              <w:rPr>
                <w:sz w:val="24"/>
                <w:szCs w:val="24"/>
              </w:rPr>
            </w:pPr>
            <w:r>
              <w:rPr>
                <w:sz w:val="24"/>
                <w:szCs w:val="24"/>
              </w:rPr>
              <w:t>（2）采取的环保措施及污染物达标情况</w:t>
            </w:r>
          </w:p>
          <w:p>
            <w:pPr>
              <w:spacing w:line="360" w:lineRule="auto"/>
              <w:ind w:firstLine="480" w:firstLineChars="200"/>
              <w:rPr>
                <w:bCs/>
                <w:sz w:val="24"/>
                <w:szCs w:val="24"/>
              </w:rPr>
            </w:pPr>
            <w:r>
              <w:rPr>
                <w:sz w:val="24"/>
                <w:szCs w:val="24"/>
              </w:rPr>
              <w:t>本项目产生的废气为</w:t>
            </w:r>
            <w:r>
              <w:rPr>
                <w:bCs/>
                <w:sz w:val="24"/>
                <w:szCs w:val="24"/>
              </w:rPr>
              <w:t>包括有组织废气及无组织废气</w:t>
            </w:r>
            <w:r>
              <w:rPr>
                <w:rFonts w:hint="eastAsia"/>
                <w:bCs/>
                <w:sz w:val="24"/>
                <w:szCs w:val="24"/>
              </w:rPr>
              <w:t>，</w:t>
            </w:r>
            <w:r>
              <w:rPr>
                <w:bCs/>
                <w:sz w:val="24"/>
                <w:szCs w:val="24"/>
              </w:rPr>
              <w:t>有组织废气为：</w:t>
            </w:r>
            <w:r>
              <w:rPr>
                <w:rFonts w:hint="eastAsia"/>
                <w:bCs/>
                <w:sz w:val="24"/>
                <w:szCs w:val="24"/>
                <w:lang w:val="en-US" w:eastAsia="zh-CN"/>
              </w:rPr>
              <w:t>污水处理系统各单元</w:t>
            </w:r>
            <w:r>
              <w:rPr>
                <w:bCs/>
                <w:sz w:val="24"/>
                <w:szCs w:val="24"/>
              </w:rPr>
              <w:t>（P1）。无组织废气为污水厂散发的恶臭。</w:t>
            </w:r>
          </w:p>
          <w:p>
            <w:pPr>
              <w:spacing w:line="360" w:lineRule="auto"/>
              <w:ind w:firstLine="480" w:firstLineChars="200"/>
              <w:rPr>
                <w:sz w:val="24"/>
                <w:szCs w:val="24"/>
              </w:rPr>
            </w:pPr>
            <w:r>
              <w:rPr>
                <w:rFonts w:hint="eastAsia"/>
                <w:bCs/>
                <w:sz w:val="24"/>
                <w:szCs w:val="24"/>
                <w:lang w:val="en-US" w:eastAsia="zh-CN"/>
              </w:rPr>
              <w:t>污水处理系统各单元</w:t>
            </w:r>
            <w:r>
              <w:rPr>
                <w:rFonts w:hint="eastAsia"/>
                <w:bCs/>
                <w:sz w:val="24"/>
                <w:szCs w:val="24"/>
              </w:rPr>
              <w:t>：</w:t>
            </w:r>
            <w:r>
              <w:rPr>
                <w:sz w:val="24"/>
                <w:szCs w:val="24"/>
              </w:rPr>
              <w:t>污染因子为H</w:t>
            </w:r>
            <w:r>
              <w:rPr>
                <w:sz w:val="24"/>
                <w:szCs w:val="24"/>
                <w:vertAlign w:val="subscript"/>
              </w:rPr>
              <w:t>2</w:t>
            </w:r>
            <w:r>
              <w:rPr>
                <w:sz w:val="24"/>
                <w:szCs w:val="24"/>
              </w:rPr>
              <w:t>S、NH</w:t>
            </w:r>
            <w:r>
              <w:rPr>
                <w:sz w:val="24"/>
                <w:szCs w:val="24"/>
                <w:vertAlign w:val="subscript"/>
              </w:rPr>
              <w:t>3</w:t>
            </w:r>
            <w:r>
              <w:rPr>
                <w:sz w:val="24"/>
                <w:szCs w:val="24"/>
              </w:rPr>
              <w:t>、臭气浓度</w:t>
            </w:r>
            <w:r>
              <w:rPr>
                <w:rFonts w:hint="eastAsia"/>
                <w:sz w:val="24"/>
                <w:szCs w:val="24"/>
              </w:rPr>
              <w:t>，</w:t>
            </w:r>
            <w:r>
              <w:rPr>
                <w:sz w:val="24"/>
                <w:szCs w:val="24"/>
              </w:rPr>
              <w:t>将恶臭气体收集后进入废气处理装置，经</w:t>
            </w:r>
            <w:r>
              <w:rPr>
                <w:rFonts w:hint="eastAsia"/>
                <w:sz w:val="24"/>
                <w:szCs w:val="24"/>
              </w:rPr>
              <w:t>臭气</w:t>
            </w:r>
            <w:r>
              <w:rPr>
                <w:sz w:val="24"/>
                <w:szCs w:val="24"/>
              </w:rPr>
              <w:t>处理系统处理后，经15m高排气筒排放。H</w:t>
            </w:r>
            <w:r>
              <w:rPr>
                <w:sz w:val="24"/>
                <w:szCs w:val="24"/>
                <w:vertAlign w:val="subscript"/>
              </w:rPr>
              <w:t>2</w:t>
            </w:r>
            <w:r>
              <w:rPr>
                <w:sz w:val="24"/>
                <w:szCs w:val="24"/>
              </w:rPr>
              <w:t>S、NH</w:t>
            </w:r>
            <w:r>
              <w:rPr>
                <w:sz w:val="24"/>
                <w:szCs w:val="24"/>
                <w:vertAlign w:val="subscript"/>
              </w:rPr>
              <w:t>3</w:t>
            </w:r>
            <w:r>
              <w:rPr>
                <w:sz w:val="24"/>
                <w:szCs w:val="24"/>
              </w:rPr>
              <w:t>、臭气浓度满足《恶臭污染物排放标准》（GB14554-93）表2标准</w:t>
            </w:r>
            <w:r>
              <w:rPr>
                <w:rFonts w:hint="eastAsia"/>
                <w:sz w:val="24"/>
                <w:szCs w:val="24"/>
              </w:rPr>
              <w:t>。</w:t>
            </w:r>
          </w:p>
          <w:p>
            <w:pPr>
              <w:spacing w:line="360" w:lineRule="auto"/>
              <w:ind w:firstLine="480" w:firstLineChars="200"/>
              <w:rPr>
                <w:sz w:val="24"/>
                <w:szCs w:val="24"/>
              </w:rPr>
            </w:pPr>
            <w:r>
              <w:rPr>
                <w:rFonts w:hint="eastAsia"/>
                <w:sz w:val="24"/>
                <w:szCs w:val="24"/>
              </w:rPr>
              <w:t>无组织废气:</w:t>
            </w:r>
            <w:r>
              <w:rPr>
                <w:sz w:val="24"/>
                <w:szCs w:val="24"/>
              </w:rPr>
              <w:t>污染因子为H</w:t>
            </w:r>
            <w:r>
              <w:rPr>
                <w:sz w:val="24"/>
                <w:szCs w:val="24"/>
                <w:vertAlign w:val="subscript"/>
              </w:rPr>
              <w:t>2</w:t>
            </w:r>
            <w:r>
              <w:rPr>
                <w:sz w:val="24"/>
                <w:szCs w:val="24"/>
              </w:rPr>
              <w:t>S、NH</w:t>
            </w:r>
            <w:r>
              <w:rPr>
                <w:sz w:val="24"/>
                <w:szCs w:val="24"/>
                <w:vertAlign w:val="subscript"/>
              </w:rPr>
              <w:t>3</w:t>
            </w:r>
            <w:r>
              <w:rPr>
                <w:sz w:val="24"/>
                <w:szCs w:val="24"/>
              </w:rPr>
              <w:t>、臭气浓度</w:t>
            </w:r>
            <w:r>
              <w:rPr>
                <w:rFonts w:hint="eastAsia"/>
                <w:sz w:val="24"/>
                <w:szCs w:val="24"/>
              </w:rPr>
              <w:t>，加强</w:t>
            </w:r>
            <w:r>
              <w:rPr>
                <w:sz w:val="24"/>
                <w:szCs w:val="24"/>
              </w:rPr>
              <w:t>厂区绿化，</w:t>
            </w:r>
            <w:r>
              <w:rPr>
                <w:rFonts w:hint="eastAsia"/>
                <w:sz w:val="24"/>
                <w:szCs w:val="24"/>
              </w:rPr>
              <w:t>厂界</w:t>
            </w:r>
            <w:r>
              <w:rPr>
                <w:sz w:val="24"/>
                <w:szCs w:val="24"/>
              </w:rPr>
              <w:t>无</w:t>
            </w:r>
            <w:r>
              <w:rPr>
                <w:rFonts w:hint="eastAsia"/>
                <w:sz w:val="24"/>
                <w:szCs w:val="24"/>
              </w:rPr>
              <w:t>组织</w:t>
            </w:r>
            <w:r>
              <w:rPr>
                <w:sz w:val="24"/>
                <w:szCs w:val="24"/>
              </w:rPr>
              <w:t>废气中各污染物满足《城镇污水处理厂污染物排放标准》（GB18918-2002）表4厂界（防护带边缘）废气排放最高允许浓度二级</w:t>
            </w:r>
            <w:r>
              <w:rPr>
                <w:rFonts w:hint="eastAsia"/>
                <w:sz w:val="24"/>
                <w:szCs w:val="24"/>
              </w:rPr>
              <w:t>标准限值</w:t>
            </w:r>
            <w:r>
              <w:rPr>
                <w:kern w:val="0"/>
                <w:sz w:val="24"/>
                <w:szCs w:val="24"/>
              </w:rPr>
              <w:t>要求</w:t>
            </w:r>
            <w:r>
              <w:rPr>
                <w:sz w:val="24"/>
                <w:szCs w:val="24"/>
              </w:rPr>
              <w:t>（氨≤1.5mg/m</w:t>
            </w:r>
            <w:r>
              <w:rPr>
                <w:sz w:val="24"/>
                <w:szCs w:val="24"/>
                <w:vertAlign w:val="superscript"/>
              </w:rPr>
              <w:t>3</w:t>
            </w:r>
            <w:r>
              <w:rPr>
                <w:sz w:val="24"/>
                <w:szCs w:val="24"/>
              </w:rPr>
              <w:t>、硫化氢≤0.06mg/m</w:t>
            </w:r>
            <w:r>
              <w:rPr>
                <w:sz w:val="24"/>
                <w:szCs w:val="24"/>
                <w:vertAlign w:val="superscript"/>
              </w:rPr>
              <w:t>3</w:t>
            </w:r>
            <w:r>
              <w:rPr>
                <w:sz w:val="24"/>
                <w:szCs w:val="24"/>
              </w:rPr>
              <w:t>、臭气浓度≤20（无量纲））。</w:t>
            </w:r>
          </w:p>
          <w:p>
            <w:pPr>
              <w:spacing w:line="360" w:lineRule="auto"/>
              <w:ind w:firstLine="480" w:firstLineChars="200"/>
              <w:rPr>
                <w:sz w:val="24"/>
                <w:szCs w:val="24"/>
              </w:rPr>
            </w:pPr>
            <w:r>
              <w:rPr>
                <w:bCs/>
                <w:sz w:val="24"/>
                <w:szCs w:val="24"/>
              </w:rPr>
              <w:t>综上所述，</w:t>
            </w:r>
            <w:r>
              <w:rPr>
                <w:sz w:val="24"/>
                <w:szCs w:val="24"/>
              </w:rPr>
              <w:t>本项目不会对周围大气环境产生明显影响。</w:t>
            </w:r>
          </w:p>
          <w:p>
            <w:pPr>
              <w:spacing w:line="360" w:lineRule="auto"/>
              <w:ind w:firstLine="480" w:firstLineChars="200"/>
              <w:rPr>
                <w:sz w:val="24"/>
                <w:szCs w:val="24"/>
              </w:rPr>
            </w:pPr>
            <w:r>
              <w:rPr>
                <w:sz w:val="24"/>
                <w:szCs w:val="24"/>
              </w:rPr>
              <w:t>本项目大气环境影响评价自查表见表36。</w:t>
            </w:r>
          </w:p>
          <w:p>
            <w:pPr>
              <w:pStyle w:val="27"/>
              <w:spacing w:line="400" w:lineRule="exact"/>
              <w:ind w:firstLine="422"/>
              <w:jc w:val="center"/>
              <w:rPr>
                <w:b/>
                <w:sz w:val="24"/>
                <w:szCs w:val="24"/>
              </w:rPr>
            </w:pPr>
            <w:r>
              <w:rPr>
                <w:b/>
                <w:sz w:val="24"/>
                <w:szCs w:val="24"/>
              </w:rPr>
              <w:t>表36  本项目大气环境影响评价自查表</w:t>
            </w:r>
          </w:p>
          <w:tbl>
            <w:tblPr>
              <w:tblStyle w:val="47"/>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18"/>
              <w:gridCol w:w="1499"/>
              <w:gridCol w:w="850"/>
              <w:gridCol w:w="574"/>
              <w:gridCol w:w="65"/>
              <w:gridCol w:w="475"/>
              <w:gridCol w:w="480"/>
              <w:gridCol w:w="318"/>
              <w:gridCol w:w="151"/>
              <w:gridCol w:w="492"/>
              <w:gridCol w:w="281"/>
              <w:gridCol w:w="204"/>
              <w:gridCol w:w="237"/>
              <w:gridCol w:w="276"/>
              <w:gridCol w:w="282"/>
              <w:gridCol w:w="117"/>
              <w:gridCol w:w="133"/>
              <w:gridCol w:w="386"/>
              <w:gridCol w:w="5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367" w:type="pct"/>
                  <w:gridSpan w:val="2"/>
                  <w:vAlign w:val="center"/>
                </w:tcPr>
                <w:p>
                  <w:pPr>
                    <w:snapToGrid w:val="0"/>
                    <w:jc w:val="center"/>
                    <w:rPr>
                      <w:szCs w:val="21"/>
                    </w:rPr>
                  </w:pPr>
                  <w:r>
                    <w:rPr>
                      <w:szCs w:val="21"/>
                    </w:rPr>
                    <w:t>工作内容</w:t>
                  </w:r>
                </w:p>
              </w:tc>
              <w:tc>
                <w:tcPr>
                  <w:tcW w:w="3632" w:type="pct"/>
                  <w:gridSpan w:val="17"/>
                  <w:vAlign w:val="center"/>
                </w:tcPr>
                <w:p>
                  <w:pPr>
                    <w:snapToGrid w:val="0"/>
                    <w:jc w:val="center"/>
                    <w:rPr>
                      <w:szCs w:val="21"/>
                    </w:rPr>
                  </w:pPr>
                  <w:r>
                    <w:rPr>
                      <w:szCs w:val="21"/>
                    </w:rPr>
                    <w:t>自査项目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restart"/>
                  <w:vAlign w:val="center"/>
                </w:tcPr>
                <w:p>
                  <w:pPr>
                    <w:snapToGrid w:val="0"/>
                    <w:jc w:val="center"/>
                    <w:rPr>
                      <w:szCs w:val="21"/>
                    </w:rPr>
                  </w:pPr>
                  <w:r>
                    <w:rPr>
                      <w:szCs w:val="21"/>
                    </w:rPr>
                    <w:t>评价等级与范围</w:t>
                  </w:r>
                </w:p>
              </w:tc>
              <w:tc>
                <w:tcPr>
                  <w:tcW w:w="924" w:type="pct"/>
                  <w:vAlign w:val="center"/>
                </w:tcPr>
                <w:p>
                  <w:pPr>
                    <w:snapToGrid w:val="0"/>
                    <w:jc w:val="center"/>
                    <w:rPr>
                      <w:szCs w:val="21"/>
                    </w:rPr>
                  </w:pPr>
                  <w:r>
                    <w:rPr>
                      <w:szCs w:val="21"/>
                    </w:rPr>
                    <w:t>评价等级</w:t>
                  </w:r>
                </w:p>
              </w:tc>
              <w:tc>
                <w:tcPr>
                  <w:tcW w:w="1211" w:type="pct"/>
                  <w:gridSpan w:val="4"/>
                  <w:vAlign w:val="center"/>
                </w:tcPr>
                <w:p>
                  <w:pPr>
                    <w:snapToGrid w:val="0"/>
                    <w:jc w:val="center"/>
                    <w:rPr>
                      <w:szCs w:val="21"/>
                    </w:rPr>
                  </w:pPr>
                  <w:r>
                    <w:rPr>
                      <w:szCs w:val="21"/>
                    </w:rPr>
                    <w:t>一级</w:t>
                  </w:r>
                  <w:r>
                    <w:rPr>
                      <w:szCs w:val="21"/>
                    </w:rPr>
                    <w:sym w:font="Wingdings 2" w:char="00A3"/>
                  </w:r>
                </w:p>
              </w:tc>
              <w:tc>
                <w:tcPr>
                  <w:tcW w:w="1503" w:type="pct"/>
                  <w:gridSpan w:val="8"/>
                  <w:vAlign w:val="center"/>
                </w:tcPr>
                <w:p>
                  <w:pPr>
                    <w:snapToGrid w:val="0"/>
                    <w:jc w:val="center"/>
                    <w:rPr>
                      <w:szCs w:val="21"/>
                    </w:rPr>
                  </w:pPr>
                  <w:r>
                    <w:rPr>
                      <w:szCs w:val="21"/>
                    </w:rPr>
                    <w:t>二级</w:t>
                  </w:r>
                  <w:r>
                    <w:rPr>
                      <w:sz w:val="18"/>
                      <w:szCs w:val="18"/>
                    </w:rPr>
                    <w:sym w:font="Wingdings 2" w:char="0052"/>
                  </w:r>
                </w:p>
              </w:tc>
              <w:tc>
                <w:tcPr>
                  <w:tcW w:w="917" w:type="pct"/>
                  <w:gridSpan w:val="5"/>
                  <w:vAlign w:val="center"/>
                </w:tcPr>
                <w:p>
                  <w:pPr>
                    <w:snapToGrid w:val="0"/>
                    <w:jc w:val="center"/>
                    <w:rPr>
                      <w:szCs w:val="21"/>
                    </w:rPr>
                  </w:pPr>
                  <w:r>
                    <w:rPr>
                      <w:szCs w:val="21"/>
                    </w:rPr>
                    <w:t>三级</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评价范围</w:t>
                  </w:r>
                </w:p>
              </w:tc>
              <w:tc>
                <w:tcPr>
                  <w:tcW w:w="1211" w:type="pct"/>
                  <w:gridSpan w:val="4"/>
                  <w:vAlign w:val="center"/>
                </w:tcPr>
                <w:p>
                  <w:pPr>
                    <w:snapToGrid w:val="0"/>
                    <w:jc w:val="center"/>
                    <w:rPr>
                      <w:szCs w:val="21"/>
                    </w:rPr>
                  </w:pPr>
                  <w:r>
                    <w:rPr>
                      <w:szCs w:val="21"/>
                    </w:rPr>
                    <w:t>边长=50km□</w:t>
                  </w:r>
                </w:p>
              </w:tc>
              <w:tc>
                <w:tcPr>
                  <w:tcW w:w="1503" w:type="pct"/>
                  <w:gridSpan w:val="8"/>
                  <w:vAlign w:val="center"/>
                </w:tcPr>
                <w:p>
                  <w:pPr>
                    <w:snapToGrid w:val="0"/>
                    <w:jc w:val="center"/>
                    <w:rPr>
                      <w:szCs w:val="21"/>
                    </w:rPr>
                  </w:pPr>
                  <w:r>
                    <w:rPr>
                      <w:szCs w:val="21"/>
                    </w:rPr>
                    <w:t>边长5</w:t>
                  </w:r>
                  <w:r>
                    <w:rPr>
                      <w:rFonts w:eastAsia="微软雅黑"/>
                      <w:szCs w:val="21"/>
                    </w:rPr>
                    <w:t>〜</w:t>
                  </w:r>
                  <w:r>
                    <w:rPr>
                      <w:szCs w:val="21"/>
                    </w:rPr>
                    <w:t>50km</w:t>
                  </w:r>
                  <w:r>
                    <w:rPr>
                      <w:szCs w:val="21"/>
                    </w:rPr>
                    <w:sym w:font="Wingdings 2" w:char="00A3"/>
                  </w:r>
                </w:p>
              </w:tc>
              <w:tc>
                <w:tcPr>
                  <w:tcW w:w="917" w:type="pct"/>
                  <w:gridSpan w:val="5"/>
                  <w:vAlign w:val="center"/>
                </w:tcPr>
                <w:p>
                  <w:pPr>
                    <w:snapToGrid w:val="0"/>
                    <w:jc w:val="center"/>
                    <w:rPr>
                      <w:szCs w:val="21"/>
                    </w:rPr>
                  </w:pPr>
                  <w:r>
                    <w:rPr>
                      <w:szCs w:val="21"/>
                    </w:rPr>
                    <w:t>边长=5km</w:t>
                  </w:r>
                  <w:r>
                    <w:rPr>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17" w:hRule="atLeast"/>
              </w:trPr>
              <w:tc>
                <w:tcPr>
                  <w:tcW w:w="443" w:type="pct"/>
                  <w:vMerge w:val="restart"/>
                  <w:vAlign w:val="center"/>
                </w:tcPr>
                <w:p>
                  <w:pPr>
                    <w:snapToGrid w:val="0"/>
                    <w:jc w:val="center"/>
                    <w:rPr>
                      <w:szCs w:val="21"/>
                    </w:rPr>
                  </w:pPr>
                  <w:r>
                    <w:rPr>
                      <w:szCs w:val="21"/>
                    </w:rPr>
                    <w:t>评价</w:t>
                  </w:r>
                </w:p>
                <w:p>
                  <w:pPr>
                    <w:snapToGrid w:val="0"/>
                    <w:jc w:val="center"/>
                    <w:rPr>
                      <w:szCs w:val="21"/>
                    </w:rPr>
                  </w:pPr>
                  <w:r>
                    <w:rPr>
                      <w:szCs w:val="21"/>
                    </w:rPr>
                    <w:t>因子</w:t>
                  </w:r>
                </w:p>
              </w:tc>
              <w:tc>
                <w:tcPr>
                  <w:tcW w:w="924" w:type="pct"/>
                  <w:vAlign w:val="center"/>
                </w:tcPr>
                <w:p>
                  <w:pPr>
                    <w:snapToGrid w:val="0"/>
                    <w:jc w:val="center"/>
                    <w:rPr>
                      <w:szCs w:val="21"/>
                    </w:rPr>
                  </w:pPr>
                  <w:r>
                    <w:rPr>
                      <w:szCs w:val="21"/>
                    </w:rPr>
                    <w:t>SO</w:t>
                  </w:r>
                  <w:r>
                    <w:rPr>
                      <w:szCs w:val="21"/>
                      <w:vertAlign w:val="subscript"/>
                    </w:rPr>
                    <w:t>2</w:t>
                  </w:r>
                  <w:r>
                    <w:rPr>
                      <w:szCs w:val="21"/>
                    </w:rPr>
                    <w:t>+NOx排放量</w:t>
                  </w:r>
                </w:p>
              </w:tc>
              <w:tc>
                <w:tcPr>
                  <w:tcW w:w="918" w:type="pct"/>
                  <w:gridSpan w:val="3"/>
                  <w:vAlign w:val="center"/>
                </w:tcPr>
                <w:p>
                  <w:pPr>
                    <w:snapToGrid w:val="0"/>
                    <w:jc w:val="center"/>
                    <w:rPr>
                      <w:szCs w:val="21"/>
                    </w:rPr>
                  </w:pPr>
                  <w:r>
                    <w:rPr>
                      <w:szCs w:val="21"/>
                    </w:rPr>
                    <w:t>≥2000t/a</w:t>
                  </w:r>
                  <w:r>
                    <w:rPr>
                      <w:szCs w:val="21"/>
                    </w:rPr>
                    <w:sym w:font="Wingdings 2" w:char="00A3"/>
                  </w:r>
                </w:p>
              </w:tc>
              <w:tc>
                <w:tcPr>
                  <w:tcW w:w="1796" w:type="pct"/>
                  <w:gridSpan w:val="9"/>
                  <w:vAlign w:val="center"/>
                </w:tcPr>
                <w:p>
                  <w:pPr>
                    <w:snapToGrid w:val="0"/>
                    <w:jc w:val="center"/>
                    <w:rPr>
                      <w:szCs w:val="21"/>
                    </w:rPr>
                  </w:pPr>
                  <w:r>
                    <w:rPr>
                      <w:szCs w:val="21"/>
                    </w:rPr>
                    <w:t>500~2000t/a</w:t>
                  </w:r>
                  <w:r>
                    <w:rPr>
                      <w:szCs w:val="21"/>
                    </w:rPr>
                    <w:sym w:font="Wingdings 2" w:char="00A3"/>
                  </w:r>
                </w:p>
              </w:tc>
              <w:tc>
                <w:tcPr>
                  <w:tcW w:w="917" w:type="pct"/>
                  <w:gridSpan w:val="5"/>
                  <w:vAlign w:val="center"/>
                </w:tcPr>
                <w:p>
                  <w:pPr>
                    <w:snapToGrid w:val="0"/>
                    <w:jc w:val="center"/>
                    <w:rPr>
                      <w:szCs w:val="21"/>
                    </w:rPr>
                  </w:pPr>
                  <w:r>
                    <w:rPr>
                      <w:szCs w:val="21"/>
                    </w:rPr>
                    <w:t>&lt;50t/a</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评价因子</w:t>
                  </w:r>
                </w:p>
              </w:tc>
              <w:tc>
                <w:tcPr>
                  <w:tcW w:w="2099" w:type="pct"/>
                  <w:gridSpan w:val="8"/>
                  <w:vAlign w:val="center"/>
                </w:tcPr>
                <w:p>
                  <w:pPr>
                    <w:snapToGrid w:val="0"/>
                    <w:jc w:val="center"/>
                    <w:rPr>
                      <w:szCs w:val="21"/>
                    </w:rPr>
                  </w:pPr>
                  <w:r>
                    <w:rPr>
                      <w:szCs w:val="21"/>
                    </w:rPr>
                    <w:t>基本污染物（</w:t>
                  </w:r>
                  <w:r>
                    <w:rPr>
                      <w:rFonts w:hint="eastAsia"/>
                      <w:szCs w:val="21"/>
                    </w:rPr>
                    <w:t>无</w:t>
                  </w:r>
                  <w:r>
                    <w:rPr>
                      <w:szCs w:val="21"/>
                    </w:rPr>
                    <w:t>）</w:t>
                  </w:r>
                </w:p>
                <w:p>
                  <w:pPr>
                    <w:snapToGrid w:val="0"/>
                    <w:jc w:val="center"/>
                    <w:rPr>
                      <w:szCs w:val="21"/>
                    </w:rPr>
                  </w:pPr>
                  <w:r>
                    <w:rPr>
                      <w:szCs w:val="21"/>
                    </w:rPr>
                    <w:t>其他污染物（</w:t>
                  </w:r>
                  <w:r>
                    <w:t>NH</w:t>
                  </w:r>
                  <w:r>
                    <w:rPr>
                      <w:vertAlign w:val="subscript"/>
                    </w:rPr>
                    <w:t>3</w:t>
                  </w:r>
                  <w:r>
                    <w:t>、H</w:t>
                  </w:r>
                  <w:r>
                    <w:rPr>
                      <w:vertAlign w:val="subscript"/>
                    </w:rPr>
                    <w:t>2</w:t>
                  </w:r>
                  <w:r>
                    <w:t>S</w:t>
                  </w:r>
                  <w:r>
                    <w:rPr>
                      <w:szCs w:val="21"/>
                    </w:rPr>
                    <w:t>）</w:t>
                  </w:r>
                </w:p>
              </w:tc>
              <w:tc>
                <w:tcPr>
                  <w:tcW w:w="1532" w:type="pct"/>
                  <w:gridSpan w:val="9"/>
                  <w:vAlign w:val="center"/>
                </w:tcPr>
                <w:p>
                  <w:pPr>
                    <w:snapToGrid w:val="0"/>
                    <w:jc w:val="center"/>
                    <w:rPr>
                      <w:smallCaps/>
                      <w:szCs w:val="21"/>
                    </w:rPr>
                  </w:pPr>
                  <w:r>
                    <w:rPr>
                      <w:szCs w:val="21"/>
                    </w:rPr>
                    <w:t>包括二次</w:t>
                  </w:r>
                  <w:r>
                    <w:rPr>
                      <w:smallCaps/>
                      <w:szCs w:val="21"/>
                      <w:lang w:eastAsia="en-US"/>
                    </w:rPr>
                    <w:t>PM</w:t>
                  </w:r>
                  <w:r>
                    <w:rPr>
                      <w:smallCaps/>
                      <w:szCs w:val="21"/>
                      <w:vertAlign w:val="subscript"/>
                    </w:rPr>
                    <w:t>2.5</w:t>
                  </w:r>
                  <w:r>
                    <w:rPr>
                      <w:szCs w:val="21"/>
                    </w:rPr>
                    <w:sym w:font="Wingdings 2" w:char="00A3"/>
                  </w:r>
                </w:p>
                <w:p>
                  <w:pPr>
                    <w:snapToGrid w:val="0"/>
                    <w:jc w:val="center"/>
                    <w:rPr>
                      <w:szCs w:val="21"/>
                    </w:rPr>
                  </w:pPr>
                  <w:r>
                    <w:rPr>
                      <w:szCs w:val="21"/>
                    </w:rPr>
                    <w:t>不包括二次</w:t>
                  </w:r>
                  <w:r>
                    <w:rPr>
                      <w:szCs w:val="21"/>
                      <w:lang w:eastAsia="en-US"/>
                    </w:rPr>
                    <w:t>PM</w:t>
                  </w:r>
                  <w:r>
                    <w:rPr>
                      <w:smallCaps/>
                      <w:szCs w:val="21"/>
                      <w:vertAlign w:val="subscript"/>
                    </w:rPr>
                    <w:t>2.5</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Align w:val="center"/>
                </w:tcPr>
                <w:p>
                  <w:pPr>
                    <w:snapToGrid w:val="0"/>
                    <w:jc w:val="center"/>
                    <w:rPr>
                      <w:szCs w:val="21"/>
                    </w:rPr>
                  </w:pPr>
                  <w:r>
                    <w:rPr>
                      <w:szCs w:val="21"/>
                    </w:rPr>
                    <w:t>评价</w:t>
                  </w:r>
                </w:p>
                <w:p>
                  <w:pPr>
                    <w:snapToGrid w:val="0"/>
                    <w:jc w:val="center"/>
                    <w:rPr>
                      <w:szCs w:val="21"/>
                    </w:rPr>
                  </w:pPr>
                  <w:r>
                    <w:rPr>
                      <w:szCs w:val="21"/>
                    </w:rPr>
                    <w:t>标准</w:t>
                  </w:r>
                </w:p>
              </w:tc>
              <w:tc>
                <w:tcPr>
                  <w:tcW w:w="924" w:type="pct"/>
                  <w:vAlign w:val="center"/>
                </w:tcPr>
                <w:p>
                  <w:pPr>
                    <w:snapToGrid w:val="0"/>
                    <w:jc w:val="center"/>
                    <w:rPr>
                      <w:szCs w:val="21"/>
                    </w:rPr>
                  </w:pPr>
                  <w:r>
                    <w:rPr>
                      <w:szCs w:val="21"/>
                    </w:rPr>
                    <w:t>评价标准</w:t>
                  </w:r>
                </w:p>
              </w:tc>
              <w:tc>
                <w:tcPr>
                  <w:tcW w:w="1211" w:type="pct"/>
                  <w:gridSpan w:val="4"/>
                  <w:vAlign w:val="center"/>
                </w:tcPr>
                <w:p>
                  <w:pPr>
                    <w:snapToGrid w:val="0"/>
                    <w:jc w:val="center"/>
                    <w:rPr>
                      <w:szCs w:val="21"/>
                    </w:rPr>
                  </w:pPr>
                  <w:r>
                    <w:rPr>
                      <w:szCs w:val="21"/>
                    </w:rPr>
                    <w:t>国家标准</w:t>
                  </w:r>
                  <w:r>
                    <w:rPr>
                      <w:sz w:val="18"/>
                      <w:szCs w:val="18"/>
                    </w:rPr>
                    <w:sym w:font="Wingdings 2" w:char="0052"/>
                  </w:r>
                </w:p>
              </w:tc>
              <w:tc>
                <w:tcPr>
                  <w:tcW w:w="888" w:type="pct"/>
                  <w:gridSpan w:val="4"/>
                  <w:vAlign w:val="center"/>
                </w:tcPr>
                <w:p>
                  <w:pPr>
                    <w:snapToGrid w:val="0"/>
                    <w:jc w:val="center"/>
                    <w:rPr>
                      <w:szCs w:val="21"/>
                    </w:rPr>
                  </w:pPr>
                  <w:r>
                    <w:rPr>
                      <w:szCs w:val="21"/>
                    </w:rPr>
                    <w:t>地方标准</w:t>
                  </w:r>
                  <w:r>
                    <w:rPr>
                      <w:szCs w:val="21"/>
                    </w:rPr>
                    <w:sym w:font="Wingdings 2" w:char="00A3"/>
                  </w:r>
                </w:p>
              </w:tc>
              <w:tc>
                <w:tcPr>
                  <w:tcW w:w="861" w:type="pct"/>
                  <w:gridSpan w:val="6"/>
                  <w:vAlign w:val="center"/>
                </w:tcPr>
                <w:p>
                  <w:pPr>
                    <w:snapToGrid w:val="0"/>
                    <w:jc w:val="center"/>
                    <w:rPr>
                      <w:szCs w:val="21"/>
                    </w:rPr>
                  </w:pPr>
                  <w:r>
                    <w:rPr>
                      <w:szCs w:val="21"/>
                    </w:rPr>
                    <w:t>附录</w:t>
                  </w:r>
                  <w:r>
                    <w:rPr>
                      <w:szCs w:val="21"/>
                      <w:lang w:eastAsia="en-US"/>
                    </w:rPr>
                    <w:t xml:space="preserve">D </w:t>
                  </w:r>
                  <w:r>
                    <w:rPr>
                      <w:sz w:val="18"/>
                      <w:szCs w:val="18"/>
                    </w:rPr>
                    <w:sym w:font="Wingdings 2" w:char="0052"/>
                  </w:r>
                </w:p>
              </w:tc>
              <w:tc>
                <w:tcPr>
                  <w:tcW w:w="671" w:type="pct"/>
                  <w:gridSpan w:val="3"/>
                  <w:vAlign w:val="center"/>
                </w:tcPr>
                <w:p>
                  <w:pPr>
                    <w:snapToGrid w:val="0"/>
                    <w:jc w:val="center"/>
                    <w:rPr>
                      <w:szCs w:val="21"/>
                    </w:rPr>
                  </w:pPr>
                  <w:r>
                    <w:rPr>
                      <w:szCs w:val="21"/>
                    </w:rPr>
                    <w:t>其他标准</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restart"/>
                  <w:vAlign w:val="center"/>
                </w:tcPr>
                <w:p>
                  <w:pPr>
                    <w:snapToGrid w:val="0"/>
                    <w:jc w:val="center"/>
                    <w:rPr>
                      <w:szCs w:val="21"/>
                    </w:rPr>
                  </w:pPr>
                  <w:r>
                    <w:rPr>
                      <w:szCs w:val="21"/>
                    </w:rPr>
                    <w:t>现状</w:t>
                  </w:r>
                </w:p>
                <w:p>
                  <w:pPr>
                    <w:snapToGrid w:val="0"/>
                    <w:jc w:val="center"/>
                    <w:rPr>
                      <w:szCs w:val="21"/>
                    </w:rPr>
                  </w:pPr>
                  <w:r>
                    <w:rPr>
                      <w:szCs w:val="21"/>
                    </w:rPr>
                    <w:t>评价</w:t>
                  </w:r>
                </w:p>
              </w:tc>
              <w:tc>
                <w:tcPr>
                  <w:tcW w:w="924" w:type="pct"/>
                  <w:vAlign w:val="center"/>
                </w:tcPr>
                <w:p>
                  <w:pPr>
                    <w:snapToGrid w:val="0"/>
                    <w:jc w:val="center"/>
                    <w:rPr>
                      <w:szCs w:val="21"/>
                    </w:rPr>
                  </w:pPr>
                  <w:r>
                    <w:rPr>
                      <w:szCs w:val="21"/>
                    </w:rPr>
                    <w:t>环境功能区</w:t>
                  </w:r>
                </w:p>
              </w:tc>
              <w:tc>
                <w:tcPr>
                  <w:tcW w:w="1211" w:type="pct"/>
                  <w:gridSpan w:val="4"/>
                  <w:vAlign w:val="center"/>
                </w:tcPr>
                <w:p>
                  <w:pPr>
                    <w:snapToGrid w:val="0"/>
                    <w:jc w:val="center"/>
                    <w:rPr>
                      <w:szCs w:val="21"/>
                    </w:rPr>
                  </w:pPr>
                  <w:r>
                    <w:rPr>
                      <w:szCs w:val="21"/>
                    </w:rPr>
                    <w:t>一类区</w:t>
                  </w:r>
                  <w:r>
                    <w:rPr>
                      <w:szCs w:val="21"/>
                    </w:rPr>
                    <w:sym w:font="Wingdings 2" w:char="00A3"/>
                  </w:r>
                </w:p>
              </w:tc>
              <w:tc>
                <w:tcPr>
                  <w:tcW w:w="1187" w:type="pct"/>
                  <w:gridSpan w:val="6"/>
                  <w:vAlign w:val="center"/>
                </w:tcPr>
                <w:p>
                  <w:pPr>
                    <w:snapToGrid w:val="0"/>
                    <w:jc w:val="center"/>
                    <w:rPr>
                      <w:szCs w:val="21"/>
                    </w:rPr>
                  </w:pPr>
                  <w:r>
                    <w:rPr>
                      <w:szCs w:val="21"/>
                    </w:rPr>
                    <w:t>二类区</w:t>
                  </w:r>
                  <w:r>
                    <w:rPr>
                      <w:sz w:val="18"/>
                      <w:szCs w:val="18"/>
                    </w:rPr>
                    <w:sym w:font="Wingdings 2" w:char="0052"/>
                  </w:r>
                </w:p>
              </w:tc>
              <w:tc>
                <w:tcPr>
                  <w:tcW w:w="1233" w:type="pct"/>
                  <w:gridSpan w:val="7"/>
                  <w:vAlign w:val="center"/>
                </w:tcPr>
                <w:p>
                  <w:pPr>
                    <w:snapToGrid w:val="0"/>
                    <w:jc w:val="center"/>
                    <w:rPr>
                      <w:szCs w:val="21"/>
                    </w:rPr>
                  </w:pPr>
                  <w:r>
                    <w:rPr>
                      <w:szCs w:val="21"/>
                    </w:rPr>
                    <w:t>一类区和二类区</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评价基准年</w:t>
                  </w:r>
                </w:p>
              </w:tc>
              <w:tc>
                <w:tcPr>
                  <w:tcW w:w="3632" w:type="pct"/>
                  <w:gridSpan w:val="17"/>
                  <w:vAlign w:val="center"/>
                </w:tcPr>
                <w:p>
                  <w:pPr>
                    <w:snapToGrid w:val="0"/>
                    <w:jc w:val="center"/>
                    <w:rPr>
                      <w:szCs w:val="21"/>
                    </w:rPr>
                  </w:pPr>
                  <w:r>
                    <w:rPr>
                      <w:szCs w:val="21"/>
                      <w:lang w:eastAsia="en-US"/>
                    </w:rPr>
                    <w:t>(</w:t>
                  </w:r>
                  <w:r>
                    <w:rPr>
                      <w:szCs w:val="21"/>
                    </w:rPr>
                    <w:t xml:space="preserve"> 2018</w:t>
                  </w:r>
                  <w:r>
                    <w:rPr>
                      <w:szCs w:val="21"/>
                      <w:lang w:eastAsia="en-US"/>
                    </w:rPr>
                    <w:t xml:space="preserve"> )</w:t>
                  </w:r>
                  <w:r>
                    <w:rPr>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环境空气质量</w:t>
                  </w:r>
                </w:p>
                <w:p>
                  <w:pPr>
                    <w:snapToGrid w:val="0"/>
                    <w:jc w:val="center"/>
                    <w:rPr>
                      <w:szCs w:val="21"/>
                    </w:rPr>
                  </w:pPr>
                  <w:r>
                    <w:rPr>
                      <w:szCs w:val="21"/>
                    </w:rPr>
                    <w:t>现状调査数据来源</w:t>
                  </w:r>
                </w:p>
              </w:tc>
              <w:tc>
                <w:tcPr>
                  <w:tcW w:w="1211" w:type="pct"/>
                  <w:gridSpan w:val="4"/>
                  <w:vAlign w:val="center"/>
                </w:tcPr>
                <w:p>
                  <w:pPr>
                    <w:snapToGrid w:val="0"/>
                    <w:jc w:val="center"/>
                    <w:rPr>
                      <w:szCs w:val="21"/>
                    </w:rPr>
                  </w:pPr>
                  <w:r>
                    <w:rPr>
                      <w:szCs w:val="21"/>
                    </w:rPr>
                    <w:t>长期例行监测数据</w:t>
                  </w:r>
                  <w:r>
                    <w:rPr>
                      <w:sz w:val="18"/>
                      <w:szCs w:val="18"/>
                    </w:rPr>
                    <w:sym w:font="Wingdings 2" w:char="0052"/>
                  </w:r>
                </w:p>
              </w:tc>
              <w:tc>
                <w:tcPr>
                  <w:tcW w:w="1503" w:type="pct"/>
                  <w:gridSpan w:val="8"/>
                  <w:vAlign w:val="center"/>
                </w:tcPr>
                <w:p>
                  <w:pPr>
                    <w:snapToGrid w:val="0"/>
                    <w:jc w:val="center"/>
                    <w:rPr>
                      <w:szCs w:val="21"/>
                    </w:rPr>
                  </w:pPr>
                  <w:r>
                    <w:rPr>
                      <w:szCs w:val="21"/>
                    </w:rPr>
                    <w:t>主管部门发布的数据</w:t>
                  </w:r>
                  <w:r>
                    <w:rPr>
                      <w:szCs w:val="21"/>
                    </w:rPr>
                    <w:sym w:font="Wingdings 2" w:char="00A3"/>
                  </w:r>
                </w:p>
              </w:tc>
              <w:tc>
                <w:tcPr>
                  <w:tcW w:w="917" w:type="pct"/>
                  <w:gridSpan w:val="5"/>
                  <w:vAlign w:val="center"/>
                </w:tcPr>
                <w:p>
                  <w:pPr>
                    <w:snapToGrid w:val="0"/>
                    <w:jc w:val="center"/>
                    <w:rPr>
                      <w:szCs w:val="21"/>
                    </w:rPr>
                  </w:pPr>
                  <w:r>
                    <w:rPr>
                      <w:szCs w:val="21"/>
                    </w:rPr>
                    <w:t>现状补充监测</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现状评价</w:t>
                  </w:r>
                </w:p>
              </w:tc>
              <w:tc>
                <w:tcPr>
                  <w:tcW w:w="2099" w:type="pct"/>
                  <w:gridSpan w:val="8"/>
                  <w:vAlign w:val="center"/>
                </w:tcPr>
                <w:p>
                  <w:pPr>
                    <w:snapToGrid w:val="0"/>
                    <w:jc w:val="center"/>
                    <w:rPr>
                      <w:szCs w:val="21"/>
                    </w:rPr>
                  </w:pPr>
                  <w:r>
                    <w:rPr>
                      <w:szCs w:val="21"/>
                    </w:rPr>
                    <w:t>达标区</w:t>
                  </w:r>
                  <w:r>
                    <w:rPr>
                      <w:sz w:val="18"/>
                      <w:szCs w:val="18"/>
                    </w:rPr>
                    <w:t>□</w:t>
                  </w:r>
                </w:p>
              </w:tc>
              <w:tc>
                <w:tcPr>
                  <w:tcW w:w="1532" w:type="pct"/>
                  <w:gridSpan w:val="9"/>
                  <w:vAlign w:val="center"/>
                </w:tcPr>
                <w:p>
                  <w:pPr>
                    <w:snapToGrid w:val="0"/>
                    <w:jc w:val="center"/>
                    <w:rPr>
                      <w:szCs w:val="21"/>
                    </w:rPr>
                  </w:pPr>
                  <w:r>
                    <w:rPr>
                      <w:szCs w:val="21"/>
                    </w:rPr>
                    <w:t>不达标区</w:t>
                  </w:r>
                  <w:r>
                    <w:rPr>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Align w:val="center"/>
                </w:tcPr>
                <w:p>
                  <w:pPr>
                    <w:snapToGrid w:val="0"/>
                    <w:jc w:val="center"/>
                    <w:rPr>
                      <w:szCs w:val="21"/>
                    </w:rPr>
                  </w:pPr>
                  <w:r>
                    <w:rPr>
                      <w:szCs w:val="21"/>
                    </w:rPr>
                    <w:t>污染源</w:t>
                  </w:r>
                </w:p>
                <w:p>
                  <w:pPr>
                    <w:snapToGrid w:val="0"/>
                    <w:jc w:val="center"/>
                    <w:rPr>
                      <w:szCs w:val="21"/>
                    </w:rPr>
                  </w:pPr>
                  <w:r>
                    <w:rPr>
                      <w:szCs w:val="21"/>
                    </w:rPr>
                    <w:t>调查</w:t>
                  </w:r>
                </w:p>
              </w:tc>
              <w:tc>
                <w:tcPr>
                  <w:tcW w:w="924" w:type="pct"/>
                  <w:vAlign w:val="center"/>
                </w:tcPr>
                <w:p>
                  <w:pPr>
                    <w:snapToGrid w:val="0"/>
                    <w:jc w:val="center"/>
                    <w:rPr>
                      <w:szCs w:val="21"/>
                    </w:rPr>
                  </w:pPr>
                  <w:r>
                    <w:rPr>
                      <w:szCs w:val="21"/>
                    </w:rPr>
                    <w:t>调査内容</w:t>
                  </w:r>
                </w:p>
              </w:tc>
              <w:tc>
                <w:tcPr>
                  <w:tcW w:w="1211" w:type="pct"/>
                  <w:gridSpan w:val="4"/>
                  <w:vAlign w:val="center"/>
                </w:tcPr>
                <w:p>
                  <w:pPr>
                    <w:snapToGrid w:val="0"/>
                    <w:jc w:val="right"/>
                    <w:rPr>
                      <w:szCs w:val="21"/>
                    </w:rPr>
                  </w:pPr>
                  <w:r>
                    <w:rPr>
                      <w:szCs w:val="21"/>
                    </w:rPr>
                    <w:t>本项目正常排放源</w:t>
                  </w:r>
                  <w:r>
                    <w:rPr>
                      <w:szCs w:val="21"/>
                    </w:rPr>
                    <w:sym w:font="Wingdings 2" w:char="0052"/>
                  </w:r>
                </w:p>
                <w:p>
                  <w:pPr>
                    <w:snapToGrid w:val="0"/>
                    <w:jc w:val="right"/>
                    <w:rPr>
                      <w:szCs w:val="21"/>
                    </w:rPr>
                  </w:pPr>
                  <w:r>
                    <w:rPr>
                      <w:szCs w:val="21"/>
                    </w:rPr>
                    <w:t>本项目非正常排放源</w:t>
                  </w:r>
                  <w:r>
                    <w:rPr>
                      <w:szCs w:val="21"/>
                    </w:rPr>
                    <w:sym w:font="Wingdings 2" w:char="00A3"/>
                  </w:r>
                </w:p>
                <w:p>
                  <w:pPr>
                    <w:snapToGrid w:val="0"/>
                    <w:jc w:val="right"/>
                    <w:rPr>
                      <w:szCs w:val="21"/>
                    </w:rPr>
                  </w:pPr>
                  <w:r>
                    <w:rPr>
                      <w:szCs w:val="21"/>
                    </w:rPr>
                    <w:t>现有污染源</w:t>
                  </w:r>
                  <w:r>
                    <w:rPr>
                      <w:szCs w:val="21"/>
                    </w:rPr>
                    <w:sym w:font="Wingdings 2" w:char="0052"/>
                  </w:r>
                </w:p>
              </w:tc>
              <w:tc>
                <w:tcPr>
                  <w:tcW w:w="888" w:type="pct"/>
                  <w:gridSpan w:val="4"/>
                  <w:vAlign w:val="center"/>
                </w:tcPr>
                <w:p>
                  <w:pPr>
                    <w:snapToGrid w:val="0"/>
                    <w:jc w:val="center"/>
                    <w:rPr>
                      <w:szCs w:val="21"/>
                    </w:rPr>
                  </w:pPr>
                  <w:r>
                    <w:rPr>
                      <w:szCs w:val="21"/>
                    </w:rPr>
                    <w:t>拟替代的污染源</w:t>
                  </w:r>
                  <w:r>
                    <w:rPr>
                      <w:szCs w:val="21"/>
                    </w:rPr>
                    <w:sym w:font="Wingdings 2" w:char="00A3"/>
                  </w:r>
                </w:p>
              </w:tc>
              <w:tc>
                <w:tcPr>
                  <w:tcW w:w="943" w:type="pct"/>
                  <w:gridSpan w:val="7"/>
                  <w:vAlign w:val="center"/>
                </w:tcPr>
                <w:p>
                  <w:pPr>
                    <w:snapToGrid w:val="0"/>
                    <w:jc w:val="center"/>
                    <w:rPr>
                      <w:szCs w:val="21"/>
                    </w:rPr>
                  </w:pPr>
                  <w:r>
                    <w:rPr>
                      <w:szCs w:val="21"/>
                    </w:rPr>
                    <w:t>其他在建、拟建项目污染源</w:t>
                  </w:r>
                  <w:r>
                    <w:rPr>
                      <w:szCs w:val="21"/>
                    </w:rPr>
                    <w:sym w:font="Wingdings 2" w:char="00A3"/>
                  </w:r>
                </w:p>
              </w:tc>
              <w:tc>
                <w:tcPr>
                  <w:tcW w:w="589" w:type="pct"/>
                  <w:gridSpan w:val="2"/>
                  <w:vAlign w:val="center"/>
                </w:tcPr>
                <w:p>
                  <w:pPr>
                    <w:snapToGrid w:val="0"/>
                    <w:jc w:val="center"/>
                    <w:rPr>
                      <w:szCs w:val="21"/>
                    </w:rPr>
                  </w:pPr>
                  <w:r>
                    <w:rPr>
                      <w:szCs w:val="21"/>
                    </w:rPr>
                    <w:t>区域污染源</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restart"/>
                  <w:vAlign w:val="center"/>
                </w:tcPr>
                <w:p>
                  <w:pPr>
                    <w:snapToGrid w:val="0"/>
                    <w:jc w:val="center"/>
                    <w:rPr>
                      <w:szCs w:val="21"/>
                    </w:rPr>
                  </w:pPr>
                  <w:r>
                    <w:rPr>
                      <w:szCs w:val="21"/>
                    </w:rPr>
                    <w:t>大气环境影响预测与评价</w:t>
                  </w:r>
                </w:p>
              </w:tc>
              <w:tc>
                <w:tcPr>
                  <w:tcW w:w="924" w:type="pct"/>
                  <w:vAlign w:val="center"/>
                </w:tcPr>
                <w:p>
                  <w:pPr>
                    <w:snapToGrid w:val="0"/>
                    <w:jc w:val="center"/>
                    <w:rPr>
                      <w:szCs w:val="21"/>
                    </w:rPr>
                  </w:pPr>
                  <w:r>
                    <w:rPr>
                      <w:szCs w:val="21"/>
                    </w:rPr>
                    <w:t>预测模型</w:t>
                  </w:r>
                </w:p>
              </w:tc>
              <w:tc>
                <w:tcPr>
                  <w:tcW w:w="524" w:type="pct"/>
                  <w:vAlign w:val="center"/>
                </w:tcPr>
                <w:p>
                  <w:pPr>
                    <w:snapToGrid w:val="0"/>
                    <w:jc w:val="center"/>
                    <w:rPr>
                      <w:sz w:val="18"/>
                      <w:szCs w:val="18"/>
                      <w:lang w:eastAsia="en-US"/>
                    </w:rPr>
                  </w:pPr>
                  <w:r>
                    <w:rPr>
                      <w:sz w:val="18"/>
                      <w:szCs w:val="18"/>
                      <w:lang w:eastAsia="en-US"/>
                    </w:rPr>
                    <w:t>AERMOD</w:t>
                  </w:r>
                </w:p>
                <w:p>
                  <w:pPr>
                    <w:snapToGrid w:val="0"/>
                    <w:jc w:val="center"/>
                    <w:rPr>
                      <w:szCs w:val="21"/>
                    </w:rPr>
                  </w:pPr>
                  <w:r>
                    <w:rPr>
                      <w:szCs w:val="21"/>
                    </w:rPr>
                    <w:sym w:font="Wingdings 2" w:char="00A3"/>
                  </w:r>
                </w:p>
              </w:tc>
              <w:tc>
                <w:tcPr>
                  <w:tcW w:w="354" w:type="pct"/>
                  <w:vAlign w:val="center"/>
                </w:tcPr>
                <w:p>
                  <w:pPr>
                    <w:snapToGrid w:val="0"/>
                    <w:jc w:val="center"/>
                    <w:rPr>
                      <w:sz w:val="18"/>
                      <w:szCs w:val="18"/>
                    </w:rPr>
                  </w:pPr>
                  <w:r>
                    <w:rPr>
                      <w:sz w:val="18"/>
                      <w:szCs w:val="18"/>
                      <w:lang w:eastAsia="en-US"/>
                    </w:rPr>
                    <w:t>ADMS</w:t>
                  </w:r>
                </w:p>
                <w:p>
                  <w:pPr>
                    <w:snapToGrid w:val="0"/>
                    <w:jc w:val="center"/>
                    <w:rPr>
                      <w:szCs w:val="21"/>
                    </w:rPr>
                  </w:pPr>
                  <w:r>
                    <w:rPr>
                      <w:szCs w:val="21"/>
                    </w:rPr>
                    <w:sym w:font="Wingdings 2" w:char="00A3"/>
                  </w:r>
                </w:p>
              </w:tc>
              <w:tc>
                <w:tcPr>
                  <w:tcW w:w="628" w:type="pct"/>
                  <w:gridSpan w:val="3"/>
                  <w:vAlign w:val="center"/>
                </w:tcPr>
                <w:p>
                  <w:pPr>
                    <w:snapToGrid w:val="0"/>
                    <w:jc w:val="center"/>
                    <w:rPr>
                      <w:sz w:val="18"/>
                      <w:szCs w:val="18"/>
                    </w:rPr>
                  </w:pPr>
                  <w:r>
                    <w:rPr>
                      <w:sz w:val="18"/>
                      <w:szCs w:val="18"/>
                      <w:lang w:eastAsia="en-US"/>
                    </w:rPr>
                    <w:t>USTAL2000</w:t>
                  </w:r>
                </w:p>
                <w:p>
                  <w:pPr>
                    <w:snapToGrid w:val="0"/>
                    <w:jc w:val="center"/>
                    <w:rPr>
                      <w:szCs w:val="21"/>
                    </w:rPr>
                  </w:pPr>
                  <w:r>
                    <w:rPr>
                      <w:szCs w:val="21"/>
                    </w:rPr>
                    <w:sym w:font="Wingdings 2" w:char="00A3"/>
                  </w:r>
                </w:p>
              </w:tc>
              <w:tc>
                <w:tcPr>
                  <w:tcW w:w="765" w:type="pct"/>
                  <w:gridSpan w:val="4"/>
                  <w:vAlign w:val="center"/>
                </w:tcPr>
                <w:p>
                  <w:pPr>
                    <w:snapToGrid w:val="0"/>
                    <w:jc w:val="center"/>
                    <w:rPr>
                      <w:szCs w:val="21"/>
                    </w:rPr>
                  </w:pPr>
                  <w:r>
                    <w:rPr>
                      <w:sz w:val="18"/>
                      <w:szCs w:val="18"/>
                    </w:rPr>
                    <w:t>E</w:t>
                  </w:r>
                  <w:r>
                    <w:rPr>
                      <w:sz w:val="18"/>
                      <w:szCs w:val="18"/>
                      <w:lang w:eastAsia="en-US"/>
                    </w:rPr>
                    <w:t>DMS/AEDT</w:t>
                  </w:r>
                  <w:r>
                    <w:rPr>
                      <w:szCs w:val="21"/>
                    </w:rPr>
                    <w:sym w:font="Wingdings 2" w:char="00A3"/>
                  </w:r>
                </w:p>
              </w:tc>
              <w:tc>
                <w:tcPr>
                  <w:tcW w:w="616" w:type="pct"/>
                  <w:gridSpan w:val="4"/>
                  <w:vAlign w:val="center"/>
                </w:tcPr>
                <w:p>
                  <w:pPr>
                    <w:snapToGrid w:val="0"/>
                    <w:jc w:val="center"/>
                    <w:rPr>
                      <w:szCs w:val="21"/>
                    </w:rPr>
                  </w:pPr>
                  <w:r>
                    <w:rPr>
                      <w:sz w:val="18"/>
                      <w:szCs w:val="18"/>
                      <w:lang w:eastAsia="en-US"/>
                    </w:rPr>
                    <w:t>CALPUFF</w:t>
                  </w:r>
                  <w:r>
                    <w:rPr>
                      <w:szCs w:val="21"/>
                    </w:rPr>
                    <w:sym w:font="Wingdings 2" w:char="00A3"/>
                  </w:r>
                </w:p>
              </w:tc>
              <w:tc>
                <w:tcPr>
                  <w:tcW w:w="392" w:type="pct"/>
                  <w:gridSpan w:val="3"/>
                  <w:vAlign w:val="center"/>
                </w:tcPr>
                <w:p>
                  <w:pPr>
                    <w:snapToGrid w:val="0"/>
                    <w:jc w:val="center"/>
                    <w:rPr>
                      <w:szCs w:val="21"/>
                    </w:rPr>
                  </w:pPr>
                  <w:r>
                    <w:rPr>
                      <w:szCs w:val="21"/>
                    </w:rPr>
                    <w:t>网格模型</w:t>
                  </w:r>
                  <w:r>
                    <w:rPr>
                      <w:szCs w:val="21"/>
                    </w:rPr>
                    <w:sym w:font="Wingdings 2" w:char="00A3"/>
                  </w:r>
                </w:p>
              </w:tc>
              <w:tc>
                <w:tcPr>
                  <w:tcW w:w="350" w:type="pct"/>
                  <w:vAlign w:val="center"/>
                </w:tcPr>
                <w:p>
                  <w:pPr>
                    <w:snapToGrid w:val="0"/>
                    <w:jc w:val="center"/>
                    <w:rPr>
                      <w:szCs w:val="21"/>
                    </w:rPr>
                  </w:pPr>
                  <w:r>
                    <w:rPr>
                      <w:szCs w:val="21"/>
                    </w:rPr>
                    <w:t>其他</w:t>
                  </w:r>
                </w:p>
                <w:p>
                  <w:pPr>
                    <w:snapToGrid w:val="0"/>
                    <w:jc w:val="center"/>
                    <w:rPr>
                      <w:szCs w:val="21"/>
                    </w:rPr>
                  </w:pP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预测范围</w:t>
                  </w:r>
                </w:p>
              </w:tc>
              <w:tc>
                <w:tcPr>
                  <w:tcW w:w="878" w:type="pct"/>
                  <w:gridSpan w:val="2"/>
                  <w:vAlign w:val="center"/>
                </w:tcPr>
                <w:p>
                  <w:pPr>
                    <w:snapToGrid w:val="0"/>
                    <w:jc w:val="center"/>
                    <w:rPr>
                      <w:szCs w:val="21"/>
                    </w:rPr>
                  </w:pPr>
                  <w:r>
                    <w:rPr>
                      <w:szCs w:val="21"/>
                    </w:rPr>
                    <w:t>边长≥50km</w:t>
                  </w:r>
                  <w:r>
                    <w:rPr>
                      <w:szCs w:val="21"/>
                    </w:rPr>
                    <w:sym w:font="Wingdings 2" w:char="00A3"/>
                  </w:r>
                </w:p>
              </w:tc>
              <w:tc>
                <w:tcPr>
                  <w:tcW w:w="2010" w:type="pct"/>
                  <w:gridSpan w:val="11"/>
                  <w:vAlign w:val="center"/>
                </w:tcPr>
                <w:p>
                  <w:pPr>
                    <w:snapToGrid w:val="0"/>
                    <w:jc w:val="center"/>
                    <w:rPr>
                      <w:szCs w:val="21"/>
                    </w:rPr>
                  </w:pPr>
                  <w:r>
                    <w:rPr>
                      <w:szCs w:val="21"/>
                    </w:rPr>
                    <w:t>边长5</w:t>
                  </w:r>
                  <w:r>
                    <w:rPr>
                      <w:rFonts w:eastAsia="微软雅黑"/>
                      <w:szCs w:val="21"/>
                    </w:rPr>
                    <w:t>〜</w:t>
                  </w:r>
                  <w:r>
                    <w:rPr>
                      <w:szCs w:val="21"/>
                    </w:rPr>
                    <w:t>50km</w:t>
                  </w:r>
                  <w:r>
                    <w:rPr>
                      <w:szCs w:val="21"/>
                    </w:rPr>
                    <w:sym w:font="Wingdings 2" w:char="00A3"/>
                  </w:r>
                </w:p>
              </w:tc>
              <w:tc>
                <w:tcPr>
                  <w:tcW w:w="742" w:type="pct"/>
                  <w:gridSpan w:val="4"/>
                  <w:vAlign w:val="center"/>
                </w:tcPr>
                <w:p>
                  <w:pPr>
                    <w:snapToGrid w:val="0"/>
                    <w:jc w:val="center"/>
                    <w:rPr>
                      <w:szCs w:val="21"/>
                    </w:rPr>
                  </w:pPr>
                  <w:r>
                    <w:rPr>
                      <w:szCs w:val="21"/>
                    </w:rPr>
                    <w:t>边长=5km</w:t>
                  </w:r>
                  <w:r>
                    <w:rPr>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restart"/>
                  <w:vAlign w:val="center"/>
                </w:tcPr>
                <w:p>
                  <w:pPr>
                    <w:snapToGrid w:val="0"/>
                    <w:jc w:val="center"/>
                    <w:rPr>
                      <w:szCs w:val="21"/>
                    </w:rPr>
                  </w:pPr>
                  <w:r>
                    <w:rPr>
                      <w:szCs w:val="21"/>
                    </w:rPr>
                    <w:t>大气环境影响预测与评价</w:t>
                  </w:r>
                </w:p>
              </w:tc>
              <w:tc>
                <w:tcPr>
                  <w:tcW w:w="924" w:type="pct"/>
                  <w:vAlign w:val="center"/>
                </w:tcPr>
                <w:p>
                  <w:pPr>
                    <w:snapToGrid w:val="0"/>
                    <w:jc w:val="center"/>
                    <w:rPr>
                      <w:szCs w:val="21"/>
                    </w:rPr>
                  </w:pPr>
                  <w:r>
                    <w:rPr>
                      <w:szCs w:val="21"/>
                    </w:rPr>
                    <w:t>预测因子</w:t>
                  </w:r>
                </w:p>
              </w:tc>
              <w:tc>
                <w:tcPr>
                  <w:tcW w:w="2099" w:type="pct"/>
                  <w:gridSpan w:val="8"/>
                  <w:vAlign w:val="center"/>
                </w:tcPr>
                <w:p>
                  <w:pPr>
                    <w:snapToGrid w:val="0"/>
                    <w:jc w:val="center"/>
                    <w:rPr>
                      <w:szCs w:val="21"/>
                    </w:rPr>
                  </w:pPr>
                  <w:r>
                    <w:rPr>
                      <w:szCs w:val="21"/>
                    </w:rPr>
                    <w:t>预测因子（</w:t>
                  </w:r>
                  <w:r>
                    <w:t>NH</w:t>
                  </w:r>
                  <w:r>
                    <w:rPr>
                      <w:vertAlign w:val="subscript"/>
                    </w:rPr>
                    <w:t>3</w:t>
                  </w:r>
                  <w:r>
                    <w:t>、H</w:t>
                  </w:r>
                  <w:r>
                    <w:rPr>
                      <w:vertAlign w:val="subscript"/>
                    </w:rPr>
                    <w:t>2</w:t>
                  </w:r>
                  <w:r>
                    <w:t>S</w:t>
                  </w:r>
                  <w:r>
                    <w:rPr>
                      <w:szCs w:val="21"/>
                    </w:rPr>
                    <w:t xml:space="preserve"> ）</w:t>
                  </w:r>
                </w:p>
              </w:tc>
              <w:tc>
                <w:tcPr>
                  <w:tcW w:w="1532" w:type="pct"/>
                  <w:gridSpan w:val="9"/>
                  <w:vAlign w:val="center"/>
                </w:tcPr>
                <w:p>
                  <w:pPr>
                    <w:snapToGrid w:val="0"/>
                    <w:jc w:val="center"/>
                    <w:rPr>
                      <w:smallCaps/>
                      <w:szCs w:val="21"/>
                    </w:rPr>
                  </w:pPr>
                  <w:r>
                    <w:rPr>
                      <w:szCs w:val="21"/>
                    </w:rPr>
                    <w:t>包括二次</w:t>
                  </w:r>
                  <w:r>
                    <w:rPr>
                      <w:smallCaps/>
                      <w:szCs w:val="21"/>
                      <w:lang w:eastAsia="en-US"/>
                    </w:rPr>
                    <w:t>PM</w:t>
                  </w:r>
                  <w:r>
                    <w:rPr>
                      <w:smallCaps/>
                      <w:szCs w:val="21"/>
                      <w:vertAlign w:val="subscript"/>
                    </w:rPr>
                    <w:t>2.5</w:t>
                  </w:r>
                  <w:r>
                    <w:rPr>
                      <w:szCs w:val="21"/>
                    </w:rPr>
                    <w:sym w:font="Wingdings 2" w:char="00A3"/>
                  </w:r>
                </w:p>
                <w:p>
                  <w:pPr>
                    <w:snapToGrid w:val="0"/>
                    <w:jc w:val="center"/>
                    <w:rPr>
                      <w:szCs w:val="21"/>
                    </w:rPr>
                  </w:pPr>
                  <w:r>
                    <w:rPr>
                      <w:szCs w:val="21"/>
                    </w:rPr>
                    <w:t>不包括二次</w:t>
                  </w:r>
                  <w:r>
                    <w:rPr>
                      <w:szCs w:val="21"/>
                      <w:lang w:eastAsia="en-US"/>
                    </w:rPr>
                    <w:t>PM</w:t>
                  </w:r>
                  <w:r>
                    <w:rPr>
                      <w:smallCaps/>
                      <w:szCs w:val="21"/>
                      <w:vertAlign w:val="subscript"/>
                    </w:rPr>
                    <w:t>2.5</w:t>
                  </w:r>
                  <w:r>
                    <w:rPr>
                      <w:sz w:val="18"/>
                      <w:szCs w:val="18"/>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正常排放短期浓度 贡献值</w:t>
                  </w:r>
                </w:p>
              </w:tc>
              <w:tc>
                <w:tcPr>
                  <w:tcW w:w="2099" w:type="pct"/>
                  <w:gridSpan w:val="8"/>
                  <w:vAlign w:val="center"/>
                </w:tcPr>
                <w:p>
                  <w:pPr>
                    <w:snapToGrid w:val="0"/>
                    <w:jc w:val="center"/>
                    <w:rPr>
                      <w:szCs w:val="21"/>
                    </w:rPr>
                  </w:pPr>
                  <w:r>
                    <w:rPr>
                      <w:szCs w:val="21"/>
                    </w:rPr>
                    <w:t>C</w:t>
                  </w:r>
                  <w:r>
                    <w:rPr>
                      <w:szCs w:val="21"/>
                      <w:vertAlign w:val="subscript"/>
                    </w:rPr>
                    <w:t>本项目</w:t>
                  </w:r>
                  <w:r>
                    <w:rPr>
                      <w:szCs w:val="21"/>
                    </w:rPr>
                    <w:t>最大占标率</w:t>
                  </w:r>
                  <w:r>
                    <w:rPr>
                      <w:rFonts w:eastAsia="仿宋"/>
                      <w:szCs w:val="21"/>
                    </w:rPr>
                    <w:t>≤</w:t>
                  </w:r>
                  <w:r>
                    <w:rPr>
                      <w:szCs w:val="21"/>
                    </w:rPr>
                    <w:t>100%</w:t>
                  </w:r>
                  <w:r>
                    <w:rPr>
                      <w:sz w:val="18"/>
                      <w:szCs w:val="18"/>
                    </w:rPr>
                    <w:sym w:font="Wingdings 2" w:char="00A3"/>
                  </w:r>
                </w:p>
              </w:tc>
              <w:tc>
                <w:tcPr>
                  <w:tcW w:w="1532" w:type="pct"/>
                  <w:gridSpan w:val="9"/>
                  <w:vAlign w:val="center"/>
                </w:tcPr>
                <w:p>
                  <w:pPr>
                    <w:snapToGrid w:val="0"/>
                    <w:jc w:val="center"/>
                    <w:rPr>
                      <w:szCs w:val="21"/>
                    </w:rPr>
                  </w:pPr>
                  <w:r>
                    <w:rPr>
                      <w:szCs w:val="21"/>
                    </w:rPr>
                    <w:t>C</w:t>
                  </w:r>
                  <w:r>
                    <w:rPr>
                      <w:szCs w:val="21"/>
                      <w:vertAlign w:val="subscript"/>
                    </w:rPr>
                    <w:t>本项目</w:t>
                  </w:r>
                  <w:r>
                    <w:rPr>
                      <w:szCs w:val="21"/>
                    </w:rPr>
                    <w:t>最大占标率&gt;100%</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Merge w:val="restart"/>
                  <w:vAlign w:val="center"/>
                </w:tcPr>
                <w:p>
                  <w:pPr>
                    <w:snapToGrid w:val="0"/>
                    <w:jc w:val="center"/>
                    <w:rPr>
                      <w:szCs w:val="21"/>
                    </w:rPr>
                  </w:pPr>
                  <w:r>
                    <w:rPr>
                      <w:szCs w:val="21"/>
                    </w:rPr>
                    <w:t>正常排放年均浓度 贡献值</w:t>
                  </w:r>
                </w:p>
              </w:tc>
              <w:tc>
                <w:tcPr>
                  <w:tcW w:w="524" w:type="pct"/>
                  <w:vAlign w:val="center"/>
                </w:tcPr>
                <w:p>
                  <w:pPr>
                    <w:snapToGrid w:val="0"/>
                    <w:jc w:val="center"/>
                    <w:rPr>
                      <w:szCs w:val="21"/>
                    </w:rPr>
                  </w:pPr>
                  <w:r>
                    <w:rPr>
                      <w:szCs w:val="21"/>
                    </w:rPr>
                    <w:t>一类区</w:t>
                  </w:r>
                </w:p>
              </w:tc>
              <w:tc>
                <w:tcPr>
                  <w:tcW w:w="1574" w:type="pct"/>
                  <w:gridSpan w:val="7"/>
                  <w:vAlign w:val="center"/>
                </w:tcPr>
                <w:p>
                  <w:pPr>
                    <w:snapToGrid w:val="0"/>
                    <w:jc w:val="center"/>
                    <w:rPr>
                      <w:szCs w:val="21"/>
                    </w:rPr>
                  </w:pPr>
                  <w:r>
                    <w:rPr>
                      <w:szCs w:val="21"/>
                    </w:rPr>
                    <w:t>C</w:t>
                  </w:r>
                  <w:r>
                    <w:rPr>
                      <w:szCs w:val="21"/>
                      <w:vertAlign w:val="subscript"/>
                    </w:rPr>
                    <w:t>本项目</w:t>
                  </w:r>
                  <w:r>
                    <w:rPr>
                      <w:szCs w:val="21"/>
                    </w:rPr>
                    <w:t>最大占标率</w:t>
                  </w:r>
                  <w:r>
                    <w:rPr>
                      <w:rFonts w:eastAsia="仿宋"/>
                      <w:szCs w:val="21"/>
                    </w:rPr>
                    <w:t>≤</w:t>
                  </w:r>
                  <w:r>
                    <w:rPr>
                      <w:szCs w:val="21"/>
                    </w:rPr>
                    <w:t>10%</w:t>
                  </w:r>
                  <w:r>
                    <w:rPr>
                      <w:szCs w:val="21"/>
                    </w:rPr>
                    <w:sym w:font="Wingdings 2" w:char="00A3"/>
                  </w:r>
                </w:p>
              </w:tc>
              <w:tc>
                <w:tcPr>
                  <w:tcW w:w="1532" w:type="pct"/>
                  <w:gridSpan w:val="9"/>
                  <w:vAlign w:val="center"/>
                </w:tcPr>
                <w:p>
                  <w:pPr>
                    <w:snapToGrid w:val="0"/>
                    <w:jc w:val="center"/>
                    <w:rPr>
                      <w:szCs w:val="21"/>
                    </w:rPr>
                  </w:pPr>
                  <w:r>
                    <w:rPr>
                      <w:szCs w:val="21"/>
                    </w:rPr>
                    <w:t>C</w:t>
                  </w:r>
                  <w:r>
                    <w:rPr>
                      <w:szCs w:val="21"/>
                      <w:vertAlign w:val="subscript"/>
                    </w:rPr>
                    <w:t>本项目</w:t>
                  </w:r>
                  <w:r>
                    <w:rPr>
                      <w:szCs w:val="21"/>
                    </w:rPr>
                    <w:t>最大标率&gt;10%</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Merge w:val="continue"/>
                  <w:vAlign w:val="center"/>
                </w:tcPr>
                <w:p>
                  <w:pPr>
                    <w:snapToGrid w:val="0"/>
                    <w:jc w:val="center"/>
                    <w:rPr>
                      <w:szCs w:val="21"/>
                    </w:rPr>
                  </w:pPr>
                </w:p>
              </w:tc>
              <w:tc>
                <w:tcPr>
                  <w:tcW w:w="524" w:type="pct"/>
                  <w:vAlign w:val="center"/>
                </w:tcPr>
                <w:p>
                  <w:pPr>
                    <w:snapToGrid w:val="0"/>
                    <w:jc w:val="center"/>
                    <w:rPr>
                      <w:szCs w:val="21"/>
                    </w:rPr>
                  </w:pPr>
                  <w:r>
                    <w:rPr>
                      <w:szCs w:val="21"/>
                    </w:rPr>
                    <w:t>二类区</w:t>
                  </w:r>
                </w:p>
              </w:tc>
              <w:tc>
                <w:tcPr>
                  <w:tcW w:w="1574" w:type="pct"/>
                  <w:gridSpan w:val="7"/>
                  <w:vAlign w:val="center"/>
                </w:tcPr>
                <w:p>
                  <w:pPr>
                    <w:snapToGrid w:val="0"/>
                    <w:jc w:val="center"/>
                    <w:rPr>
                      <w:szCs w:val="21"/>
                    </w:rPr>
                  </w:pPr>
                  <w:r>
                    <w:rPr>
                      <w:szCs w:val="21"/>
                    </w:rPr>
                    <w:t>C</w:t>
                  </w:r>
                  <w:r>
                    <w:rPr>
                      <w:szCs w:val="21"/>
                      <w:vertAlign w:val="subscript"/>
                    </w:rPr>
                    <w:t>本项目</w:t>
                  </w:r>
                  <w:r>
                    <w:rPr>
                      <w:szCs w:val="21"/>
                    </w:rPr>
                    <w:t>占标率</w:t>
                  </w:r>
                  <w:r>
                    <w:rPr>
                      <w:rFonts w:eastAsia="仿宋"/>
                      <w:szCs w:val="21"/>
                    </w:rPr>
                    <w:t>≤</w:t>
                  </w:r>
                  <w:r>
                    <w:rPr>
                      <w:szCs w:val="21"/>
                    </w:rPr>
                    <w:t>30%</w:t>
                  </w:r>
                  <w:r>
                    <w:rPr>
                      <w:sz w:val="18"/>
                      <w:szCs w:val="18"/>
                    </w:rPr>
                    <w:sym w:font="Wingdings 2" w:char="00A3"/>
                  </w:r>
                </w:p>
              </w:tc>
              <w:tc>
                <w:tcPr>
                  <w:tcW w:w="1532" w:type="pct"/>
                  <w:gridSpan w:val="9"/>
                  <w:vAlign w:val="center"/>
                </w:tcPr>
                <w:p>
                  <w:pPr>
                    <w:snapToGrid w:val="0"/>
                    <w:jc w:val="center"/>
                    <w:rPr>
                      <w:szCs w:val="21"/>
                    </w:rPr>
                  </w:pPr>
                  <w:r>
                    <w:rPr>
                      <w:szCs w:val="21"/>
                    </w:rPr>
                    <w:t>C</w:t>
                  </w:r>
                  <w:r>
                    <w:rPr>
                      <w:szCs w:val="21"/>
                      <w:vertAlign w:val="subscript"/>
                    </w:rPr>
                    <w:t>本项目</w:t>
                  </w:r>
                  <w:r>
                    <w:rPr>
                      <w:szCs w:val="21"/>
                    </w:rPr>
                    <w:t>最大标率&gt;30%</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非正常排放1h浓度贡献值</w:t>
                  </w:r>
                </w:p>
              </w:tc>
              <w:tc>
                <w:tcPr>
                  <w:tcW w:w="1211" w:type="pct"/>
                  <w:gridSpan w:val="4"/>
                  <w:vAlign w:val="center"/>
                </w:tcPr>
                <w:p>
                  <w:pPr>
                    <w:snapToGrid w:val="0"/>
                    <w:jc w:val="center"/>
                    <w:rPr>
                      <w:szCs w:val="21"/>
                    </w:rPr>
                  </w:pPr>
                  <w:r>
                    <w:rPr>
                      <w:szCs w:val="21"/>
                    </w:rPr>
                    <w:t>非正常持续时长（）h</w:t>
                  </w:r>
                </w:p>
              </w:tc>
              <w:tc>
                <w:tcPr>
                  <w:tcW w:w="1333" w:type="pct"/>
                  <w:gridSpan w:val="7"/>
                  <w:vAlign w:val="center"/>
                </w:tcPr>
                <w:p>
                  <w:pPr>
                    <w:snapToGrid w:val="0"/>
                    <w:jc w:val="center"/>
                    <w:rPr>
                      <w:szCs w:val="21"/>
                    </w:rPr>
                  </w:pPr>
                  <w:r>
                    <w:rPr>
                      <w:szCs w:val="21"/>
                    </w:rPr>
                    <w:t>C</w:t>
                  </w:r>
                  <w:r>
                    <w:rPr>
                      <w:szCs w:val="21"/>
                      <w:vertAlign w:val="subscript"/>
                    </w:rPr>
                    <w:t>非正常</w:t>
                  </w:r>
                  <w:r>
                    <w:rPr>
                      <w:szCs w:val="21"/>
                    </w:rPr>
                    <w:t>占标率</w:t>
                  </w:r>
                  <w:r>
                    <w:rPr>
                      <w:rFonts w:eastAsia="仿宋"/>
                      <w:szCs w:val="21"/>
                    </w:rPr>
                    <w:t>≤1</w:t>
                  </w:r>
                  <w:r>
                    <w:rPr>
                      <w:szCs w:val="21"/>
                    </w:rPr>
                    <w:t>00%</w:t>
                  </w:r>
                  <w:r>
                    <w:rPr>
                      <w:szCs w:val="21"/>
                    </w:rPr>
                    <w:sym w:font="Wingdings 2" w:char="00A3"/>
                  </w:r>
                </w:p>
              </w:tc>
              <w:tc>
                <w:tcPr>
                  <w:tcW w:w="1087" w:type="pct"/>
                  <w:gridSpan w:val="6"/>
                  <w:vAlign w:val="center"/>
                </w:tcPr>
                <w:p>
                  <w:pPr>
                    <w:snapToGrid w:val="0"/>
                    <w:jc w:val="center"/>
                    <w:rPr>
                      <w:szCs w:val="21"/>
                    </w:rPr>
                  </w:pPr>
                  <w:r>
                    <w:rPr>
                      <w:szCs w:val="21"/>
                    </w:rPr>
                    <w:t>C</w:t>
                  </w:r>
                  <w:r>
                    <w:rPr>
                      <w:szCs w:val="21"/>
                      <w:vertAlign w:val="subscript"/>
                    </w:rPr>
                    <w:t>非正常</w:t>
                  </w:r>
                  <w:r>
                    <w:rPr>
                      <w:szCs w:val="21"/>
                    </w:rPr>
                    <w:t>占标率&gt;100%</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保证率日平均浓度和年平均浓度叠加值</w:t>
                  </w:r>
                </w:p>
              </w:tc>
              <w:tc>
                <w:tcPr>
                  <w:tcW w:w="1703" w:type="pct"/>
                  <w:gridSpan w:val="6"/>
                  <w:vAlign w:val="center"/>
                </w:tcPr>
                <w:p>
                  <w:pPr>
                    <w:snapToGrid w:val="0"/>
                    <w:jc w:val="center"/>
                    <w:rPr>
                      <w:szCs w:val="21"/>
                    </w:rPr>
                  </w:pPr>
                  <w:r>
                    <w:rPr>
                      <w:szCs w:val="21"/>
                    </w:rPr>
                    <w:t>C</w:t>
                  </w:r>
                  <w:r>
                    <w:rPr>
                      <w:szCs w:val="21"/>
                      <w:vertAlign w:val="subscript"/>
                    </w:rPr>
                    <w:t>叠加</w:t>
                  </w:r>
                  <w:r>
                    <w:rPr>
                      <w:szCs w:val="21"/>
                    </w:rPr>
                    <w:t>达标</w:t>
                  </w:r>
                  <w:r>
                    <w:rPr>
                      <w:szCs w:val="21"/>
                    </w:rPr>
                    <w:sym w:font="Wingdings 2" w:char="00A3"/>
                  </w:r>
                </w:p>
              </w:tc>
              <w:tc>
                <w:tcPr>
                  <w:tcW w:w="1928" w:type="pct"/>
                  <w:gridSpan w:val="11"/>
                  <w:vAlign w:val="center"/>
                </w:tcPr>
                <w:p>
                  <w:pPr>
                    <w:snapToGrid w:val="0"/>
                    <w:jc w:val="center"/>
                    <w:rPr>
                      <w:szCs w:val="21"/>
                    </w:rPr>
                  </w:pPr>
                  <w:r>
                    <w:rPr>
                      <w:szCs w:val="21"/>
                    </w:rPr>
                    <w:t>C</w:t>
                  </w:r>
                  <w:r>
                    <w:rPr>
                      <w:szCs w:val="21"/>
                      <w:vertAlign w:val="subscript"/>
                    </w:rPr>
                    <w:t>叠加</w:t>
                  </w:r>
                  <w:r>
                    <w:rPr>
                      <w:szCs w:val="21"/>
                    </w:rPr>
                    <w:t>不达标</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区域环境质量的整体变化悄况</w:t>
                  </w:r>
                </w:p>
              </w:tc>
              <w:tc>
                <w:tcPr>
                  <w:tcW w:w="1703" w:type="pct"/>
                  <w:gridSpan w:val="6"/>
                  <w:vAlign w:val="center"/>
                </w:tcPr>
                <w:p>
                  <w:pPr>
                    <w:snapToGrid w:val="0"/>
                    <w:jc w:val="center"/>
                    <w:rPr>
                      <w:szCs w:val="21"/>
                    </w:rPr>
                  </w:pPr>
                  <w:r>
                    <w:rPr>
                      <w:i/>
                      <w:szCs w:val="21"/>
                      <w:lang w:eastAsia="en-US"/>
                    </w:rPr>
                    <w:t>k</w:t>
                  </w:r>
                  <w:r>
                    <w:rPr>
                      <w:rFonts w:eastAsia="仿宋"/>
                      <w:szCs w:val="21"/>
                    </w:rPr>
                    <w:t>≤-</w:t>
                  </w:r>
                  <w:r>
                    <w:rPr>
                      <w:szCs w:val="21"/>
                    </w:rPr>
                    <w:t>20%</w:t>
                  </w:r>
                  <w:r>
                    <w:rPr>
                      <w:szCs w:val="21"/>
                    </w:rPr>
                    <w:sym w:font="Wingdings 2" w:char="00A3"/>
                  </w:r>
                </w:p>
              </w:tc>
              <w:tc>
                <w:tcPr>
                  <w:tcW w:w="1928" w:type="pct"/>
                  <w:gridSpan w:val="11"/>
                  <w:vAlign w:val="center"/>
                </w:tcPr>
                <w:p>
                  <w:pPr>
                    <w:snapToGrid w:val="0"/>
                    <w:jc w:val="center"/>
                    <w:rPr>
                      <w:szCs w:val="21"/>
                    </w:rPr>
                  </w:pPr>
                  <w:r>
                    <w:rPr>
                      <w:i/>
                      <w:szCs w:val="21"/>
                      <w:lang w:eastAsia="en-US"/>
                    </w:rPr>
                    <w:t>k</w:t>
                  </w:r>
                  <w:r>
                    <w:rPr>
                      <w:szCs w:val="21"/>
                    </w:rPr>
                    <w:t>&gt;-20%</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restart"/>
                  <w:vAlign w:val="center"/>
                </w:tcPr>
                <w:p>
                  <w:pPr>
                    <w:snapToGrid w:val="0"/>
                    <w:jc w:val="center"/>
                    <w:rPr>
                      <w:szCs w:val="21"/>
                    </w:rPr>
                  </w:pPr>
                  <w:r>
                    <w:rPr>
                      <w:szCs w:val="21"/>
                    </w:rPr>
                    <w:t>环境监测计划</w:t>
                  </w:r>
                </w:p>
              </w:tc>
              <w:tc>
                <w:tcPr>
                  <w:tcW w:w="924" w:type="pct"/>
                  <w:vAlign w:val="center"/>
                </w:tcPr>
                <w:p>
                  <w:pPr>
                    <w:snapToGrid w:val="0"/>
                    <w:jc w:val="center"/>
                    <w:rPr>
                      <w:szCs w:val="21"/>
                    </w:rPr>
                  </w:pPr>
                  <w:r>
                    <w:rPr>
                      <w:szCs w:val="21"/>
                    </w:rPr>
                    <w:t>污染源监测</w:t>
                  </w:r>
                </w:p>
              </w:tc>
              <w:tc>
                <w:tcPr>
                  <w:tcW w:w="1507" w:type="pct"/>
                  <w:gridSpan w:val="5"/>
                  <w:vAlign w:val="center"/>
                </w:tcPr>
                <w:p>
                  <w:pPr>
                    <w:snapToGrid w:val="0"/>
                    <w:jc w:val="center"/>
                    <w:rPr>
                      <w:szCs w:val="21"/>
                    </w:rPr>
                  </w:pPr>
                  <w:r>
                    <w:rPr>
                      <w:szCs w:val="21"/>
                    </w:rPr>
                    <w:t>监测因子：（</w:t>
                  </w:r>
                  <w:r>
                    <w:t>NH</w:t>
                  </w:r>
                  <w:r>
                    <w:rPr>
                      <w:vertAlign w:val="subscript"/>
                    </w:rPr>
                    <w:t>3</w:t>
                  </w:r>
                  <w:r>
                    <w:t>、H</w:t>
                  </w:r>
                  <w:r>
                    <w:rPr>
                      <w:vertAlign w:val="subscript"/>
                    </w:rPr>
                    <w:t>2</w:t>
                  </w:r>
                  <w:r>
                    <w:t>S</w:t>
                  </w:r>
                  <w:r>
                    <w:rPr>
                      <w:szCs w:val="21"/>
                    </w:rPr>
                    <w:t>）</w:t>
                  </w:r>
                </w:p>
              </w:tc>
              <w:tc>
                <w:tcPr>
                  <w:tcW w:w="1452" w:type="pct"/>
                  <w:gridSpan w:val="9"/>
                  <w:vAlign w:val="center"/>
                </w:tcPr>
                <w:p>
                  <w:pPr>
                    <w:snapToGrid w:val="0"/>
                    <w:jc w:val="center"/>
                    <w:rPr>
                      <w:szCs w:val="21"/>
                    </w:rPr>
                  </w:pPr>
                  <w:r>
                    <w:rPr>
                      <w:szCs w:val="21"/>
                    </w:rPr>
                    <w:t>有组织废气监测</w:t>
                  </w:r>
                  <w:r>
                    <w:rPr>
                      <w:sz w:val="18"/>
                      <w:szCs w:val="18"/>
                    </w:rPr>
                    <w:sym w:font="Wingdings 2" w:char="0052"/>
                  </w:r>
                </w:p>
                <w:p>
                  <w:pPr>
                    <w:snapToGrid w:val="0"/>
                    <w:jc w:val="center"/>
                    <w:rPr>
                      <w:szCs w:val="21"/>
                    </w:rPr>
                  </w:pPr>
                  <w:r>
                    <w:rPr>
                      <w:szCs w:val="21"/>
                    </w:rPr>
                    <w:t>无组织废气监测</w:t>
                  </w:r>
                  <w:r>
                    <w:rPr>
                      <w:sz w:val="18"/>
                      <w:szCs w:val="18"/>
                    </w:rPr>
                    <w:sym w:font="Wingdings 2" w:char="0052"/>
                  </w:r>
                </w:p>
              </w:tc>
              <w:tc>
                <w:tcPr>
                  <w:tcW w:w="671" w:type="pct"/>
                  <w:gridSpan w:val="3"/>
                  <w:vAlign w:val="center"/>
                </w:tcPr>
                <w:p>
                  <w:pPr>
                    <w:snapToGrid w:val="0"/>
                    <w:jc w:val="center"/>
                    <w:rPr>
                      <w:szCs w:val="21"/>
                    </w:rPr>
                  </w:pPr>
                  <w:r>
                    <w:rPr>
                      <w:szCs w:val="21"/>
                    </w:rPr>
                    <w:t>无监测</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环境质量监测</w:t>
                  </w:r>
                </w:p>
              </w:tc>
              <w:tc>
                <w:tcPr>
                  <w:tcW w:w="1507" w:type="pct"/>
                  <w:gridSpan w:val="5"/>
                  <w:vAlign w:val="center"/>
                </w:tcPr>
                <w:p>
                  <w:pPr>
                    <w:snapToGrid w:val="0"/>
                    <w:jc w:val="center"/>
                    <w:rPr>
                      <w:szCs w:val="21"/>
                    </w:rPr>
                  </w:pPr>
                  <w:r>
                    <w:rPr>
                      <w:szCs w:val="21"/>
                    </w:rPr>
                    <w:t>监测因子：（    ）</w:t>
                  </w:r>
                </w:p>
              </w:tc>
              <w:tc>
                <w:tcPr>
                  <w:tcW w:w="1452" w:type="pct"/>
                  <w:gridSpan w:val="9"/>
                  <w:vAlign w:val="center"/>
                </w:tcPr>
                <w:p>
                  <w:pPr>
                    <w:snapToGrid w:val="0"/>
                    <w:jc w:val="center"/>
                    <w:rPr>
                      <w:szCs w:val="21"/>
                    </w:rPr>
                  </w:pPr>
                  <w:r>
                    <w:rPr>
                      <w:szCs w:val="21"/>
                    </w:rPr>
                    <w:t>监测点位数（    ）</w:t>
                  </w:r>
                </w:p>
              </w:tc>
              <w:tc>
                <w:tcPr>
                  <w:tcW w:w="671" w:type="pct"/>
                  <w:gridSpan w:val="3"/>
                  <w:vAlign w:val="center"/>
                </w:tcPr>
                <w:p>
                  <w:pPr>
                    <w:snapToGrid w:val="0"/>
                    <w:jc w:val="center"/>
                    <w:rPr>
                      <w:szCs w:val="21"/>
                    </w:rPr>
                  </w:pPr>
                  <w:r>
                    <w:rPr>
                      <w:szCs w:val="21"/>
                    </w:rPr>
                    <w:t>无监测</w:t>
                  </w:r>
                  <w:r>
                    <w:rPr>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restart"/>
                  <w:vAlign w:val="center"/>
                </w:tcPr>
                <w:p>
                  <w:pPr>
                    <w:snapToGrid w:val="0"/>
                    <w:jc w:val="center"/>
                    <w:rPr>
                      <w:szCs w:val="21"/>
                    </w:rPr>
                  </w:pPr>
                  <w:r>
                    <w:rPr>
                      <w:szCs w:val="21"/>
                    </w:rPr>
                    <w:t>评价</w:t>
                  </w:r>
                </w:p>
                <w:p>
                  <w:pPr>
                    <w:snapToGrid w:val="0"/>
                    <w:jc w:val="center"/>
                    <w:rPr>
                      <w:szCs w:val="21"/>
                    </w:rPr>
                  </w:pPr>
                  <w:r>
                    <w:rPr>
                      <w:szCs w:val="21"/>
                    </w:rPr>
                    <w:t>结论</w:t>
                  </w:r>
                </w:p>
              </w:tc>
              <w:tc>
                <w:tcPr>
                  <w:tcW w:w="924" w:type="pct"/>
                  <w:vAlign w:val="center"/>
                </w:tcPr>
                <w:p>
                  <w:pPr>
                    <w:snapToGrid w:val="0"/>
                    <w:jc w:val="center"/>
                    <w:rPr>
                      <w:szCs w:val="21"/>
                    </w:rPr>
                  </w:pPr>
                  <w:r>
                    <w:rPr>
                      <w:szCs w:val="21"/>
                    </w:rPr>
                    <w:t>环境影响</w:t>
                  </w:r>
                </w:p>
              </w:tc>
              <w:tc>
                <w:tcPr>
                  <w:tcW w:w="3632" w:type="pct"/>
                  <w:gridSpan w:val="17"/>
                  <w:vAlign w:val="center"/>
                </w:tcPr>
                <w:p>
                  <w:pPr>
                    <w:snapToGrid w:val="0"/>
                    <w:jc w:val="center"/>
                    <w:rPr>
                      <w:szCs w:val="21"/>
                    </w:rPr>
                  </w:pPr>
                  <w:r>
                    <w:rPr>
                      <w:szCs w:val="21"/>
                    </w:rPr>
                    <w:t>可以接受</w:t>
                  </w:r>
                  <w:r>
                    <w:rPr>
                      <w:sz w:val="18"/>
                      <w:szCs w:val="18"/>
                    </w:rPr>
                    <w:sym w:font="Wingdings 2" w:char="0052"/>
                  </w:r>
                  <w:r>
                    <w:rPr>
                      <w:szCs w:val="21"/>
                    </w:rPr>
                    <w:t xml:space="preserve">         不可以接受</w:t>
                  </w:r>
                  <w:r>
                    <w:rPr>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大气环境防护距离</w:t>
                  </w:r>
                </w:p>
              </w:tc>
              <w:tc>
                <w:tcPr>
                  <w:tcW w:w="3632" w:type="pct"/>
                  <w:gridSpan w:val="17"/>
                  <w:vAlign w:val="center"/>
                </w:tcPr>
                <w:p>
                  <w:pPr>
                    <w:snapToGrid w:val="0"/>
                    <w:jc w:val="center"/>
                    <w:rPr>
                      <w:szCs w:val="21"/>
                    </w:rPr>
                  </w:pPr>
                  <w:r>
                    <w:rPr>
                      <w:szCs w:val="21"/>
                    </w:rPr>
                    <w:t>距（     ）厂界最远（     ）m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443" w:type="pct"/>
                  <w:vMerge w:val="continue"/>
                  <w:vAlign w:val="center"/>
                </w:tcPr>
                <w:p>
                  <w:pPr>
                    <w:snapToGrid w:val="0"/>
                    <w:jc w:val="center"/>
                    <w:rPr>
                      <w:szCs w:val="21"/>
                    </w:rPr>
                  </w:pPr>
                </w:p>
              </w:tc>
              <w:tc>
                <w:tcPr>
                  <w:tcW w:w="924" w:type="pct"/>
                  <w:vAlign w:val="center"/>
                </w:tcPr>
                <w:p>
                  <w:pPr>
                    <w:snapToGrid w:val="0"/>
                    <w:jc w:val="center"/>
                    <w:rPr>
                      <w:szCs w:val="21"/>
                    </w:rPr>
                  </w:pPr>
                  <w:r>
                    <w:rPr>
                      <w:szCs w:val="21"/>
                    </w:rPr>
                    <w:t>污染源年排放量</w:t>
                  </w:r>
                </w:p>
              </w:tc>
              <w:tc>
                <w:tcPr>
                  <w:tcW w:w="878" w:type="pct"/>
                  <w:gridSpan w:val="2"/>
                  <w:vAlign w:val="center"/>
                </w:tcPr>
                <w:p>
                  <w:pPr>
                    <w:snapToGrid w:val="0"/>
                    <w:jc w:val="center"/>
                    <w:rPr>
                      <w:szCs w:val="21"/>
                    </w:rPr>
                  </w:pPr>
                  <w:r>
                    <w:rPr>
                      <w:szCs w:val="21"/>
                      <w:lang w:eastAsia="en-US"/>
                    </w:rPr>
                    <w:t>S</w:t>
                  </w:r>
                  <w:r>
                    <w:rPr>
                      <w:szCs w:val="21"/>
                    </w:rPr>
                    <w:t>O</w:t>
                  </w:r>
                  <w:r>
                    <w:rPr>
                      <w:szCs w:val="21"/>
                      <w:vertAlign w:val="subscript"/>
                    </w:rPr>
                    <w:t>2</w:t>
                  </w:r>
                  <w:r>
                    <w:rPr>
                      <w:szCs w:val="21"/>
                    </w:rPr>
                    <w:t>：（ 0 ）t/a</w:t>
                  </w:r>
                </w:p>
              </w:tc>
              <w:tc>
                <w:tcPr>
                  <w:tcW w:w="918" w:type="pct"/>
                  <w:gridSpan w:val="5"/>
                  <w:vAlign w:val="center"/>
                </w:tcPr>
                <w:p>
                  <w:pPr>
                    <w:snapToGrid w:val="0"/>
                    <w:jc w:val="center"/>
                    <w:rPr>
                      <w:szCs w:val="21"/>
                    </w:rPr>
                  </w:pPr>
                  <w:r>
                    <w:rPr>
                      <w:szCs w:val="21"/>
                      <w:lang w:eastAsia="en-US"/>
                    </w:rPr>
                    <w:t>NO</w:t>
                  </w:r>
                  <w:r>
                    <w:rPr>
                      <w:szCs w:val="21"/>
                    </w:rPr>
                    <w:t>x：（</w:t>
                  </w:r>
                  <w:r>
                    <w:rPr>
                      <w:rFonts w:hint="eastAsia"/>
                      <w:szCs w:val="21"/>
                    </w:rPr>
                    <w:t>0</w:t>
                  </w:r>
                  <w:r>
                    <w:rPr>
                      <w:szCs w:val="21"/>
                    </w:rPr>
                    <w:t>）t/a</w:t>
                  </w:r>
                </w:p>
              </w:tc>
              <w:tc>
                <w:tcPr>
                  <w:tcW w:w="1163" w:type="pct"/>
                  <w:gridSpan w:val="7"/>
                  <w:vAlign w:val="center"/>
                </w:tcPr>
                <w:p>
                  <w:pPr>
                    <w:snapToGrid w:val="0"/>
                    <w:jc w:val="center"/>
                    <w:rPr>
                      <w:szCs w:val="21"/>
                    </w:rPr>
                  </w:pPr>
                  <w:r>
                    <w:rPr>
                      <w:szCs w:val="21"/>
                    </w:rPr>
                    <w:t>颗粒物：（</w:t>
                  </w:r>
                  <w:r>
                    <w:rPr>
                      <w:rFonts w:hint="eastAsia"/>
                      <w:szCs w:val="21"/>
                    </w:rPr>
                    <w:t>0</w:t>
                  </w:r>
                  <w:r>
                    <w:rPr>
                      <w:szCs w:val="21"/>
                    </w:rPr>
                    <w:t>）t/a</w:t>
                  </w:r>
                </w:p>
              </w:tc>
              <w:tc>
                <w:tcPr>
                  <w:tcW w:w="671" w:type="pct"/>
                  <w:gridSpan w:val="3"/>
                  <w:vAlign w:val="center"/>
                </w:tcPr>
                <w:p>
                  <w:pPr>
                    <w:snapToGrid w:val="0"/>
                    <w:jc w:val="center"/>
                    <w:rPr>
                      <w:szCs w:val="21"/>
                    </w:rPr>
                  </w:pPr>
                  <w:r>
                    <w:rPr>
                      <w:szCs w:val="21"/>
                      <w:lang w:eastAsia="en-US"/>
                    </w:rPr>
                    <w:t>VOC</w:t>
                  </w:r>
                  <w:r>
                    <w:rPr>
                      <w:szCs w:val="21"/>
                    </w:rPr>
                    <w:t>：（</w:t>
                  </w:r>
                  <w:r>
                    <w:rPr>
                      <w:rFonts w:hint="eastAsia"/>
                      <w:szCs w:val="21"/>
                    </w:rPr>
                    <w:t>0</w:t>
                  </w:r>
                  <w:r>
                    <w:rPr>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000" w:type="pct"/>
                  <w:gridSpan w:val="19"/>
                  <w:vAlign w:val="center"/>
                </w:tcPr>
                <w:p>
                  <w:pPr>
                    <w:snapToGrid w:val="0"/>
                    <w:jc w:val="left"/>
                    <w:rPr>
                      <w:szCs w:val="21"/>
                    </w:rPr>
                  </w:pPr>
                  <w:r>
                    <w:rPr>
                      <w:szCs w:val="21"/>
                    </w:rPr>
                    <w:t>注：“</w:t>
                  </w:r>
                  <w:r>
                    <w:rPr>
                      <w:szCs w:val="21"/>
                    </w:rPr>
                    <w:sym w:font="Wingdings 2" w:char="00A3"/>
                  </w:r>
                  <w:r>
                    <w:rPr>
                      <w:szCs w:val="21"/>
                    </w:rPr>
                    <w:t>” 为勾选项，填“√”；“（）”为内容填写项</w:t>
                  </w:r>
                </w:p>
              </w:tc>
            </w:tr>
          </w:tbl>
          <w:p>
            <w:pPr>
              <w:spacing w:line="360" w:lineRule="auto"/>
              <w:ind w:firstLine="482" w:firstLineChars="200"/>
              <w:rPr>
                <w:b/>
                <w:bCs/>
                <w:kern w:val="0"/>
                <w:sz w:val="24"/>
                <w:szCs w:val="24"/>
              </w:rPr>
            </w:pPr>
            <w:r>
              <w:rPr>
                <w:rFonts w:hint="eastAsia"/>
                <w:b/>
                <w:bCs/>
                <w:kern w:val="0"/>
                <w:sz w:val="24"/>
                <w:szCs w:val="24"/>
              </w:rPr>
              <w:t>二、</w:t>
            </w:r>
            <w:r>
              <w:rPr>
                <w:b/>
                <w:bCs/>
                <w:sz w:val="24"/>
                <w:szCs w:val="24"/>
              </w:rPr>
              <w:t>地表水环境影响分析</w:t>
            </w:r>
          </w:p>
          <w:p>
            <w:pPr>
              <w:pStyle w:val="95"/>
              <w:jc w:val="both"/>
              <w:rPr>
                <w:rFonts w:hint="eastAsia"/>
                <w:lang w:eastAsia="zh-CN"/>
              </w:rPr>
            </w:pPr>
            <w:r>
              <w:rPr>
                <w:rFonts w:hint="eastAsia"/>
              </w:rPr>
              <w:t>本次</w:t>
            </w:r>
            <w:r>
              <w:t>提标改造项目</w:t>
            </w:r>
            <w:r>
              <w:rPr>
                <w:rFonts w:hint="eastAsia"/>
              </w:rPr>
              <w:t>废水</w:t>
            </w:r>
            <w:r>
              <w:t>处理规模不变，仍为</w:t>
            </w:r>
            <w:r>
              <w:rPr>
                <w:rFonts w:hint="eastAsia"/>
                <w:lang w:val="en-US" w:eastAsia="zh-CN"/>
              </w:rPr>
              <w:t>2500</w:t>
            </w:r>
            <w:r>
              <w:t>m</w:t>
            </w:r>
            <w:r>
              <w:rPr>
                <w:vertAlign w:val="superscript"/>
              </w:rPr>
              <w:t>3</w:t>
            </w:r>
            <w:r>
              <w:t>/d</w:t>
            </w:r>
            <w:r>
              <w:rPr>
                <w:rFonts w:hint="eastAsia"/>
              </w:rPr>
              <w:t>，</w:t>
            </w:r>
            <w:r>
              <w:t>处理工艺采用“</w:t>
            </w:r>
            <w:r>
              <w:rPr>
                <w:rFonts w:hint="eastAsia"/>
                <w:lang w:eastAsia="zh-CN"/>
              </w:rPr>
              <w:t>预处理+好氧+除磷+粉末C吸附</w:t>
            </w:r>
            <w:r>
              <w:t>”。</w:t>
            </w:r>
            <w:r>
              <w:rPr>
                <w:rFonts w:hint="eastAsia"/>
              </w:rPr>
              <w:t xml:space="preserve"> 经处理后</w:t>
            </w:r>
            <w:r>
              <w:t>的出水水质为COD≤30mg/L</w:t>
            </w:r>
            <w:r>
              <w:rPr>
                <w:rFonts w:hint="eastAsia"/>
              </w:rPr>
              <w:t>、BOD</w:t>
            </w:r>
            <w:r>
              <w:rPr>
                <w:rFonts w:hint="eastAsia"/>
                <w:vertAlign w:val="subscript"/>
              </w:rPr>
              <w:t>5</w:t>
            </w:r>
            <w:r>
              <w:t>≤6mg/L</w:t>
            </w:r>
            <w:r>
              <w:rPr>
                <w:rFonts w:hint="eastAsia"/>
              </w:rPr>
              <w:t>、SS</w:t>
            </w:r>
            <w:r>
              <w:t>≤5mg/L</w:t>
            </w:r>
            <w:r>
              <w:rPr>
                <w:rFonts w:hint="eastAsia"/>
              </w:rPr>
              <w:t>、NH</w:t>
            </w:r>
            <w:r>
              <w:rPr>
                <w:rFonts w:hint="eastAsia"/>
                <w:vertAlign w:val="subscript"/>
              </w:rPr>
              <w:t>3</w:t>
            </w:r>
            <w:r>
              <w:rPr>
                <w:rFonts w:hint="eastAsia"/>
              </w:rPr>
              <w:t>-N</w:t>
            </w:r>
            <w:r>
              <w:t>≤1.5mg/L</w:t>
            </w:r>
            <w:r>
              <w:rPr>
                <w:rFonts w:hint="eastAsia"/>
              </w:rPr>
              <w:t>、TN</w:t>
            </w:r>
            <w:r>
              <w:t>≤15mg/L</w:t>
            </w:r>
            <w:r>
              <w:rPr>
                <w:rFonts w:hint="eastAsia"/>
              </w:rPr>
              <w:t>、TP</w:t>
            </w:r>
            <w:r>
              <w:t>≤0.3mg/L，</w:t>
            </w:r>
            <w:r>
              <w:rPr>
                <w:rFonts w:hint="eastAsia"/>
                <w:lang w:eastAsia="zh-CN"/>
              </w:rPr>
              <w:t>废水排入九支渠。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lang w:eastAsia="zh-CN"/>
              </w:rPr>
              <w:t>地表水评价等级依据</w:t>
            </w:r>
            <w:r>
              <w:rPr>
                <w:rFonts w:hint="default" w:ascii="Times New Roman" w:hAnsi="Times New Roman" w:eastAsia="宋体" w:cs="Times New Roman"/>
                <w:color w:val="auto"/>
                <w:sz w:val="24"/>
                <w:highlight w:val="none"/>
                <w:lang w:val="zh-CN"/>
              </w:rPr>
              <w:t>《环境影响评价技术导则·地表水环境》</w:t>
            </w:r>
            <w:r>
              <w:rPr>
                <w:rFonts w:hint="default" w:ascii="Times New Roman" w:hAnsi="Times New Roman" w:eastAsia="宋体" w:cs="Times New Roman"/>
                <w:color w:val="auto"/>
                <w:sz w:val="24"/>
                <w:szCs w:val="24"/>
                <w:highlight w:val="none"/>
              </w:rPr>
              <w:t>(HJ</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2.3-</w:t>
            </w:r>
            <w:r>
              <w:rPr>
                <w:rFonts w:hint="default" w:ascii="Times New Roman" w:hAnsi="Times New Roman" w:eastAsia="宋体" w:cs="Times New Roman"/>
                <w:color w:val="auto"/>
                <w:sz w:val="24"/>
                <w:szCs w:val="24"/>
                <w:highlight w:val="none"/>
                <w:lang w:val="en-US" w:eastAsia="zh-CN"/>
              </w:rPr>
              <w:t>2018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水污染影响型建设项目评价等级判定表确定，具体见表</w:t>
            </w:r>
            <w:r>
              <w:rPr>
                <w:rFonts w:hint="eastAsia"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highlight w:val="none"/>
                <w:lang w:val="en-US" w:eastAsia="zh-CN"/>
              </w:rPr>
              <w:t>31</w:t>
            </w:r>
            <w:r>
              <w:rPr>
                <w:rFonts w:hint="default" w:ascii="Times New Roman" w:hAnsi="Times New Roman" w:eastAsia="宋体" w:cs="Times New Roman"/>
                <w:b/>
                <w:bCs/>
                <w:color w:val="auto"/>
                <w:sz w:val="24"/>
                <w:szCs w:val="24"/>
                <w:lang w:eastAsia="zh-CN"/>
              </w:rPr>
              <w:t>水污染影响型建设项目评价等级判定表</w:t>
            </w:r>
          </w:p>
          <w:tbl>
            <w:tblPr>
              <w:tblStyle w:val="47"/>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11"/>
              <w:gridCol w:w="3123"/>
              <w:gridCol w:w="32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5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评价等级</w:t>
                  </w:r>
                </w:p>
              </w:tc>
              <w:tc>
                <w:tcPr>
                  <w:tcW w:w="3946" w:type="pct"/>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判定依据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10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c>
                <w:tcPr>
                  <w:tcW w:w="19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排放方式</w:t>
                  </w:r>
                </w:p>
              </w:tc>
              <w:tc>
                <w:tcPr>
                  <w:tcW w:w="202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废水排放量 Q /（m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水污染物当量数 W /（量纲一）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63" w:hRule="atLeast"/>
                <w:jc w:val="center"/>
              </w:trPr>
              <w:tc>
                <w:tcPr>
                  <w:tcW w:w="10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一级</w:t>
                  </w:r>
                </w:p>
              </w:tc>
              <w:tc>
                <w:tcPr>
                  <w:tcW w:w="1921"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直接排放</w:t>
                  </w:r>
                </w:p>
              </w:tc>
              <w:tc>
                <w:tcPr>
                  <w:tcW w:w="202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Q≥20000 或 W≥600000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jc w:val="center"/>
              </w:trPr>
              <w:tc>
                <w:tcPr>
                  <w:tcW w:w="10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二级</w:t>
                  </w:r>
                </w:p>
              </w:tc>
              <w:tc>
                <w:tcPr>
                  <w:tcW w:w="1921"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直接排放</w:t>
                  </w:r>
                </w:p>
              </w:tc>
              <w:tc>
                <w:tcPr>
                  <w:tcW w:w="202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jc w:val="center"/>
              </w:trPr>
              <w:tc>
                <w:tcPr>
                  <w:tcW w:w="10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三级</w:t>
                  </w:r>
                  <w:r>
                    <w:rPr>
                      <w:rFonts w:hint="default" w:ascii="Times New Roman" w:hAnsi="Times New Roman" w:eastAsia="宋体" w:cs="Times New Roman"/>
                      <w:color w:val="auto"/>
                      <w:sz w:val="21"/>
                      <w:szCs w:val="21"/>
                      <w:highlight w:val="none"/>
                      <w:lang w:val="en-US" w:eastAsia="zh-CN"/>
                    </w:rPr>
                    <w:t>A</w:t>
                  </w:r>
                </w:p>
              </w:tc>
              <w:tc>
                <w:tcPr>
                  <w:tcW w:w="1921"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直接排放</w:t>
                  </w:r>
                </w:p>
              </w:tc>
              <w:tc>
                <w:tcPr>
                  <w:tcW w:w="202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Q＜200 且 W＜6000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90" w:hRule="atLeast"/>
                <w:jc w:val="center"/>
              </w:trPr>
              <w:tc>
                <w:tcPr>
                  <w:tcW w:w="10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三级B</w:t>
                  </w:r>
                </w:p>
              </w:tc>
              <w:tc>
                <w:tcPr>
                  <w:tcW w:w="1921"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间接排放</w:t>
                  </w:r>
                </w:p>
              </w:tc>
              <w:tc>
                <w:tcPr>
                  <w:tcW w:w="202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widowControl/>
              <w:spacing w:line="500" w:lineRule="exact"/>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根据评价等级判定依据，本项目的地表水环境影响评价工作等级为二级。</w:t>
            </w:r>
          </w:p>
          <w:p>
            <w:pPr>
              <w:widowControl/>
              <w:spacing w:line="500" w:lineRule="exact"/>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②地表水评价范围</w:t>
            </w:r>
          </w:p>
          <w:p>
            <w:pPr>
              <w:widowControl/>
              <w:spacing w:line="500" w:lineRule="exact"/>
              <w:ind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地表水环境影响评价等级为二级，根据导则中的相关规定，确定本项目地表水评价范围为：项目在</w:t>
            </w:r>
            <w:r>
              <w:rPr>
                <w:rFonts w:hint="default" w:ascii="Times New Roman" w:hAnsi="Times New Roman" w:eastAsia="宋体" w:cs="Times New Roman"/>
                <w:color w:val="000000"/>
                <w:sz w:val="24"/>
                <w:highlight w:val="none"/>
                <w:lang w:eastAsia="zh-CN"/>
              </w:rPr>
              <w:t>九支渠</w:t>
            </w:r>
            <w:r>
              <w:rPr>
                <w:rFonts w:hint="default" w:ascii="Times New Roman" w:hAnsi="Times New Roman" w:eastAsia="宋体" w:cs="Times New Roman"/>
                <w:color w:val="000000"/>
                <w:sz w:val="24"/>
                <w:highlight w:val="none"/>
              </w:rPr>
              <w:t>排放口上游500m至下游1500m范围。</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③地表水环境影响评价</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A.预测范围</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本项目达标排放的尾水由排污专管引至</w:t>
            </w:r>
            <w:r>
              <w:rPr>
                <w:rFonts w:hint="default" w:ascii="Times New Roman" w:hAnsi="Times New Roman" w:eastAsia="宋体" w:cs="Times New Roman"/>
                <w:snapToGrid w:val="0"/>
                <w:color w:val="000000"/>
                <w:sz w:val="24"/>
                <w:highlight w:val="none"/>
                <w:lang w:eastAsia="zh-CN"/>
              </w:rPr>
              <w:t>九支渠</w:t>
            </w:r>
            <w:r>
              <w:rPr>
                <w:rFonts w:hint="default" w:ascii="Times New Roman" w:hAnsi="Times New Roman" w:eastAsia="宋体" w:cs="Times New Roman"/>
                <w:snapToGrid w:val="0"/>
                <w:color w:val="000000"/>
                <w:sz w:val="24"/>
                <w:highlight w:val="none"/>
              </w:rPr>
              <w:t>，将预测范围设定如下：</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项目在</w:t>
            </w:r>
            <w:r>
              <w:rPr>
                <w:rFonts w:hint="default" w:ascii="Times New Roman" w:hAnsi="Times New Roman" w:eastAsia="宋体" w:cs="Times New Roman"/>
                <w:snapToGrid w:val="0"/>
                <w:color w:val="000000"/>
                <w:sz w:val="24"/>
                <w:highlight w:val="none"/>
                <w:lang w:eastAsia="zh-CN"/>
              </w:rPr>
              <w:t>九支渠</w:t>
            </w:r>
            <w:r>
              <w:rPr>
                <w:rFonts w:hint="default" w:ascii="Times New Roman" w:hAnsi="Times New Roman" w:eastAsia="宋体" w:cs="Times New Roman"/>
                <w:snapToGrid w:val="0"/>
                <w:color w:val="000000"/>
                <w:sz w:val="24"/>
                <w:highlight w:val="none"/>
              </w:rPr>
              <w:t>排放口至下游1500m范围。</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B.预测因子</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根据</w:t>
            </w:r>
            <w:r>
              <w:rPr>
                <w:rFonts w:hint="default" w:ascii="Times New Roman" w:hAnsi="Times New Roman" w:eastAsia="宋体" w:cs="Times New Roman"/>
                <w:snapToGrid w:val="0"/>
                <w:color w:val="000000"/>
                <w:sz w:val="24"/>
                <w:highlight w:val="none"/>
                <w:lang w:eastAsia="zh-CN"/>
              </w:rPr>
              <w:t>受</w:t>
            </w:r>
            <w:r>
              <w:rPr>
                <w:rFonts w:hint="default" w:ascii="Times New Roman" w:hAnsi="Times New Roman" w:eastAsia="宋体" w:cs="Times New Roman"/>
                <w:snapToGrid w:val="0"/>
                <w:color w:val="000000"/>
                <w:sz w:val="24"/>
                <w:highlight w:val="none"/>
              </w:rPr>
              <w:t>纳污水域功能、水质现状特征，以及项目排污特征等因素，选取预测因子为：化学需氧量（COD</w:t>
            </w:r>
            <w:r>
              <w:rPr>
                <w:rFonts w:hint="default" w:ascii="Times New Roman" w:hAnsi="Times New Roman" w:eastAsia="宋体" w:cs="Times New Roman"/>
                <w:snapToGrid w:val="0"/>
                <w:color w:val="000000"/>
                <w:sz w:val="24"/>
                <w:highlight w:val="none"/>
                <w:vertAlign w:val="subscript"/>
              </w:rPr>
              <w:t>Cr</w:t>
            </w:r>
            <w:r>
              <w:rPr>
                <w:rFonts w:hint="default" w:ascii="Times New Roman" w:hAnsi="Times New Roman" w:eastAsia="宋体" w:cs="Times New Roman"/>
                <w:snapToGrid w:val="0"/>
                <w:color w:val="000000"/>
                <w:sz w:val="24"/>
                <w:highlight w:val="none"/>
              </w:rPr>
              <w:t>）和氨氮（NH</w:t>
            </w:r>
            <w:r>
              <w:rPr>
                <w:rFonts w:hint="default" w:ascii="Times New Roman" w:hAnsi="Times New Roman" w:eastAsia="宋体" w:cs="Times New Roman"/>
                <w:snapToGrid w:val="0"/>
                <w:color w:val="000000"/>
                <w:sz w:val="24"/>
                <w:highlight w:val="none"/>
                <w:vertAlign w:val="subscript"/>
              </w:rPr>
              <w:t>3</w:t>
            </w:r>
            <w:r>
              <w:rPr>
                <w:rFonts w:hint="default" w:ascii="Times New Roman" w:hAnsi="Times New Roman" w:eastAsia="宋体" w:cs="Times New Roman"/>
                <w:snapToGrid w:val="0"/>
                <w:color w:val="000000"/>
                <w:sz w:val="24"/>
                <w:highlight w:val="none"/>
              </w:rPr>
              <w:t>-N）。</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C.预测内容</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本次地表水影响评价工作等级为二级，根据导则要求，本报告分别预测正常排放条件与事故排放条件下对</w:t>
            </w:r>
            <w:r>
              <w:rPr>
                <w:rFonts w:hint="default" w:ascii="Times New Roman" w:hAnsi="Times New Roman" w:eastAsia="宋体" w:cs="Times New Roman"/>
                <w:snapToGrid w:val="0"/>
                <w:color w:val="000000"/>
                <w:sz w:val="24"/>
                <w:highlight w:val="none"/>
                <w:lang w:eastAsia="zh-CN"/>
              </w:rPr>
              <w:t>九支渠</w:t>
            </w:r>
            <w:r>
              <w:rPr>
                <w:rFonts w:hint="default" w:ascii="Times New Roman" w:hAnsi="Times New Roman" w:eastAsia="宋体" w:cs="Times New Roman"/>
                <w:snapToGrid w:val="0"/>
                <w:color w:val="000000"/>
                <w:sz w:val="24"/>
                <w:highlight w:val="none"/>
              </w:rPr>
              <w:t>水质的影响。</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D.预测模式选取</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点源排放出的污染物在河流中的混合过程一般可分为三个阶段：垂直混合段、混合过程段和充分混合段。垂直混合段过程很短，一般不考虑。混合过程段是污染物在河流的横向上逐渐展开的阶段，这一段河流在横向上各点有不同的浓度值，因此需要计算二维浓度分布。当某一段面上任意点的浓度与断面平均浓度之差小于平均浓度的5%时，认为已完成横向混合，这之后的河段就称为充分混合段。充分混合段在横向上浓度已基本相同，因此只需计算段面平均浓度，根据《环境影响评价技术导则—地表水》（HJ2.3-2018），选取纵向一维数学模型。</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a混合过程段长度估算公式</w:t>
            </w:r>
          </w:p>
          <w:p>
            <w:pPr>
              <w:spacing w:line="480" w:lineRule="atLeast"/>
              <w:ind w:firstLine="480" w:firstLineChars="200"/>
              <w:rPr>
                <w:rFonts w:hint="default" w:ascii="Times New Roman" w:hAnsi="Times New Roman" w:eastAsia="宋体" w:cs="Times New Roman"/>
                <w:snapToGrid w:val="0"/>
                <w:color w:val="000000"/>
                <w:sz w:val="24"/>
                <w:highlight w:val="yellow"/>
              </w:rPr>
            </w:pPr>
            <w:r>
              <w:rPr>
                <w:rFonts w:hint="default" w:ascii="Times New Roman" w:hAnsi="Times New Roman" w:eastAsia="宋体" w:cs="Times New Roman"/>
                <w:snapToGrid w:val="0"/>
                <w:color w:val="000000"/>
                <w:sz w:val="24"/>
                <w:highlight w:val="none"/>
              </w:rPr>
              <w:drawing>
                <wp:inline distT="0" distB="0" distL="114300" distR="114300">
                  <wp:extent cx="3837940" cy="1047750"/>
                  <wp:effectExtent l="0" t="0" r="1016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8"/>
                          <a:stretch>
                            <a:fillRect/>
                          </a:stretch>
                        </pic:blipFill>
                        <pic:spPr>
                          <a:xfrm>
                            <a:off x="0" y="0"/>
                            <a:ext cx="3837940" cy="1047750"/>
                          </a:xfrm>
                          <a:prstGeom prst="rect">
                            <a:avLst/>
                          </a:prstGeom>
                          <a:noFill/>
                          <a:ln>
                            <a:noFill/>
                          </a:ln>
                        </pic:spPr>
                      </pic:pic>
                    </a:graphicData>
                  </a:graphic>
                </wp:inline>
              </w:drawing>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式中：L</w:t>
            </w:r>
            <w:r>
              <w:rPr>
                <w:rFonts w:hint="default" w:ascii="Times New Roman" w:hAnsi="Times New Roman" w:eastAsia="宋体" w:cs="Times New Roman"/>
                <w:snapToGrid w:val="0"/>
                <w:color w:val="000000"/>
                <w:sz w:val="24"/>
                <w:highlight w:val="none"/>
                <w:vertAlign w:val="subscript"/>
              </w:rPr>
              <w:t>m</w:t>
            </w:r>
            <w:r>
              <w:rPr>
                <w:rFonts w:hint="default" w:ascii="Times New Roman" w:hAnsi="Times New Roman" w:eastAsia="宋体" w:cs="Times New Roman"/>
                <w:snapToGrid w:val="0"/>
                <w:color w:val="000000"/>
                <w:sz w:val="24"/>
                <w:highlight w:val="none"/>
              </w:rPr>
              <w:t>—混合段长度，m；</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B—水面宽度，m；</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a—排放口到岸边的距离，m；</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u—断面流速，m/s；</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E</w:t>
            </w:r>
            <w:r>
              <w:rPr>
                <w:rFonts w:hint="default" w:ascii="Times New Roman" w:hAnsi="Times New Roman" w:eastAsia="宋体" w:cs="Times New Roman"/>
                <w:snapToGrid w:val="0"/>
                <w:color w:val="000000"/>
                <w:sz w:val="24"/>
                <w:highlight w:val="none"/>
                <w:vertAlign w:val="subscript"/>
              </w:rPr>
              <w:t>y</w:t>
            </w:r>
            <w:r>
              <w:rPr>
                <w:rFonts w:hint="default" w:ascii="Times New Roman" w:hAnsi="Times New Roman" w:eastAsia="宋体" w:cs="Times New Roman"/>
                <w:snapToGrid w:val="0"/>
                <w:color w:val="000000"/>
                <w:sz w:val="24"/>
                <w:highlight w:val="none"/>
              </w:rPr>
              <w:t>—污染物横向扩散系数，m</w:t>
            </w:r>
            <w:r>
              <w:rPr>
                <w:rFonts w:hint="default" w:ascii="Times New Roman" w:hAnsi="Times New Roman" w:eastAsia="宋体" w:cs="Times New Roman"/>
                <w:snapToGrid w:val="0"/>
                <w:color w:val="000000"/>
                <w:sz w:val="24"/>
                <w:highlight w:val="none"/>
                <w:vertAlign w:val="superscript"/>
              </w:rPr>
              <w:t>2</w:t>
            </w:r>
            <w:r>
              <w:rPr>
                <w:rFonts w:hint="default" w:ascii="Times New Roman" w:hAnsi="Times New Roman" w:eastAsia="宋体" w:cs="Times New Roman"/>
                <w:snapToGrid w:val="0"/>
                <w:color w:val="000000"/>
                <w:sz w:val="24"/>
                <w:highlight w:val="none"/>
              </w:rPr>
              <w:t>/s。</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b河流纵向一维水质模型</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根据河流纵向一维水质模型方程的简化、分类判别条件（即O′Connor数α和贝克来数Pe的临界值），选择相应的解析解公式。</w:t>
            </w:r>
          </w:p>
          <w:p>
            <w:pPr>
              <w:spacing w:line="480" w:lineRule="atLeast"/>
              <w:ind w:firstLine="480" w:firstLineChars="200"/>
              <w:rPr>
                <w:rFonts w:hint="default" w:ascii="Times New Roman" w:hAnsi="Times New Roman" w:eastAsia="宋体" w:cs="Times New Roman"/>
                <w:snapToGrid w:val="0"/>
                <w:color w:val="000000"/>
                <w:sz w:val="24"/>
                <w:highlight w:val="yellow"/>
              </w:rPr>
            </w:pPr>
            <w:r>
              <w:rPr>
                <w:rFonts w:hint="default" w:ascii="Times New Roman" w:hAnsi="Times New Roman" w:eastAsia="宋体" w:cs="Times New Roman"/>
                <w:snapToGrid w:val="0"/>
                <w:color w:val="000000"/>
                <w:sz w:val="24"/>
                <w:highlight w:val="none"/>
              </w:rPr>
              <w:drawing>
                <wp:inline distT="0" distB="0" distL="114300" distR="114300">
                  <wp:extent cx="1000125" cy="1466850"/>
                  <wp:effectExtent l="0" t="0" r="952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9"/>
                          <a:stretch>
                            <a:fillRect/>
                          </a:stretch>
                        </pic:blipFill>
                        <pic:spPr>
                          <a:xfrm>
                            <a:off x="0" y="0"/>
                            <a:ext cx="1000125" cy="1466850"/>
                          </a:xfrm>
                          <a:prstGeom prst="rect">
                            <a:avLst/>
                          </a:prstGeom>
                          <a:noFill/>
                          <a:ln>
                            <a:noFill/>
                          </a:ln>
                        </pic:spPr>
                      </pic:pic>
                    </a:graphicData>
                  </a:graphic>
                </wp:inline>
              </w:drawing>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式中：α—O′Connor数，量纲为1，表征物质离散降解通量与移流通量比值；</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k—污染物综合衰减系数，l/s；</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E</w:t>
            </w:r>
            <w:r>
              <w:rPr>
                <w:rFonts w:hint="default" w:ascii="Times New Roman" w:hAnsi="Times New Roman" w:eastAsia="宋体" w:cs="Times New Roman"/>
                <w:snapToGrid w:val="0"/>
                <w:color w:val="000000"/>
                <w:sz w:val="24"/>
                <w:highlight w:val="none"/>
                <w:vertAlign w:val="subscript"/>
              </w:rPr>
              <w:t>x</w:t>
            </w:r>
            <w:r>
              <w:rPr>
                <w:rFonts w:hint="default" w:ascii="Times New Roman" w:hAnsi="Times New Roman" w:eastAsia="宋体" w:cs="Times New Roman"/>
                <w:snapToGrid w:val="0"/>
                <w:color w:val="000000"/>
                <w:sz w:val="24"/>
                <w:highlight w:val="none"/>
              </w:rPr>
              <w:t>—污染物纵向扩散系数，m</w:t>
            </w:r>
            <w:r>
              <w:rPr>
                <w:rFonts w:hint="default" w:ascii="Times New Roman" w:hAnsi="Times New Roman" w:eastAsia="宋体" w:cs="Times New Roman"/>
                <w:snapToGrid w:val="0"/>
                <w:color w:val="000000"/>
                <w:sz w:val="24"/>
                <w:highlight w:val="none"/>
                <w:vertAlign w:val="superscript"/>
              </w:rPr>
              <w:t>2</w:t>
            </w:r>
            <w:r>
              <w:rPr>
                <w:rFonts w:hint="default" w:ascii="Times New Roman" w:hAnsi="Times New Roman" w:eastAsia="宋体" w:cs="Times New Roman"/>
                <w:snapToGrid w:val="0"/>
                <w:color w:val="000000"/>
                <w:sz w:val="24"/>
                <w:highlight w:val="none"/>
              </w:rPr>
              <w:t>/s。</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Pe—贝克来数，量纲为1，表征物质移流通量与离散通量比值；</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B—水面宽度，m；</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u—断面流速，m/s；</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当α≤0.027、Pe≥1时，适用对流降解模型：</w:t>
            </w:r>
          </w:p>
          <w:p>
            <w:pPr>
              <w:spacing w:line="480" w:lineRule="atLeast"/>
              <w:ind w:firstLine="480" w:firstLineChars="200"/>
              <w:rPr>
                <w:rFonts w:hint="default" w:ascii="Times New Roman" w:hAnsi="Times New Roman" w:eastAsia="宋体" w:cs="Times New Roman"/>
                <w:snapToGrid w:val="0"/>
                <w:color w:val="000000"/>
                <w:sz w:val="24"/>
                <w:highlight w:val="yellow"/>
              </w:rPr>
            </w:pPr>
            <w:r>
              <w:rPr>
                <w:rFonts w:hint="default" w:ascii="Times New Roman" w:hAnsi="Times New Roman" w:eastAsia="宋体" w:cs="Times New Roman"/>
                <w:snapToGrid w:val="0"/>
                <w:color w:val="000000"/>
                <w:sz w:val="24"/>
                <w:highlight w:val="none"/>
              </w:rPr>
              <w:drawing>
                <wp:inline distT="0" distB="0" distL="114300" distR="114300">
                  <wp:extent cx="2419350" cy="74295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0"/>
                          <a:stretch>
                            <a:fillRect/>
                          </a:stretch>
                        </pic:blipFill>
                        <pic:spPr>
                          <a:xfrm>
                            <a:off x="0" y="0"/>
                            <a:ext cx="2419350" cy="742950"/>
                          </a:xfrm>
                          <a:prstGeom prst="rect">
                            <a:avLst/>
                          </a:prstGeom>
                          <a:noFill/>
                          <a:ln>
                            <a:noFill/>
                          </a:ln>
                        </pic:spPr>
                      </pic:pic>
                    </a:graphicData>
                  </a:graphic>
                </wp:inline>
              </w:drawing>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当α≤0.027、Pe＜1时，适用对流扩散降解简化模型：</w:t>
            </w:r>
          </w:p>
          <w:p>
            <w:pPr>
              <w:spacing w:line="480" w:lineRule="atLeast"/>
              <w:ind w:firstLine="480" w:firstLineChars="200"/>
              <w:rPr>
                <w:rFonts w:hint="default" w:ascii="Times New Roman" w:hAnsi="Times New Roman" w:eastAsia="宋体" w:cs="Times New Roman"/>
                <w:snapToGrid w:val="0"/>
                <w:color w:val="000000"/>
                <w:sz w:val="24"/>
                <w:highlight w:val="yellow"/>
              </w:rPr>
            </w:pPr>
            <w:r>
              <w:rPr>
                <w:rFonts w:hint="default" w:ascii="Times New Roman" w:hAnsi="Times New Roman" w:eastAsia="宋体" w:cs="Times New Roman"/>
                <w:snapToGrid w:val="0"/>
                <w:color w:val="000000"/>
                <w:sz w:val="24"/>
                <w:highlight w:val="none"/>
              </w:rPr>
              <w:drawing>
                <wp:inline distT="0" distB="0" distL="114300" distR="114300">
                  <wp:extent cx="2628265" cy="1933575"/>
                  <wp:effectExtent l="0" t="0" r="635"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1"/>
                          <a:stretch>
                            <a:fillRect/>
                          </a:stretch>
                        </pic:blipFill>
                        <pic:spPr>
                          <a:xfrm>
                            <a:off x="0" y="0"/>
                            <a:ext cx="2628265" cy="1933575"/>
                          </a:xfrm>
                          <a:prstGeom prst="rect">
                            <a:avLst/>
                          </a:prstGeom>
                          <a:noFill/>
                          <a:ln>
                            <a:noFill/>
                          </a:ln>
                        </pic:spPr>
                      </pic:pic>
                    </a:graphicData>
                  </a:graphic>
                </wp:inline>
              </w:drawing>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当0.027＜α≤380时，适用对流扩散降解模型：</w:t>
            </w:r>
          </w:p>
          <w:p>
            <w:pPr>
              <w:spacing w:line="480" w:lineRule="atLeast"/>
              <w:ind w:firstLine="480" w:firstLineChars="200"/>
              <w:rPr>
                <w:rFonts w:hint="default" w:ascii="Times New Roman" w:hAnsi="Times New Roman" w:eastAsia="宋体" w:cs="Times New Roman"/>
                <w:snapToGrid w:val="0"/>
                <w:color w:val="000000"/>
                <w:sz w:val="24"/>
                <w:highlight w:val="yellow"/>
              </w:rPr>
            </w:pPr>
            <w:r>
              <w:rPr>
                <w:rFonts w:hint="default" w:ascii="Times New Roman" w:hAnsi="Times New Roman" w:eastAsia="宋体" w:cs="Times New Roman"/>
                <w:snapToGrid w:val="0"/>
                <w:color w:val="000000"/>
                <w:sz w:val="24"/>
                <w:highlight w:val="none"/>
              </w:rPr>
              <w:drawing>
                <wp:inline distT="0" distB="0" distL="114300" distR="114300">
                  <wp:extent cx="3485515" cy="2000250"/>
                  <wp:effectExtent l="0" t="0" r="635"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2"/>
                          <a:stretch>
                            <a:fillRect/>
                          </a:stretch>
                        </pic:blipFill>
                        <pic:spPr>
                          <a:xfrm>
                            <a:off x="0" y="0"/>
                            <a:ext cx="3485515" cy="2000250"/>
                          </a:xfrm>
                          <a:prstGeom prst="rect">
                            <a:avLst/>
                          </a:prstGeom>
                          <a:noFill/>
                          <a:ln>
                            <a:noFill/>
                          </a:ln>
                        </pic:spPr>
                      </pic:pic>
                    </a:graphicData>
                  </a:graphic>
                </wp:inline>
              </w:drawing>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当α＞380时，适用扩散降解模型：</w:t>
            </w:r>
          </w:p>
          <w:p>
            <w:pPr>
              <w:spacing w:line="480" w:lineRule="atLeast"/>
              <w:ind w:firstLine="480" w:firstLineChars="200"/>
              <w:rPr>
                <w:rFonts w:hint="default" w:ascii="Times New Roman" w:hAnsi="Times New Roman" w:eastAsia="宋体" w:cs="Times New Roman"/>
                <w:snapToGrid w:val="0"/>
                <w:color w:val="000000"/>
                <w:sz w:val="24"/>
                <w:highlight w:val="yellow"/>
              </w:rPr>
            </w:pPr>
            <w:r>
              <w:rPr>
                <w:rFonts w:hint="default" w:ascii="Times New Roman" w:hAnsi="Times New Roman" w:eastAsia="宋体" w:cs="Times New Roman"/>
                <w:snapToGrid w:val="0"/>
                <w:color w:val="000000"/>
                <w:sz w:val="24"/>
                <w:highlight w:val="none"/>
              </w:rPr>
              <w:drawing>
                <wp:inline distT="0" distB="0" distL="114300" distR="114300">
                  <wp:extent cx="2790190" cy="2552065"/>
                  <wp:effectExtent l="0" t="0" r="10160" b="63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23"/>
                          <a:stretch>
                            <a:fillRect/>
                          </a:stretch>
                        </pic:blipFill>
                        <pic:spPr>
                          <a:xfrm>
                            <a:off x="0" y="0"/>
                            <a:ext cx="2790190" cy="2552065"/>
                          </a:xfrm>
                          <a:prstGeom prst="rect">
                            <a:avLst/>
                          </a:prstGeom>
                          <a:noFill/>
                          <a:ln>
                            <a:noFill/>
                          </a:ln>
                        </pic:spPr>
                      </pic:pic>
                    </a:graphicData>
                  </a:graphic>
                </wp:inline>
              </w:drawing>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式中：α—O′Connor数，量纲为1，表征物质离散降解通量与移流通量比值；</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Pe—贝克来数，量纲为1，表征物质移流通量与离散通量比值；</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C</w:t>
            </w:r>
            <w:r>
              <w:rPr>
                <w:rFonts w:hint="default" w:ascii="Times New Roman" w:hAnsi="Times New Roman" w:eastAsia="宋体" w:cs="Times New Roman"/>
                <w:snapToGrid w:val="0"/>
                <w:color w:val="000000"/>
                <w:sz w:val="24"/>
                <w:highlight w:val="none"/>
                <w:vertAlign w:val="subscript"/>
              </w:rPr>
              <w:t>0</w:t>
            </w:r>
            <w:r>
              <w:rPr>
                <w:rFonts w:hint="default" w:ascii="Times New Roman" w:hAnsi="Times New Roman" w:eastAsia="宋体" w:cs="Times New Roman"/>
                <w:snapToGrid w:val="0"/>
                <w:color w:val="000000"/>
                <w:sz w:val="24"/>
                <w:highlight w:val="none"/>
              </w:rPr>
              <w:t>—河流排放口初始断面混合浓度，mg/L；</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x—河流沿程坐标，m。x=0指排放口处，x＞0指排放口下游段，x＜0指排放口上游段；</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k—污染物综合衰减系数，l/s；</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E</w:t>
            </w:r>
            <w:r>
              <w:rPr>
                <w:rFonts w:hint="default" w:ascii="Times New Roman" w:hAnsi="Times New Roman" w:eastAsia="宋体" w:cs="Times New Roman"/>
                <w:snapToGrid w:val="0"/>
                <w:color w:val="000000"/>
                <w:sz w:val="24"/>
                <w:highlight w:val="none"/>
                <w:vertAlign w:val="subscript"/>
              </w:rPr>
              <w:t>x</w:t>
            </w:r>
            <w:r>
              <w:rPr>
                <w:rFonts w:hint="default" w:ascii="Times New Roman" w:hAnsi="Times New Roman" w:eastAsia="宋体" w:cs="Times New Roman"/>
                <w:snapToGrid w:val="0"/>
                <w:color w:val="000000"/>
                <w:sz w:val="24"/>
                <w:highlight w:val="none"/>
              </w:rPr>
              <w:t>—污染物纵向扩散系数，m</w:t>
            </w:r>
            <w:r>
              <w:rPr>
                <w:rFonts w:hint="default" w:ascii="Times New Roman" w:hAnsi="Times New Roman" w:eastAsia="宋体" w:cs="Times New Roman"/>
                <w:snapToGrid w:val="0"/>
                <w:color w:val="000000"/>
                <w:sz w:val="24"/>
                <w:highlight w:val="none"/>
                <w:vertAlign w:val="superscript"/>
              </w:rPr>
              <w:t>2</w:t>
            </w:r>
            <w:r>
              <w:rPr>
                <w:rFonts w:hint="default" w:ascii="Times New Roman" w:hAnsi="Times New Roman" w:eastAsia="宋体" w:cs="Times New Roman"/>
                <w:snapToGrid w:val="0"/>
                <w:color w:val="000000"/>
                <w:sz w:val="24"/>
                <w:highlight w:val="none"/>
              </w:rPr>
              <w:t>/s；</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C</w:t>
            </w:r>
            <w:r>
              <w:rPr>
                <w:rFonts w:hint="default" w:ascii="Times New Roman" w:hAnsi="Times New Roman" w:eastAsia="宋体" w:cs="Times New Roman"/>
                <w:snapToGrid w:val="0"/>
                <w:color w:val="000000"/>
                <w:sz w:val="24"/>
                <w:highlight w:val="none"/>
                <w:vertAlign w:val="subscript"/>
              </w:rPr>
              <w:t>P</w:t>
            </w:r>
            <w:r>
              <w:rPr>
                <w:rFonts w:hint="default" w:ascii="Times New Roman" w:hAnsi="Times New Roman" w:eastAsia="宋体" w:cs="Times New Roman"/>
                <w:snapToGrid w:val="0"/>
                <w:color w:val="000000"/>
                <w:sz w:val="24"/>
                <w:highlight w:val="none"/>
              </w:rPr>
              <w:t>—污染物排放浓度，mg/L；</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Q</w:t>
            </w:r>
            <w:r>
              <w:rPr>
                <w:rFonts w:hint="default" w:ascii="Times New Roman" w:hAnsi="Times New Roman" w:eastAsia="宋体" w:cs="Times New Roman"/>
                <w:snapToGrid w:val="0"/>
                <w:color w:val="000000"/>
                <w:sz w:val="24"/>
                <w:highlight w:val="none"/>
                <w:vertAlign w:val="subscript"/>
              </w:rPr>
              <w:t>P</w:t>
            </w:r>
            <w:r>
              <w:rPr>
                <w:rFonts w:hint="default" w:ascii="Times New Roman" w:hAnsi="Times New Roman" w:eastAsia="宋体" w:cs="Times New Roman"/>
                <w:snapToGrid w:val="0"/>
                <w:color w:val="000000"/>
                <w:sz w:val="24"/>
                <w:highlight w:val="none"/>
              </w:rPr>
              <w:t>—污水排放量，m</w:t>
            </w:r>
            <w:r>
              <w:rPr>
                <w:rFonts w:hint="default" w:ascii="Times New Roman" w:hAnsi="Times New Roman" w:eastAsia="宋体" w:cs="Times New Roman"/>
                <w:snapToGrid w:val="0"/>
                <w:color w:val="000000"/>
                <w:sz w:val="24"/>
                <w:highlight w:val="none"/>
                <w:vertAlign w:val="superscript"/>
              </w:rPr>
              <w:t>3</w:t>
            </w:r>
            <w:r>
              <w:rPr>
                <w:rFonts w:hint="default" w:ascii="Times New Roman" w:hAnsi="Times New Roman" w:eastAsia="宋体" w:cs="Times New Roman"/>
                <w:snapToGrid w:val="0"/>
                <w:color w:val="000000"/>
                <w:sz w:val="24"/>
                <w:highlight w:val="none"/>
              </w:rPr>
              <w:t>/s；</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C</w:t>
            </w:r>
            <w:r>
              <w:rPr>
                <w:rFonts w:hint="default" w:ascii="Times New Roman" w:hAnsi="Times New Roman" w:eastAsia="宋体" w:cs="Times New Roman"/>
                <w:snapToGrid w:val="0"/>
                <w:color w:val="000000"/>
                <w:sz w:val="24"/>
                <w:highlight w:val="none"/>
                <w:vertAlign w:val="subscript"/>
              </w:rPr>
              <w:t>h</w:t>
            </w:r>
            <w:r>
              <w:rPr>
                <w:rFonts w:hint="default" w:ascii="Times New Roman" w:hAnsi="Times New Roman" w:eastAsia="宋体" w:cs="Times New Roman"/>
                <w:snapToGrid w:val="0"/>
                <w:color w:val="000000"/>
                <w:sz w:val="24"/>
                <w:highlight w:val="none"/>
              </w:rPr>
              <w:t>—河流上游污染物浓度，mg/L；</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Q</w:t>
            </w:r>
            <w:r>
              <w:rPr>
                <w:rFonts w:hint="default" w:ascii="Times New Roman" w:hAnsi="Times New Roman" w:eastAsia="宋体" w:cs="Times New Roman"/>
                <w:snapToGrid w:val="0"/>
                <w:color w:val="000000"/>
                <w:sz w:val="24"/>
                <w:highlight w:val="none"/>
                <w:vertAlign w:val="subscript"/>
              </w:rPr>
              <w:t>h</w:t>
            </w:r>
            <w:r>
              <w:rPr>
                <w:rFonts w:hint="default" w:ascii="Times New Roman" w:hAnsi="Times New Roman" w:eastAsia="宋体" w:cs="Times New Roman"/>
                <w:snapToGrid w:val="0"/>
                <w:color w:val="000000"/>
                <w:sz w:val="24"/>
                <w:highlight w:val="none"/>
              </w:rPr>
              <w:t>—河流流量，m</w:t>
            </w:r>
            <w:r>
              <w:rPr>
                <w:rFonts w:hint="default" w:ascii="Times New Roman" w:hAnsi="Times New Roman" w:eastAsia="宋体" w:cs="Times New Roman"/>
                <w:snapToGrid w:val="0"/>
                <w:color w:val="000000"/>
                <w:sz w:val="24"/>
                <w:highlight w:val="none"/>
                <w:vertAlign w:val="superscript"/>
              </w:rPr>
              <w:t>3</w:t>
            </w:r>
            <w:r>
              <w:rPr>
                <w:rFonts w:hint="default" w:ascii="Times New Roman" w:hAnsi="Times New Roman" w:eastAsia="宋体" w:cs="Times New Roman"/>
                <w:snapToGrid w:val="0"/>
                <w:color w:val="000000"/>
                <w:sz w:val="24"/>
                <w:highlight w:val="none"/>
              </w:rPr>
              <w:t>/s；</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 xml:space="preserve">      A—断面面积，m</w:t>
            </w:r>
            <w:r>
              <w:rPr>
                <w:rFonts w:hint="default" w:ascii="Times New Roman" w:hAnsi="Times New Roman" w:eastAsia="宋体" w:cs="Times New Roman"/>
                <w:snapToGrid w:val="0"/>
                <w:color w:val="000000"/>
                <w:sz w:val="24"/>
                <w:highlight w:val="none"/>
                <w:vertAlign w:val="superscript"/>
              </w:rPr>
              <w:t>2</w:t>
            </w:r>
            <w:r>
              <w:rPr>
                <w:rFonts w:hint="default" w:ascii="Times New Roman" w:hAnsi="Times New Roman" w:eastAsia="宋体" w:cs="Times New Roman"/>
                <w:snapToGrid w:val="0"/>
                <w:color w:val="000000"/>
                <w:sz w:val="24"/>
                <w:highlight w:val="none"/>
              </w:rPr>
              <w:t>。</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e预测影响分析</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I、预测源强</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项目正常工况的污水流量为</w:t>
            </w:r>
            <w:r>
              <w:rPr>
                <w:rFonts w:hint="eastAsia" w:ascii="Times New Roman" w:hAnsi="Times New Roman" w:eastAsia="宋体" w:cs="Times New Roman"/>
                <w:snapToGrid w:val="0"/>
                <w:color w:val="000000"/>
                <w:sz w:val="24"/>
                <w:highlight w:val="none"/>
                <w:lang w:val="en-US" w:eastAsia="zh-CN"/>
              </w:rPr>
              <w:t>2791.31</w:t>
            </w:r>
            <w:r>
              <w:rPr>
                <w:rFonts w:hint="default" w:ascii="Times New Roman" w:hAnsi="Times New Roman" w:eastAsia="宋体" w:cs="Times New Roman"/>
                <w:snapToGrid w:val="0"/>
                <w:color w:val="000000"/>
                <w:sz w:val="24"/>
                <w:highlight w:val="none"/>
              </w:rPr>
              <w:t>m</w:t>
            </w:r>
            <w:r>
              <w:rPr>
                <w:rFonts w:hint="default" w:ascii="Times New Roman" w:hAnsi="Times New Roman" w:eastAsia="宋体" w:cs="Times New Roman"/>
                <w:snapToGrid w:val="0"/>
                <w:color w:val="000000"/>
                <w:sz w:val="24"/>
                <w:highlight w:val="none"/>
                <w:vertAlign w:val="superscript"/>
              </w:rPr>
              <w:t>3</w:t>
            </w:r>
            <w:r>
              <w:rPr>
                <w:rFonts w:hint="default" w:ascii="Times New Roman" w:hAnsi="Times New Roman" w:eastAsia="宋体" w:cs="Times New Roman"/>
                <w:snapToGrid w:val="0"/>
                <w:color w:val="000000"/>
                <w:sz w:val="24"/>
                <w:highlight w:val="none"/>
              </w:rPr>
              <w:t>/d（</w:t>
            </w:r>
            <w:r>
              <w:rPr>
                <w:rFonts w:hint="eastAsia" w:ascii="Times New Roman" w:hAnsi="Times New Roman" w:eastAsia="宋体" w:cs="Times New Roman"/>
                <w:snapToGrid w:val="0"/>
                <w:color w:val="000000"/>
                <w:sz w:val="24"/>
                <w:highlight w:val="none"/>
                <w:lang w:val="en-US" w:eastAsia="zh-CN"/>
              </w:rPr>
              <w:t>9.69</w:t>
            </w:r>
            <w:r>
              <w:rPr>
                <w:rFonts w:hint="default" w:ascii="Times New Roman" w:hAnsi="Times New Roman" w:eastAsia="宋体" w:cs="Times New Roman"/>
                <w:snapToGrid w:val="0"/>
                <w:color w:val="000000"/>
                <w:sz w:val="24"/>
                <w:highlight w:val="none"/>
              </w:rPr>
              <w:t>m</w:t>
            </w:r>
            <w:r>
              <w:rPr>
                <w:rFonts w:hint="default" w:ascii="Times New Roman" w:hAnsi="Times New Roman" w:eastAsia="宋体" w:cs="Times New Roman"/>
                <w:snapToGrid w:val="0"/>
                <w:color w:val="000000"/>
                <w:sz w:val="24"/>
                <w:highlight w:val="none"/>
                <w:vertAlign w:val="superscript"/>
              </w:rPr>
              <w:t>3</w:t>
            </w:r>
            <w:r>
              <w:rPr>
                <w:rFonts w:hint="default" w:ascii="Times New Roman" w:hAnsi="Times New Roman" w:eastAsia="宋体" w:cs="Times New Roman"/>
                <w:snapToGrid w:val="0"/>
                <w:color w:val="000000"/>
                <w:sz w:val="24"/>
                <w:highlight w:val="none"/>
              </w:rPr>
              <w:t>/s），正常工况下COD</w:t>
            </w:r>
            <w:r>
              <w:rPr>
                <w:rFonts w:hint="default" w:ascii="Times New Roman" w:hAnsi="Times New Roman" w:eastAsia="宋体" w:cs="Times New Roman"/>
                <w:snapToGrid w:val="0"/>
                <w:color w:val="000000"/>
                <w:sz w:val="24"/>
                <w:highlight w:val="none"/>
                <w:vertAlign w:val="subscript"/>
              </w:rPr>
              <w:t>Cr</w:t>
            </w:r>
            <w:r>
              <w:rPr>
                <w:rFonts w:hint="default" w:ascii="Times New Roman" w:hAnsi="Times New Roman" w:eastAsia="宋体" w:cs="Times New Roman"/>
                <w:snapToGrid w:val="0"/>
                <w:color w:val="000000"/>
                <w:sz w:val="24"/>
                <w:highlight w:val="none"/>
              </w:rPr>
              <w:t>排放浓度为</w:t>
            </w:r>
            <w:r>
              <w:rPr>
                <w:rFonts w:hint="default" w:ascii="Times New Roman" w:hAnsi="Times New Roman" w:eastAsia="宋体" w:cs="Times New Roman"/>
                <w:snapToGrid w:val="0"/>
                <w:color w:val="000000"/>
                <w:sz w:val="24"/>
                <w:highlight w:val="none"/>
                <w:lang w:val="en-US" w:eastAsia="zh-CN"/>
              </w:rPr>
              <w:t>40</w:t>
            </w:r>
            <w:r>
              <w:rPr>
                <w:rFonts w:hint="default" w:ascii="Times New Roman" w:hAnsi="Times New Roman" w:eastAsia="宋体" w:cs="Times New Roman"/>
                <w:snapToGrid w:val="0"/>
                <w:color w:val="000000"/>
                <w:sz w:val="24"/>
                <w:highlight w:val="none"/>
              </w:rPr>
              <w:t>mg/L，氨氮排放浓度为4mg/L；事故工程的污水流量同样为</w:t>
            </w:r>
            <w:r>
              <w:rPr>
                <w:rFonts w:hint="default" w:ascii="Times New Roman" w:hAnsi="Times New Roman" w:eastAsia="宋体" w:cs="Times New Roman"/>
                <w:snapToGrid w:val="0"/>
                <w:color w:val="000000"/>
                <w:sz w:val="24"/>
                <w:highlight w:val="none"/>
                <w:lang w:val="en-US" w:eastAsia="zh-CN"/>
              </w:rPr>
              <w:t>1957.846</w:t>
            </w:r>
            <w:r>
              <w:rPr>
                <w:rFonts w:hint="default" w:ascii="Times New Roman" w:hAnsi="Times New Roman" w:eastAsia="宋体" w:cs="Times New Roman"/>
                <w:snapToGrid w:val="0"/>
                <w:color w:val="000000"/>
                <w:sz w:val="24"/>
                <w:highlight w:val="none"/>
              </w:rPr>
              <w:t>m</w:t>
            </w:r>
            <w:r>
              <w:rPr>
                <w:rFonts w:hint="default" w:ascii="Times New Roman" w:hAnsi="Times New Roman" w:eastAsia="宋体" w:cs="Times New Roman"/>
                <w:snapToGrid w:val="0"/>
                <w:color w:val="000000"/>
                <w:sz w:val="24"/>
                <w:highlight w:val="none"/>
                <w:vertAlign w:val="superscript"/>
              </w:rPr>
              <w:t>3</w:t>
            </w:r>
            <w:r>
              <w:rPr>
                <w:rFonts w:hint="default" w:ascii="Times New Roman" w:hAnsi="Times New Roman" w:eastAsia="宋体" w:cs="Times New Roman"/>
                <w:snapToGrid w:val="0"/>
                <w:color w:val="000000"/>
                <w:sz w:val="24"/>
                <w:highlight w:val="none"/>
              </w:rPr>
              <w:t>/d（</w:t>
            </w:r>
            <w:r>
              <w:rPr>
                <w:rFonts w:hint="default" w:ascii="Times New Roman" w:hAnsi="Times New Roman" w:eastAsia="宋体" w:cs="Times New Roman"/>
                <w:snapToGrid w:val="0"/>
                <w:color w:val="000000"/>
                <w:sz w:val="24"/>
                <w:highlight w:val="none"/>
                <w:lang w:val="en-US" w:eastAsia="zh-CN"/>
              </w:rPr>
              <w:t>0.544</w:t>
            </w:r>
            <w:r>
              <w:rPr>
                <w:rFonts w:hint="default" w:ascii="Times New Roman" w:hAnsi="Times New Roman" w:eastAsia="宋体" w:cs="Times New Roman"/>
                <w:snapToGrid w:val="0"/>
                <w:color w:val="000000"/>
                <w:sz w:val="24"/>
                <w:highlight w:val="none"/>
              </w:rPr>
              <w:t>m</w:t>
            </w:r>
            <w:r>
              <w:rPr>
                <w:rFonts w:hint="default" w:ascii="Times New Roman" w:hAnsi="Times New Roman" w:eastAsia="宋体" w:cs="Times New Roman"/>
                <w:snapToGrid w:val="0"/>
                <w:color w:val="000000"/>
                <w:sz w:val="24"/>
                <w:highlight w:val="none"/>
                <w:vertAlign w:val="superscript"/>
              </w:rPr>
              <w:t>3</w:t>
            </w:r>
            <w:r>
              <w:rPr>
                <w:rFonts w:hint="default" w:ascii="Times New Roman" w:hAnsi="Times New Roman" w:eastAsia="宋体" w:cs="Times New Roman"/>
                <w:snapToGrid w:val="0"/>
                <w:color w:val="000000"/>
                <w:sz w:val="24"/>
                <w:highlight w:val="none"/>
              </w:rPr>
              <w:t>/s），COD</w:t>
            </w:r>
            <w:r>
              <w:rPr>
                <w:rFonts w:hint="default" w:ascii="Times New Roman" w:hAnsi="Times New Roman" w:eastAsia="宋体" w:cs="Times New Roman"/>
                <w:snapToGrid w:val="0"/>
                <w:color w:val="000000"/>
                <w:sz w:val="24"/>
                <w:highlight w:val="none"/>
                <w:vertAlign w:val="subscript"/>
              </w:rPr>
              <w:t>Cr</w:t>
            </w:r>
            <w:r>
              <w:rPr>
                <w:rFonts w:hint="default" w:ascii="Times New Roman" w:hAnsi="Times New Roman" w:eastAsia="宋体" w:cs="Times New Roman"/>
                <w:snapToGrid w:val="0"/>
                <w:color w:val="000000"/>
                <w:sz w:val="24"/>
                <w:highlight w:val="none"/>
              </w:rPr>
              <w:t>和氨氮的排放浓度取进水水质，即COD</w:t>
            </w:r>
            <w:r>
              <w:rPr>
                <w:rFonts w:hint="default" w:ascii="Times New Roman" w:hAnsi="Times New Roman" w:eastAsia="宋体" w:cs="Times New Roman"/>
                <w:snapToGrid w:val="0"/>
                <w:color w:val="000000"/>
                <w:sz w:val="24"/>
                <w:highlight w:val="none"/>
                <w:vertAlign w:val="subscript"/>
              </w:rPr>
              <w:t>Cr</w:t>
            </w:r>
            <w:r>
              <w:rPr>
                <w:rFonts w:hint="default" w:ascii="Times New Roman" w:hAnsi="Times New Roman" w:eastAsia="宋体" w:cs="Times New Roman"/>
                <w:snapToGrid w:val="0"/>
                <w:color w:val="000000"/>
                <w:sz w:val="24"/>
                <w:highlight w:val="none"/>
              </w:rPr>
              <w:t>排放浓度为</w:t>
            </w:r>
            <w:r>
              <w:rPr>
                <w:rFonts w:hint="default" w:ascii="Times New Roman" w:hAnsi="Times New Roman" w:eastAsia="宋体" w:cs="Times New Roman"/>
                <w:snapToGrid w:val="0"/>
                <w:color w:val="000000"/>
                <w:sz w:val="24"/>
                <w:highlight w:val="none"/>
                <w:lang w:val="en-US" w:eastAsia="zh-CN"/>
              </w:rPr>
              <w:t>2000</w:t>
            </w:r>
            <w:r>
              <w:rPr>
                <w:rFonts w:hint="default" w:ascii="Times New Roman" w:hAnsi="Times New Roman" w:eastAsia="宋体" w:cs="Times New Roman"/>
                <w:snapToGrid w:val="0"/>
                <w:color w:val="000000"/>
                <w:sz w:val="24"/>
                <w:highlight w:val="none"/>
              </w:rPr>
              <w:t>mg/L，氨氮排放浓度为</w:t>
            </w:r>
            <w:r>
              <w:rPr>
                <w:rFonts w:hint="default" w:ascii="Times New Roman" w:hAnsi="Times New Roman" w:eastAsia="宋体" w:cs="Times New Roman"/>
                <w:snapToGrid w:val="0"/>
                <w:color w:val="000000"/>
                <w:sz w:val="24"/>
                <w:highlight w:val="none"/>
                <w:lang w:val="en-US" w:eastAsia="zh-CN"/>
              </w:rPr>
              <w:t>40</w:t>
            </w:r>
            <w:r>
              <w:rPr>
                <w:rFonts w:hint="default" w:ascii="Times New Roman" w:hAnsi="Times New Roman" w:eastAsia="宋体" w:cs="Times New Roman"/>
                <w:snapToGrid w:val="0"/>
                <w:color w:val="000000"/>
                <w:sz w:val="24"/>
                <w:highlight w:val="none"/>
              </w:rPr>
              <w:t>mg/L。</w:t>
            </w:r>
          </w:p>
          <w:p>
            <w:pPr>
              <w:spacing w:line="480" w:lineRule="atLeast"/>
              <w:jc w:val="center"/>
              <w:rPr>
                <w:rFonts w:hint="default" w:ascii="Times New Roman" w:hAnsi="Times New Roman" w:eastAsia="宋体" w:cs="Times New Roman"/>
                <w:b/>
                <w:bCs/>
                <w:snapToGrid w:val="0"/>
                <w:color w:val="000000"/>
                <w:sz w:val="24"/>
                <w:highlight w:val="none"/>
              </w:rPr>
            </w:pPr>
            <w:r>
              <w:rPr>
                <w:rFonts w:hint="eastAsia" w:ascii="Times New Roman" w:hAnsi="Times New Roman" w:eastAsia="宋体" w:cs="Times New Roman"/>
                <w:b/>
                <w:bCs/>
                <w:snapToGrid w:val="0"/>
                <w:color w:val="000000"/>
                <w:sz w:val="24"/>
                <w:highlight w:val="none"/>
                <w:lang w:eastAsia="zh-CN"/>
              </w:rPr>
              <w:t>表</w:t>
            </w:r>
            <w:r>
              <w:rPr>
                <w:rFonts w:hint="eastAsia" w:ascii="Times New Roman" w:hAnsi="Times New Roman" w:eastAsia="宋体" w:cs="Times New Roman"/>
                <w:b/>
                <w:bCs/>
                <w:snapToGrid w:val="0"/>
                <w:color w:val="000000"/>
                <w:sz w:val="24"/>
                <w:highlight w:val="none"/>
                <w:lang w:val="en-US" w:eastAsia="zh-CN"/>
              </w:rPr>
              <w:t xml:space="preserve">32 </w:t>
            </w:r>
            <w:r>
              <w:rPr>
                <w:rFonts w:hint="default" w:ascii="Times New Roman" w:hAnsi="Times New Roman" w:eastAsia="宋体" w:cs="Times New Roman"/>
                <w:b/>
                <w:bCs/>
                <w:snapToGrid w:val="0"/>
                <w:color w:val="000000"/>
                <w:sz w:val="24"/>
                <w:highlight w:val="none"/>
              </w:rPr>
              <w:t>水环境影响预测污染源强分析</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453"/>
              <w:gridCol w:w="1453"/>
              <w:gridCol w:w="1453"/>
              <w:gridCol w:w="1321"/>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pct"/>
                  <w:vMerge w:val="restar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项目</w:t>
                  </w:r>
                </w:p>
              </w:tc>
              <w:tc>
                <w:tcPr>
                  <w:tcW w:w="893" w:type="pct"/>
                  <w:vMerge w:val="restar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废水排放量（m</w:t>
                  </w:r>
                  <w:r>
                    <w:rPr>
                      <w:rFonts w:hint="default" w:ascii="Times New Roman" w:hAnsi="Times New Roman" w:eastAsia="宋体" w:cs="Times New Roman"/>
                      <w:color w:val="000000"/>
                      <w:szCs w:val="21"/>
                      <w:highlight w:val="none"/>
                      <w:vertAlign w:val="superscript"/>
                    </w:rPr>
                    <w:t>3</w:t>
                  </w:r>
                  <w:r>
                    <w:rPr>
                      <w:rFonts w:hint="default" w:ascii="Times New Roman" w:hAnsi="Times New Roman" w:eastAsia="宋体" w:cs="Times New Roman"/>
                      <w:color w:val="000000"/>
                      <w:szCs w:val="21"/>
                      <w:highlight w:val="none"/>
                    </w:rPr>
                    <w:t>/s）</w:t>
                  </w:r>
                </w:p>
              </w:tc>
              <w:tc>
                <w:tcPr>
                  <w:tcW w:w="1786" w:type="pct"/>
                  <w:gridSpan w:val="2"/>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排放浓度（mg/L）</w:t>
                  </w:r>
                </w:p>
              </w:tc>
              <w:tc>
                <w:tcPr>
                  <w:tcW w:w="1590" w:type="pct"/>
                  <w:gridSpan w:val="2"/>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水污染物排放强度（g/s）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pct"/>
                  <w:vMerge w:val="continue"/>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p>
              </w:tc>
              <w:tc>
                <w:tcPr>
                  <w:tcW w:w="893" w:type="pct"/>
                  <w:vMerge w:val="continue"/>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p>
              </w:tc>
              <w:tc>
                <w:tcPr>
                  <w:tcW w:w="8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vertAlign w:val="subscript"/>
                    </w:rPr>
                  </w:pPr>
                  <w:r>
                    <w:rPr>
                      <w:rFonts w:hint="default" w:ascii="Times New Roman" w:hAnsi="Times New Roman" w:eastAsia="宋体" w:cs="Times New Roman"/>
                      <w:color w:val="000000"/>
                      <w:szCs w:val="21"/>
                      <w:highlight w:val="none"/>
                    </w:rPr>
                    <w:t>COD</w:t>
                  </w:r>
                  <w:r>
                    <w:rPr>
                      <w:rFonts w:hint="default" w:ascii="Times New Roman" w:hAnsi="Times New Roman" w:eastAsia="宋体" w:cs="Times New Roman"/>
                      <w:color w:val="000000"/>
                      <w:szCs w:val="21"/>
                      <w:highlight w:val="none"/>
                      <w:vertAlign w:val="subscript"/>
                    </w:rPr>
                    <w:t>Cr</w:t>
                  </w:r>
                </w:p>
              </w:tc>
              <w:tc>
                <w:tcPr>
                  <w:tcW w:w="8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氨氮</w:t>
                  </w:r>
                </w:p>
              </w:tc>
              <w:tc>
                <w:tcPr>
                  <w:tcW w:w="812"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vertAlign w:val="subscript"/>
                    </w:rPr>
                  </w:pPr>
                  <w:r>
                    <w:rPr>
                      <w:rFonts w:hint="default" w:ascii="Times New Roman" w:hAnsi="Times New Roman" w:eastAsia="宋体" w:cs="Times New Roman"/>
                      <w:color w:val="000000"/>
                      <w:szCs w:val="21"/>
                      <w:highlight w:val="none"/>
                    </w:rPr>
                    <w:t>COD</w:t>
                  </w:r>
                  <w:r>
                    <w:rPr>
                      <w:rFonts w:hint="default" w:ascii="Times New Roman" w:hAnsi="Times New Roman" w:eastAsia="宋体" w:cs="Times New Roman"/>
                      <w:color w:val="000000"/>
                      <w:szCs w:val="21"/>
                      <w:highlight w:val="none"/>
                      <w:vertAlign w:val="subscript"/>
                    </w:rPr>
                    <w:t>Cr</w:t>
                  </w:r>
                </w:p>
              </w:tc>
              <w:tc>
                <w:tcPr>
                  <w:tcW w:w="778"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正常排放</w:t>
                  </w:r>
                </w:p>
              </w:tc>
              <w:tc>
                <w:tcPr>
                  <w:tcW w:w="893" w:type="pct"/>
                  <w:vMerge w:val="restart"/>
                  <w:tcBorders>
                    <w:tl2br w:val="nil"/>
                    <w:tr2bl w:val="nil"/>
                  </w:tcBorders>
                  <w:noWrap w:val="0"/>
                  <w:vAlign w:val="center"/>
                </w:tcPr>
                <w:p>
                  <w:pPr>
                    <w:pStyle w:val="332"/>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9.69</w:t>
                  </w:r>
                </w:p>
              </w:tc>
              <w:tc>
                <w:tcPr>
                  <w:tcW w:w="8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40</w:t>
                  </w:r>
                </w:p>
              </w:tc>
              <w:tc>
                <w:tcPr>
                  <w:tcW w:w="8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4</w:t>
                  </w:r>
                </w:p>
              </w:tc>
              <w:tc>
                <w:tcPr>
                  <w:tcW w:w="812"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0.022</w:t>
                  </w:r>
                </w:p>
              </w:tc>
              <w:tc>
                <w:tcPr>
                  <w:tcW w:w="778"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事故排放</w:t>
                  </w:r>
                </w:p>
              </w:tc>
              <w:tc>
                <w:tcPr>
                  <w:tcW w:w="893" w:type="pct"/>
                  <w:vMerge w:val="continue"/>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p>
              </w:tc>
              <w:tc>
                <w:tcPr>
                  <w:tcW w:w="8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2000</w:t>
                  </w:r>
                </w:p>
              </w:tc>
              <w:tc>
                <w:tcPr>
                  <w:tcW w:w="8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40</w:t>
                  </w:r>
                </w:p>
              </w:tc>
              <w:tc>
                <w:tcPr>
                  <w:tcW w:w="812"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1.088</w:t>
                  </w:r>
                </w:p>
              </w:tc>
              <w:tc>
                <w:tcPr>
                  <w:tcW w:w="778"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0.022</w:t>
                  </w:r>
                </w:p>
              </w:tc>
            </w:tr>
          </w:tbl>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II、降解系数k</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根据类比调查，降解系数值综合取值结果为COD</w:t>
            </w:r>
            <w:r>
              <w:rPr>
                <w:rFonts w:hint="default" w:ascii="Times New Roman" w:hAnsi="Times New Roman" w:eastAsia="宋体" w:cs="Times New Roman"/>
                <w:snapToGrid w:val="0"/>
                <w:color w:val="000000"/>
                <w:sz w:val="24"/>
                <w:highlight w:val="none"/>
                <w:vertAlign w:val="subscript"/>
              </w:rPr>
              <w:t>Cr</w:t>
            </w:r>
            <w:r>
              <w:rPr>
                <w:rFonts w:hint="default" w:ascii="Times New Roman" w:hAnsi="Times New Roman" w:eastAsia="宋体" w:cs="Times New Roman"/>
                <w:snapToGrid w:val="0"/>
                <w:color w:val="000000"/>
                <w:sz w:val="24"/>
                <w:highlight w:val="none"/>
              </w:rPr>
              <w:t>：0.1d</w:t>
            </w:r>
            <w:r>
              <w:rPr>
                <w:rFonts w:hint="default" w:ascii="Times New Roman" w:hAnsi="Times New Roman" w:eastAsia="宋体" w:cs="Times New Roman"/>
                <w:snapToGrid w:val="0"/>
                <w:color w:val="000000"/>
                <w:sz w:val="24"/>
                <w:highlight w:val="none"/>
                <w:vertAlign w:val="superscript"/>
              </w:rPr>
              <w:t>-1</w:t>
            </w:r>
            <w:r>
              <w:rPr>
                <w:rFonts w:hint="default" w:ascii="Times New Roman" w:hAnsi="Times New Roman" w:eastAsia="宋体" w:cs="Times New Roman"/>
                <w:snapToGrid w:val="0"/>
                <w:color w:val="000000"/>
                <w:sz w:val="24"/>
                <w:highlight w:val="none"/>
              </w:rPr>
              <w:t>，氨氮：0.1d</w:t>
            </w:r>
            <w:r>
              <w:rPr>
                <w:rFonts w:hint="default" w:ascii="Times New Roman" w:hAnsi="Times New Roman" w:eastAsia="宋体" w:cs="Times New Roman"/>
                <w:snapToGrid w:val="0"/>
                <w:color w:val="000000"/>
                <w:sz w:val="24"/>
                <w:highlight w:val="none"/>
                <w:vertAlign w:val="superscript"/>
              </w:rPr>
              <w:t>-1</w:t>
            </w:r>
            <w:r>
              <w:rPr>
                <w:rFonts w:hint="default" w:ascii="Times New Roman" w:hAnsi="Times New Roman" w:eastAsia="宋体" w:cs="Times New Roman"/>
                <w:snapToGrid w:val="0"/>
                <w:color w:val="000000"/>
                <w:sz w:val="24"/>
                <w:highlight w:val="none"/>
              </w:rPr>
              <w:t>。</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III、水文数据</w:t>
            </w:r>
          </w:p>
          <w:p>
            <w:pPr>
              <w:spacing w:line="480" w:lineRule="atLeast"/>
              <w:jc w:val="center"/>
              <w:rPr>
                <w:rFonts w:hint="default" w:ascii="Times New Roman" w:hAnsi="Times New Roman" w:eastAsia="宋体" w:cs="Times New Roman"/>
                <w:b/>
                <w:bCs/>
                <w:snapToGrid w:val="0"/>
                <w:color w:val="000000"/>
                <w:sz w:val="24"/>
                <w:highlight w:val="none"/>
              </w:rPr>
            </w:pPr>
            <w:r>
              <w:rPr>
                <w:rFonts w:hint="eastAsia" w:ascii="Times New Roman" w:hAnsi="Times New Roman" w:eastAsia="宋体" w:cs="Times New Roman"/>
                <w:b/>
                <w:bCs/>
                <w:snapToGrid w:val="0"/>
                <w:color w:val="000000"/>
                <w:sz w:val="24"/>
                <w:highlight w:val="none"/>
                <w:lang w:eastAsia="zh-CN"/>
              </w:rPr>
              <w:t>表</w:t>
            </w:r>
            <w:r>
              <w:rPr>
                <w:rFonts w:hint="eastAsia" w:ascii="Times New Roman" w:hAnsi="Times New Roman" w:eastAsia="宋体" w:cs="Times New Roman"/>
                <w:b/>
                <w:bCs/>
                <w:snapToGrid w:val="0"/>
                <w:color w:val="000000"/>
                <w:sz w:val="24"/>
                <w:highlight w:val="none"/>
                <w:lang w:val="en-US" w:eastAsia="zh-CN"/>
              </w:rPr>
              <w:t xml:space="preserve">33  </w:t>
            </w:r>
            <w:r>
              <w:rPr>
                <w:rFonts w:hint="default" w:ascii="Times New Roman" w:hAnsi="Times New Roman" w:eastAsia="宋体" w:cs="Times New Roman"/>
                <w:b/>
                <w:bCs/>
                <w:snapToGrid w:val="0"/>
                <w:color w:val="000000"/>
                <w:sz w:val="24"/>
                <w:highlight w:val="none"/>
              </w:rPr>
              <w:t>预测水文参数</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223"/>
              <w:gridCol w:w="1139"/>
              <w:gridCol w:w="1139"/>
              <w:gridCol w:w="984"/>
              <w:gridCol w:w="119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2"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参数</w:t>
                  </w:r>
                </w:p>
              </w:tc>
              <w:tc>
                <w:tcPr>
                  <w:tcW w:w="752"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B（m）</w:t>
                  </w:r>
                </w:p>
              </w:tc>
              <w:tc>
                <w:tcPr>
                  <w:tcW w:w="700"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snapToGrid w:val="0"/>
                      <w:color w:val="000000"/>
                      <w:szCs w:val="21"/>
                      <w:highlight w:val="none"/>
                    </w:rPr>
                    <w:t>a（m）</w:t>
                  </w:r>
                </w:p>
              </w:tc>
              <w:tc>
                <w:tcPr>
                  <w:tcW w:w="700"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u（m/s）</w:t>
                  </w:r>
                </w:p>
              </w:tc>
              <w:tc>
                <w:tcPr>
                  <w:tcW w:w="605"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k（l/s）</w:t>
                  </w:r>
                </w:p>
              </w:tc>
              <w:tc>
                <w:tcPr>
                  <w:tcW w:w="734"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E</w:t>
                  </w:r>
                  <w:r>
                    <w:rPr>
                      <w:rFonts w:hint="default" w:ascii="Times New Roman" w:hAnsi="Times New Roman" w:eastAsia="宋体" w:cs="Times New Roman"/>
                      <w:color w:val="000000"/>
                      <w:szCs w:val="21"/>
                      <w:highlight w:val="none"/>
                      <w:vertAlign w:val="subscript"/>
                    </w:rPr>
                    <w:t>y</w:t>
                  </w:r>
                  <w:r>
                    <w:rPr>
                      <w:rFonts w:hint="default" w:ascii="Times New Roman" w:hAnsi="Times New Roman" w:eastAsia="宋体" w:cs="Times New Roman"/>
                      <w:color w:val="000000"/>
                      <w:szCs w:val="21"/>
                      <w:highlight w:val="none"/>
                    </w:rPr>
                    <w:t>（m</w:t>
                  </w:r>
                  <w:r>
                    <w:rPr>
                      <w:rFonts w:hint="default" w:ascii="Times New Roman" w:hAnsi="Times New Roman" w:eastAsia="宋体" w:cs="Times New Roman"/>
                      <w:color w:val="000000"/>
                      <w:szCs w:val="21"/>
                      <w:highlight w:val="none"/>
                      <w:vertAlign w:val="superscript"/>
                    </w:rPr>
                    <w:t>2</w:t>
                  </w:r>
                  <w:r>
                    <w:rPr>
                      <w:rFonts w:hint="default" w:ascii="Times New Roman" w:hAnsi="Times New Roman" w:eastAsia="宋体" w:cs="Times New Roman"/>
                      <w:color w:val="000000"/>
                      <w:szCs w:val="21"/>
                      <w:highlight w:val="none"/>
                    </w:rPr>
                    <w:t>/s）</w:t>
                  </w:r>
                </w:p>
              </w:tc>
              <w:tc>
                <w:tcPr>
                  <w:tcW w:w="697"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E</w:t>
                  </w:r>
                  <w:r>
                    <w:rPr>
                      <w:rFonts w:hint="default" w:ascii="Times New Roman" w:hAnsi="Times New Roman" w:eastAsia="宋体" w:cs="Times New Roman"/>
                      <w:color w:val="000000"/>
                      <w:szCs w:val="21"/>
                      <w:highlight w:val="none"/>
                      <w:vertAlign w:val="subscript"/>
                    </w:rPr>
                    <w:t>y</w:t>
                  </w:r>
                  <w:r>
                    <w:rPr>
                      <w:rFonts w:hint="default" w:ascii="Times New Roman" w:hAnsi="Times New Roman" w:eastAsia="宋体" w:cs="Times New Roman"/>
                      <w:color w:val="000000"/>
                      <w:szCs w:val="21"/>
                      <w:highlight w:val="none"/>
                    </w:rPr>
                    <w:t>（m</w:t>
                  </w:r>
                  <w:r>
                    <w:rPr>
                      <w:rFonts w:hint="default" w:ascii="Times New Roman" w:hAnsi="Times New Roman" w:eastAsia="宋体" w:cs="Times New Roman"/>
                      <w:color w:val="000000"/>
                      <w:szCs w:val="21"/>
                      <w:highlight w:val="none"/>
                      <w:vertAlign w:val="superscript"/>
                    </w:rPr>
                    <w:t>2</w:t>
                  </w:r>
                  <w:r>
                    <w:rPr>
                      <w:rFonts w:hint="default" w:ascii="Times New Roman" w:hAnsi="Times New Roman" w:eastAsia="宋体" w:cs="Times New Roman"/>
                      <w:color w:val="000000"/>
                      <w:szCs w:val="21"/>
                      <w:highlight w:val="non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2"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规模</w:t>
                  </w:r>
                </w:p>
              </w:tc>
              <w:tc>
                <w:tcPr>
                  <w:tcW w:w="752"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20</w:t>
                  </w:r>
                </w:p>
              </w:tc>
              <w:tc>
                <w:tcPr>
                  <w:tcW w:w="700"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0.1</w:t>
                  </w:r>
                </w:p>
              </w:tc>
              <w:tc>
                <w:tcPr>
                  <w:tcW w:w="700"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0.05</w:t>
                  </w:r>
                </w:p>
              </w:tc>
              <w:tc>
                <w:tcPr>
                  <w:tcW w:w="605"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0.01</w:t>
                  </w:r>
                </w:p>
              </w:tc>
              <w:tc>
                <w:tcPr>
                  <w:tcW w:w="734"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0.096</w:t>
                  </w:r>
                </w:p>
              </w:tc>
              <w:tc>
                <w:tcPr>
                  <w:tcW w:w="697"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2"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参数</w:t>
                  </w:r>
                </w:p>
              </w:tc>
              <w:tc>
                <w:tcPr>
                  <w:tcW w:w="1452" w:type="pct"/>
                  <w:gridSpan w:val="2"/>
                  <w:tcBorders>
                    <w:tl2br w:val="nil"/>
                    <w:tr2bl w:val="nil"/>
                  </w:tcBorders>
                  <w:noWrap w:val="0"/>
                  <w:vAlign w:val="center"/>
                </w:tcPr>
                <w:p>
                  <w:pPr>
                    <w:pStyle w:val="332"/>
                    <w:rPr>
                      <w:rFonts w:hint="default" w:ascii="Times New Roman" w:hAnsi="Times New Roman" w:eastAsia="宋体" w:cs="Times New Roman"/>
                      <w:color w:val="000000"/>
                      <w:szCs w:val="21"/>
                      <w:highlight w:val="none"/>
                      <w:vertAlign w:val="subscript"/>
                    </w:rPr>
                  </w:pPr>
                  <w:r>
                    <w:rPr>
                      <w:rFonts w:hint="default" w:ascii="Times New Roman" w:hAnsi="Times New Roman" w:eastAsia="宋体" w:cs="Times New Roman"/>
                      <w:snapToGrid w:val="0"/>
                      <w:color w:val="000000"/>
                      <w:szCs w:val="21"/>
                      <w:highlight w:val="none"/>
                    </w:rPr>
                    <w:t>C</w:t>
                  </w:r>
                  <w:r>
                    <w:rPr>
                      <w:rFonts w:hint="default" w:ascii="Times New Roman" w:hAnsi="Times New Roman" w:eastAsia="宋体" w:cs="Times New Roman"/>
                      <w:snapToGrid w:val="0"/>
                      <w:color w:val="000000"/>
                      <w:szCs w:val="21"/>
                      <w:highlight w:val="none"/>
                      <w:vertAlign w:val="subscript"/>
                    </w:rPr>
                    <w:t>h</w:t>
                  </w:r>
                  <w:r>
                    <w:rPr>
                      <w:rFonts w:hint="default" w:ascii="Times New Roman" w:hAnsi="Times New Roman" w:eastAsia="宋体" w:cs="Times New Roman"/>
                      <w:snapToGrid w:val="0"/>
                      <w:color w:val="000000"/>
                      <w:szCs w:val="21"/>
                      <w:highlight w:val="none"/>
                    </w:rPr>
                    <w:t>（mg/L）-COD</w:t>
                  </w:r>
                  <w:r>
                    <w:rPr>
                      <w:rFonts w:hint="default" w:ascii="Times New Roman" w:hAnsi="Times New Roman" w:eastAsia="宋体" w:cs="Times New Roman"/>
                      <w:snapToGrid w:val="0"/>
                      <w:color w:val="000000"/>
                      <w:szCs w:val="21"/>
                      <w:highlight w:val="none"/>
                      <w:vertAlign w:val="subscript"/>
                    </w:rPr>
                    <w:t>Cr</w:t>
                  </w:r>
                </w:p>
              </w:tc>
              <w:tc>
                <w:tcPr>
                  <w:tcW w:w="1305" w:type="pct"/>
                  <w:gridSpan w:val="2"/>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snapToGrid w:val="0"/>
                      <w:color w:val="000000"/>
                      <w:szCs w:val="21"/>
                      <w:highlight w:val="none"/>
                    </w:rPr>
                    <w:t>C</w:t>
                  </w:r>
                  <w:r>
                    <w:rPr>
                      <w:rFonts w:hint="default" w:ascii="Times New Roman" w:hAnsi="Times New Roman" w:eastAsia="宋体" w:cs="Times New Roman"/>
                      <w:snapToGrid w:val="0"/>
                      <w:color w:val="000000"/>
                      <w:szCs w:val="21"/>
                      <w:highlight w:val="none"/>
                      <w:vertAlign w:val="subscript"/>
                    </w:rPr>
                    <w:t>h</w:t>
                  </w:r>
                  <w:r>
                    <w:rPr>
                      <w:rFonts w:hint="default" w:ascii="Times New Roman" w:hAnsi="Times New Roman" w:eastAsia="宋体" w:cs="Times New Roman"/>
                      <w:snapToGrid w:val="0"/>
                      <w:color w:val="000000"/>
                      <w:szCs w:val="21"/>
                      <w:highlight w:val="none"/>
                    </w:rPr>
                    <w:t>（mg/L）-氨氮</w:t>
                  </w:r>
                </w:p>
              </w:tc>
              <w:tc>
                <w:tcPr>
                  <w:tcW w:w="734"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snapToGrid w:val="0"/>
                      <w:color w:val="000000"/>
                      <w:szCs w:val="21"/>
                      <w:highlight w:val="none"/>
                    </w:rPr>
                    <w:t>Q</w:t>
                  </w:r>
                  <w:r>
                    <w:rPr>
                      <w:rFonts w:hint="default" w:ascii="Times New Roman" w:hAnsi="Times New Roman" w:eastAsia="宋体" w:cs="Times New Roman"/>
                      <w:snapToGrid w:val="0"/>
                      <w:color w:val="000000"/>
                      <w:szCs w:val="21"/>
                      <w:highlight w:val="none"/>
                      <w:vertAlign w:val="subscript"/>
                    </w:rPr>
                    <w:t>h</w:t>
                  </w:r>
                  <w:r>
                    <w:rPr>
                      <w:rFonts w:hint="default" w:ascii="Times New Roman" w:hAnsi="Times New Roman" w:eastAsia="宋体" w:cs="Times New Roman"/>
                      <w:snapToGrid w:val="0"/>
                      <w:color w:val="000000"/>
                      <w:szCs w:val="21"/>
                      <w:highlight w:val="none"/>
                    </w:rPr>
                    <w:t>（m</w:t>
                  </w:r>
                  <w:r>
                    <w:rPr>
                      <w:rFonts w:hint="default" w:ascii="Times New Roman" w:hAnsi="Times New Roman" w:eastAsia="宋体" w:cs="Times New Roman"/>
                      <w:snapToGrid w:val="0"/>
                      <w:color w:val="000000"/>
                      <w:szCs w:val="21"/>
                      <w:highlight w:val="none"/>
                      <w:vertAlign w:val="superscript"/>
                    </w:rPr>
                    <w:t>3</w:t>
                  </w:r>
                  <w:r>
                    <w:rPr>
                      <w:rFonts w:hint="default" w:ascii="Times New Roman" w:hAnsi="Times New Roman" w:eastAsia="宋体" w:cs="Times New Roman"/>
                      <w:snapToGrid w:val="0"/>
                      <w:color w:val="000000"/>
                      <w:szCs w:val="21"/>
                      <w:highlight w:val="none"/>
                    </w:rPr>
                    <w:t>/s）</w:t>
                  </w:r>
                </w:p>
              </w:tc>
              <w:tc>
                <w:tcPr>
                  <w:tcW w:w="697"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snapToGrid w:val="0"/>
                      <w:color w:val="000000"/>
                      <w:szCs w:val="21"/>
                      <w:highlight w:val="none"/>
                    </w:rPr>
                    <w:t>A（m</w:t>
                  </w:r>
                  <w:r>
                    <w:rPr>
                      <w:rFonts w:hint="default" w:ascii="Times New Roman" w:hAnsi="Times New Roman" w:eastAsia="宋体" w:cs="Times New Roman"/>
                      <w:snapToGrid w:val="0"/>
                      <w:color w:val="000000"/>
                      <w:szCs w:val="21"/>
                      <w:highlight w:val="none"/>
                      <w:vertAlign w:val="superscript"/>
                    </w:rPr>
                    <w:t>2</w:t>
                  </w:r>
                  <w:r>
                    <w:rPr>
                      <w:rFonts w:hint="default" w:ascii="Times New Roman" w:hAnsi="Times New Roman" w:eastAsia="宋体" w:cs="Times New Roman"/>
                      <w:snapToGrid w:val="0"/>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2"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规模</w:t>
                  </w:r>
                </w:p>
              </w:tc>
              <w:tc>
                <w:tcPr>
                  <w:tcW w:w="1452" w:type="pct"/>
                  <w:gridSpan w:val="2"/>
                  <w:tcBorders>
                    <w:tl2br w:val="nil"/>
                    <w:tr2bl w:val="nil"/>
                  </w:tcBorders>
                  <w:noWrap w:val="0"/>
                  <w:vAlign w:val="center"/>
                </w:tcPr>
                <w:p>
                  <w:pPr>
                    <w:pStyle w:val="332"/>
                    <w:rPr>
                      <w:rFonts w:hint="default" w:ascii="Times New Roman" w:hAnsi="Times New Roman" w:eastAsia="宋体" w:cs="Times New Roman"/>
                      <w:color w:val="000000"/>
                      <w:szCs w:val="21"/>
                      <w:highlight w:val="none"/>
                      <w:lang w:eastAsia="zh-CN"/>
                    </w:rPr>
                  </w:pPr>
                  <w:r>
                    <w:rPr>
                      <w:rFonts w:hint="default" w:ascii="Times New Roman" w:hAnsi="Times New Roman" w:eastAsia="宋体" w:cs="Times New Roman"/>
                      <w:color w:val="000000"/>
                      <w:szCs w:val="21"/>
                      <w:highlight w:val="none"/>
                    </w:rPr>
                    <w:t>2</w:t>
                  </w:r>
                  <w:r>
                    <w:rPr>
                      <w:rFonts w:hint="default" w:ascii="Times New Roman" w:hAnsi="Times New Roman" w:eastAsia="宋体" w:cs="Times New Roman"/>
                      <w:color w:val="000000"/>
                      <w:szCs w:val="21"/>
                      <w:highlight w:val="none"/>
                      <w:lang w:val="en-US" w:eastAsia="zh-CN"/>
                    </w:rPr>
                    <w:t>6</w:t>
                  </w:r>
                </w:p>
              </w:tc>
              <w:tc>
                <w:tcPr>
                  <w:tcW w:w="1305" w:type="pct"/>
                  <w:gridSpan w:val="2"/>
                  <w:tcBorders>
                    <w:tl2br w:val="nil"/>
                    <w:tr2bl w:val="nil"/>
                  </w:tcBorders>
                  <w:noWrap w:val="0"/>
                  <w:vAlign w:val="center"/>
                </w:tcPr>
                <w:p>
                  <w:pPr>
                    <w:pStyle w:val="332"/>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0.873</w:t>
                  </w:r>
                </w:p>
              </w:tc>
              <w:tc>
                <w:tcPr>
                  <w:tcW w:w="734"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w:t>
                  </w:r>
                </w:p>
              </w:tc>
              <w:tc>
                <w:tcPr>
                  <w:tcW w:w="697"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40</w:t>
                  </w:r>
                </w:p>
              </w:tc>
            </w:tr>
          </w:tbl>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IV、预测结果</w:t>
            </w:r>
          </w:p>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根据以上参数条件，计算得混合过程段长度为Lm为</w:t>
            </w:r>
            <w:r>
              <w:rPr>
                <w:rFonts w:hint="default" w:ascii="Times New Roman" w:hAnsi="Times New Roman" w:eastAsia="宋体" w:cs="Times New Roman"/>
                <w:snapToGrid w:val="0"/>
                <w:color w:val="000000"/>
                <w:sz w:val="24"/>
                <w:highlight w:val="none"/>
                <w:lang w:val="en-US" w:eastAsia="zh-CN"/>
              </w:rPr>
              <w:t>16.59</w:t>
            </w:r>
            <w:r>
              <w:rPr>
                <w:rFonts w:hint="default" w:ascii="Times New Roman" w:hAnsi="Times New Roman" w:eastAsia="宋体" w:cs="Times New Roman"/>
                <w:snapToGrid w:val="0"/>
                <w:color w:val="000000"/>
                <w:sz w:val="24"/>
                <w:highlight w:val="none"/>
              </w:rPr>
              <w:t>m，α为</w:t>
            </w:r>
            <w:r>
              <w:rPr>
                <w:rFonts w:hint="default" w:ascii="Times New Roman" w:hAnsi="Times New Roman" w:eastAsia="宋体" w:cs="Times New Roman"/>
                <w:snapToGrid w:val="0"/>
                <w:color w:val="000000"/>
                <w:sz w:val="24"/>
                <w:highlight w:val="none"/>
                <w:lang w:val="en-US" w:eastAsia="zh-CN"/>
              </w:rPr>
              <w:t>0.0027</w:t>
            </w:r>
            <w:r>
              <w:rPr>
                <w:rFonts w:hint="default" w:ascii="Times New Roman" w:hAnsi="Times New Roman" w:eastAsia="宋体" w:cs="Times New Roman"/>
                <w:snapToGrid w:val="0"/>
                <w:color w:val="000000"/>
                <w:sz w:val="24"/>
                <w:highlight w:val="none"/>
              </w:rPr>
              <w:t>，Pe为</w:t>
            </w:r>
            <w:r>
              <w:rPr>
                <w:rFonts w:hint="default" w:ascii="Times New Roman" w:hAnsi="Times New Roman" w:eastAsia="宋体" w:cs="Times New Roman"/>
                <w:snapToGrid w:val="0"/>
                <w:color w:val="000000"/>
                <w:sz w:val="24"/>
                <w:highlight w:val="none"/>
                <w:lang w:val="en-US" w:eastAsia="zh-CN"/>
              </w:rPr>
              <w:t>37.04</w:t>
            </w:r>
            <w:r>
              <w:rPr>
                <w:rFonts w:hint="default" w:ascii="Times New Roman" w:hAnsi="Times New Roman" w:eastAsia="宋体" w:cs="Times New Roman"/>
                <w:snapToGrid w:val="0"/>
                <w:color w:val="000000"/>
                <w:sz w:val="24"/>
                <w:highlight w:val="none"/>
              </w:rPr>
              <w:t>，因此选用对流扩散降解模型。</w:t>
            </w:r>
          </w:p>
          <w:p>
            <w:pPr>
              <w:spacing w:line="480" w:lineRule="atLeast"/>
              <w:jc w:val="center"/>
              <w:rPr>
                <w:rFonts w:hint="default" w:ascii="Times New Roman" w:hAnsi="Times New Roman" w:eastAsia="宋体" w:cs="Times New Roman"/>
                <w:b/>
                <w:bCs/>
                <w:snapToGrid w:val="0"/>
                <w:color w:val="000000"/>
                <w:sz w:val="24"/>
                <w:highlight w:val="none"/>
              </w:rPr>
            </w:pPr>
            <w:r>
              <w:rPr>
                <w:rFonts w:hint="eastAsia" w:ascii="Times New Roman" w:hAnsi="Times New Roman" w:eastAsia="宋体" w:cs="Times New Roman"/>
                <w:b/>
                <w:bCs/>
                <w:snapToGrid w:val="0"/>
                <w:color w:val="000000"/>
                <w:sz w:val="24"/>
                <w:highlight w:val="none"/>
                <w:lang w:eastAsia="zh-CN"/>
              </w:rPr>
              <w:t>表</w:t>
            </w:r>
            <w:r>
              <w:rPr>
                <w:rFonts w:hint="eastAsia" w:ascii="Times New Roman" w:hAnsi="Times New Roman" w:eastAsia="宋体" w:cs="Times New Roman"/>
                <w:b/>
                <w:bCs/>
                <w:snapToGrid w:val="0"/>
                <w:color w:val="000000"/>
                <w:sz w:val="24"/>
                <w:highlight w:val="none"/>
                <w:lang w:val="en-US" w:eastAsia="zh-CN"/>
              </w:rPr>
              <w:t xml:space="preserve">34  </w:t>
            </w:r>
            <w:r>
              <w:rPr>
                <w:rFonts w:hint="default" w:ascii="Times New Roman" w:hAnsi="Times New Roman" w:eastAsia="宋体" w:cs="Times New Roman"/>
                <w:b/>
                <w:bCs/>
                <w:snapToGrid w:val="0"/>
                <w:color w:val="000000"/>
                <w:sz w:val="24"/>
                <w:highlight w:val="none"/>
              </w:rPr>
              <w:t>正常工况排放的尾水对</w:t>
            </w:r>
            <w:r>
              <w:rPr>
                <w:rFonts w:hint="default" w:ascii="Times New Roman" w:hAnsi="Times New Roman" w:eastAsia="宋体" w:cs="Times New Roman"/>
                <w:b/>
                <w:bCs/>
                <w:snapToGrid w:val="0"/>
                <w:color w:val="000000"/>
                <w:sz w:val="24"/>
                <w:highlight w:val="none"/>
                <w:lang w:eastAsia="zh-CN"/>
              </w:rPr>
              <w:t>九支渠</w:t>
            </w:r>
            <w:r>
              <w:rPr>
                <w:rFonts w:hint="default" w:ascii="Times New Roman" w:hAnsi="Times New Roman" w:eastAsia="宋体" w:cs="Times New Roman"/>
                <w:b/>
                <w:bCs/>
                <w:snapToGrid w:val="0"/>
                <w:color w:val="000000"/>
                <w:sz w:val="24"/>
                <w:highlight w:val="none"/>
              </w:rPr>
              <w:t>的水质影响结果</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6"/>
              <w:gridCol w:w="2702"/>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距排污口下游距离x（m）</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COD</w:t>
                  </w:r>
                  <w:r>
                    <w:rPr>
                      <w:rFonts w:hint="default" w:ascii="Times New Roman" w:hAnsi="Times New Roman" w:eastAsia="宋体" w:cs="Times New Roman"/>
                      <w:color w:val="000000"/>
                      <w:szCs w:val="21"/>
                      <w:highlight w:val="none"/>
                      <w:vertAlign w:val="subscript"/>
                    </w:rPr>
                    <w:t>Cr</w:t>
                  </w:r>
                  <w:r>
                    <w:rPr>
                      <w:rFonts w:hint="default" w:ascii="Times New Roman" w:hAnsi="Times New Roman" w:eastAsia="宋体" w:cs="Times New Roman"/>
                      <w:color w:val="000000"/>
                      <w:szCs w:val="21"/>
                      <w:highlight w:val="none"/>
                    </w:rPr>
                    <w:t>浓度增量C（mg/L）</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氨氮浓度增量C（mg/L）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23.4372</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0.302577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0.036674</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0.000473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40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5.74E-05</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7.41E-07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60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8.98E-08</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1.16E-09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80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1.41E-10</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1.81E-12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2.2E-13</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2.84E-15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2.06E-27</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2.66E-29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300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1.94E-41</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2.5E-43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400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1.82E-55</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2.34E-57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500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1.7E-69</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2.2E-71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600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1.6E-83</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2.06E-85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700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1.5E-97</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1.9E-99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800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1.4E-111</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1.8E-113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900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1.3E-125</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1.7E-127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1000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1.2E-139</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1.6E-141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1100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1.2E-153</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1.5E-155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1200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1.1E-167</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1.4E-169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1300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1E-181</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1.3E-183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1400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9.6E-196</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1.2E-197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1500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9E-210</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1.2E-211</w:t>
                  </w:r>
                </w:p>
              </w:tc>
            </w:tr>
          </w:tbl>
          <w:p>
            <w:pPr>
              <w:spacing w:line="480" w:lineRule="atLeast"/>
              <w:ind w:firstLine="480" w:firstLineChars="200"/>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由预测结果表明，项目正常工况下排放的COD</w:t>
            </w:r>
            <w:r>
              <w:rPr>
                <w:rFonts w:hint="default" w:ascii="Times New Roman" w:hAnsi="Times New Roman" w:eastAsia="宋体" w:cs="Times New Roman"/>
                <w:snapToGrid w:val="0"/>
                <w:color w:val="000000"/>
                <w:sz w:val="24"/>
                <w:highlight w:val="none"/>
                <w:vertAlign w:val="subscript"/>
              </w:rPr>
              <w:t>Cr</w:t>
            </w:r>
            <w:r>
              <w:rPr>
                <w:rFonts w:hint="default" w:ascii="Times New Roman" w:hAnsi="Times New Roman" w:eastAsia="宋体" w:cs="Times New Roman"/>
                <w:snapToGrid w:val="0"/>
                <w:color w:val="000000"/>
                <w:sz w:val="24"/>
                <w:highlight w:val="none"/>
              </w:rPr>
              <w:t>和氨氮在</w:t>
            </w:r>
            <w:r>
              <w:rPr>
                <w:rFonts w:hint="default" w:ascii="Times New Roman" w:hAnsi="Times New Roman" w:eastAsia="宋体" w:cs="Times New Roman"/>
                <w:snapToGrid w:val="0"/>
                <w:color w:val="000000"/>
                <w:sz w:val="24"/>
                <w:highlight w:val="none"/>
                <w:lang w:eastAsia="zh-CN"/>
              </w:rPr>
              <w:t>九支渠</w:t>
            </w:r>
            <w:r>
              <w:rPr>
                <w:rFonts w:hint="default" w:ascii="Times New Roman" w:hAnsi="Times New Roman" w:eastAsia="宋体" w:cs="Times New Roman"/>
                <w:snapToGrid w:val="0"/>
                <w:color w:val="000000"/>
                <w:sz w:val="24"/>
                <w:highlight w:val="none"/>
              </w:rPr>
              <w:t>内的充分混合浓度分布为23.4372mg/L、0.302577mg/L，污染物增量较少。</w:t>
            </w:r>
          </w:p>
          <w:p>
            <w:pPr>
              <w:spacing w:line="480" w:lineRule="atLeast"/>
              <w:jc w:val="center"/>
              <w:rPr>
                <w:rFonts w:hint="default" w:ascii="Times New Roman" w:hAnsi="Times New Roman" w:eastAsia="宋体" w:cs="Times New Roman"/>
                <w:b/>
                <w:bCs/>
                <w:snapToGrid w:val="0"/>
                <w:color w:val="000000"/>
                <w:sz w:val="24"/>
                <w:highlight w:val="none"/>
              </w:rPr>
            </w:pPr>
            <w:r>
              <w:rPr>
                <w:rFonts w:hint="eastAsia" w:ascii="Times New Roman" w:hAnsi="Times New Roman" w:eastAsia="宋体" w:cs="Times New Roman"/>
                <w:b/>
                <w:bCs/>
                <w:snapToGrid w:val="0"/>
                <w:color w:val="000000"/>
                <w:sz w:val="24"/>
                <w:highlight w:val="none"/>
                <w:lang w:eastAsia="zh-CN"/>
              </w:rPr>
              <w:t>表</w:t>
            </w:r>
            <w:r>
              <w:rPr>
                <w:rFonts w:hint="eastAsia" w:ascii="Times New Roman" w:hAnsi="Times New Roman" w:eastAsia="宋体" w:cs="Times New Roman"/>
                <w:b/>
                <w:bCs/>
                <w:snapToGrid w:val="0"/>
                <w:color w:val="000000"/>
                <w:sz w:val="24"/>
                <w:highlight w:val="none"/>
                <w:lang w:val="en-US" w:eastAsia="zh-CN"/>
              </w:rPr>
              <w:t xml:space="preserve">35  </w:t>
            </w:r>
            <w:r>
              <w:rPr>
                <w:rFonts w:hint="default" w:ascii="Times New Roman" w:hAnsi="Times New Roman" w:eastAsia="宋体" w:cs="Times New Roman"/>
                <w:b/>
                <w:bCs/>
                <w:snapToGrid w:val="0"/>
                <w:color w:val="000000"/>
                <w:sz w:val="24"/>
                <w:highlight w:val="none"/>
              </w:rPr>
              <w:t>非正常工况排放的尾水对</w:t>
            </w:r>
            <w:r>
              <w:rPr>
                <w:rFonts w:hint="default" w:ascii="Times New Roman" w:hAnsi="Times New Roman" w:eastAsia="宋体" w:cs="Times New Roman"/>
                <w:b/>
                <w:bCs/>
                <w:snapToGrid w:val="0"/>
                <w:color w:val="000000"/>
                <w:sz w:val="24"/>
                <w:highlight w:val="none"/>
                <w:lang w:eastAsia="zh-CN"/>
              </w:rPr>
              <w:t>九支渠</w:t>
            </w:r>
            <w:r>
              <w:rPr>
                <w:rFonts w:hint="default" w:ascii="Times New Roman" w:hAnsi="Times New Roman" w:eastAsia="宋体" w:cs="Times New Roman"/>
                <w:b/>
                <w:bCs/>
                <w:snapToGrid w:val="0"/>
                <w:color w:val="000000"/>
                <w:sz w:val="24"/>
                <w:highlight w:val="none"/>
              </w:rPr>
              <w:t>的水质影响结果</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6"/>
              <w:gridCol w:w="2702"/>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距排污口下游距离x（m）</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COD</w:t>
                  </w:r>
                  <w:r>
                    <w:rPr>
                      <w:rFonts w:hint="default" w:ascii="Times New Roman" w:hAnsi="Times New Roman" w:eastAsia="宋体" w:cs="Times New Roman"/>
                      <w:color w:val="000000"/>
                      <w:szCs w:val="21"/>
                      <w:highlight w:val="none"/>
                      <w:vertAlign w:val="subscript"/>
                    </w:rPr>
                    <w:t>Cr</w:t>
                  </w:r>
                  <w:r>
                    <w:rPr>
                      <w:rFonts w:hint="default" w:ascii="Times New Roman" w:hAnsi="Times New Roman" w:eastAsia="宋体" w:cs="Times New Roman"/>
                      <w:color w:val="000000"/>
                      <w:szCs w:val="21"/>
                      <w:highlight w:val="none"/>
                    </w:rPr>
                    <w:t>浓度增量C（mg/L）</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氨氮浓度增量C（mg/L）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23.68168</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0.331624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0.037057</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0.000519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40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5.8E-05</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8.12E-07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60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9.07E-08</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1.27E-09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80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1.42E-10</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1.99E-12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2.22E-13</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3.11E-15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2.08E-27</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2.92E-29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300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1.96E-41</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2.74E-43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400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1.83E-55</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2.57E-57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500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1.72E-69</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2.41E-71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600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1.61E-83</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2.26E-85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700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1.52E-97</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2.1E-99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800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1.4E-111</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2E-113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900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1.3E-125</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1.9E-127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1000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1.3E-139</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1.8E-141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1100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1.2E-153</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1.6E-155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1200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1.1E-167</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1.5E-169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1300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1E-181</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1.4E-183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1400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9.7E-196</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1.4E-197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793"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1500</w:t>
                  </w:r>
                </w:p>
              </w:tc>
              <w:tc>
                <w:tcPr>
                  <w:tcW w:w="1661"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9.1E-210</w:t>
                  </w:r>
                </w:p>
              </w:tc>
              <w:tc>
                <w:tcPr>
                  <w:tcW w:w="1546" w:type="pct"/>
                  <w:tcBorders>
                    <w:tl2br w:val="nil"/>
                    <w:tr2bl w:val="nil"/>
                  </w:tcBorders>
                  <w:noWrap w:val="0"/>
                  <w:vAlign w:val="center"/>
                </w:tcPr>
                <w:p>
                  <w:pPr>
                    <w:pStyle w:val="332"/>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1.3E-211</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由预测结果表明，项目非正常工况下排放的COD</w:t>
            </w:r>
            <w:r>
              <w:rPr>
                <w:rFonts w:hint="default" w:ascii="Times New Roman" w:hAnsi="Times New Roman" w:eastAsia="宋体" w:cs="Times New Roman"/>
                <w:color w:val="000000"/>
                <w:sz w:val="24"/>
                <w:highlight w:val="none"/>
                <w:vertAlign w:val="subscript"/>
              </w:rPr>
              <w:t>Cr</w:t>
            </w:r>
            <w:r>
              <w:rPr>
                <w:rFonts w:hint="default" w:ascii="Times New Roman" w:hAnsi="Times New Roman" w:eastAsia="宋体" w:cs="Times New Roman"/>
                <w:color w:val="000000"/>
                <w:sz w:val="24"/>
                <w:highlight w:val="none"/>
              </w:rPr>
              <w:t>和氨氮在</w:t>
            </w:r>
            <w:r>
              <w:rPr>
                <w:rFonts w:hint="default" w:ascii="Times New Roman" w:hAnsi="Times New Roman" w:eastAsia="宋体" w:cs="Times New Roman"/>
                <w:color w:val="000000"/>
                <w:sz w:val="24"/>
                <w:highlight w:val="none"/>
                <w:lang w:eastAsia="zh-CN"/>
              </w:rPr>
              <w:t>九支渠</w:t>
            </w:r>
            <w:r>
              <w:rPr>
                <w:rFonts w:hint="default" w:ascii="Times New Roman" w:hAnsi="Times New Roman" w:eastAsia="宋体" w:cs="Times New Roman"/>
                <w:color w:val="000000"/>
                <w:sz w:val="24"/>
                <w:highlight w:val="none"/>
              </w:rPr>
              <w:t>内的充分混合浓度分布为23.68168mg/L、0.331624mg/L，污染物COD</w:t>
            </w:r>
            <w:r>
              <w:rPr>
                <w:rFonts w:hint="default" w:ascii="Times New Roman" w:hAnsi="Times New Roman" w:eastAsia="宋体" w:cs="Times New Roman"/>
                <w:color w:val="000000"/>
                <w:sz w:val="24"/>
                <w:highlight w:val="none"/>
                <w:vertAlign w:val="subscript"/>
              </w:rPr>
              <w:t>Cr</w:t>
            </w:r>
            <w:r>
              <w:rPr>
                <w:rFonts w:hint="default" w:ascii="Times New Roman" w:hAnsi="Times New Roman" w:eastAsia="宋体" w:cs="Times New Roman"/>
                <w:color w:val="000000"/>
                <w:sz w:val="24"/>
                <w:highlight w:val="none"/>
              </w:rPr>
              <w:t>和氨氮增量分别是正常污水排放时的1.01倍、1.096倍，对</w:t>
            </w:r>
            <w:r>
              <w:rPr>
                <w:rFonts w:hint="default" w:ascii="Times New Roman" w:hAnsi="Times New Roman" w:eastAsia="宋体" w:cs="Times New Roman"/>
                <w:color w:val="000000"/>
                <w:sz w:val="24"/>
                <w:highlight w:val="none"/>
                <w:lang w:eastAsia="zh-CN"/>
              </w:rPr>
              <w:t>九支渠</w:t>
            </w:r>
            <w:r>
              <w:rPr>
                <w:rFonts w:hint="default" w:ascii="Times New Roman" w:hAnsi="Times New Roman" w:eastAsia="宋体" w:cs="Times New Roman"/>
                <w:color w:val="000000"/>
                <w:sz w:val="24"/>
                <w:highlight w:val="none"/>
              </w:rPr>
              <w:t>的水质影响较小。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000000"/>
                <w:sz w:val="24"/>
                <w:highlight w:val="none"/>
              </w:rPr>
            </w:pPr>
            <w:r>
              <w:rPr>
                <w:rFonts w:hint="default" w:ascii="Times New Roman" w:hAnsi="Times New Roman" w:eastAsia="宋体" w:cs="Times New Roman"/>
                <w:snapToGrid w:val="0"/>
                <w:color w:val="000000"/>
                <w:sz w:val="24"/>
                <w:highlight w:val="none"/>
              </w:rPr>
              <w:t>V、地表水环境影响预测分析小结</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000000"/>
                <w:sz w:val="24"/>
              </w:rPr>
            </w:pPr>
            <w:r>
              <w:rPr>
                <w:rFonts w:hint="default" w:ascii="Times New Roman" w:hAnsi="Times New Roman" w:eastAsia="宋体" w:cs="Times New Roman"/>
                <w:snapToGrid w:val="0"/>
                <w:color w:val="000000"/>
                <w:sz w:val="24"/>
                <w:highlight w:val="none"/>
              </w:rPr>
              <w:t>根据以上分析结果可知，在正常和非正常排放情况下，本项目的废水对</w:t>
            </w:r>
            <w:r>
              <w:rPr>
                <w:rFonts w:hint="default" w:ascii="Times New Roman" w:hAnsi="Times New Roman" w:eastAsia="宋体" w:cs="Times New Roman"/>
                <w:snapToGrid w:val="0"/>
                <w:color w:val="000000"/>
                <w:sz w:val="24"/>
                <w:highlight w:val="none"/>
                <w:lang w:eastAsia="zh-CN"/>
              </w:rPr>
              <w:t>九支渠</w:t>
            </w:r>
            <w:r>
              <w:rPr>
                <w:rFonts w:hint="default" w:ascii="Times New Roman" w:hAnsi="Times New Roman" w:eastAsia="宋体" w:cs="Times New Roman"/>
                <w:snapToGrid w:val="0"/>
                <w:color w:val="000000"/>
                <w:sz w:val="24"/>
                <w:highlight w:val="none"/>
              </w:rPr>
              <w:t>水质的贡献值均很小，在可接受的范围内，不会造成</w:t>
            </w:r>
            <w:r>
              <w:rPr>
                <w:rFonts w:hint="default" w:ascii="Times New Roman" w:hAnsi="Times New Roman" w:eastAsia="宋体" w:cs="Times New Roman"/>
                <w:snapToGrid w:val="0"/>
                <w:color w:val="000000"/>
                <w:sz w:val="24"/>
                <w:highlight w:val="none"/>
                <w:lang w:eastAsia="zh-CN"/>
              </w:rPr>
              <w:t>九支渠</w:t>
            </w:r>
            <w:r>
              <w:rPr>
                <w:rFonts w:hint="default" w:ascii="Times New Roman" w:hAnsi="Times New Roman" w:eastAsia="宋体" w:cs="Times New Roman"/>
                <w:snapToGrid w:val="0"/>
                <w:color w:val="000000"/>
                <w:sz w:val="24"/>
                <w:highlight w:val="none"/>
              </w:rPr>
              <w:t>水质的进一步恶化。</w:t>
            </w:r>
          </w:p>
          <w:p>
            <w:pPr>
              <w:pStyle w:val="95"/>
              <w:jc w:val="both"/>
            </w:pPr>
            <w:r>
              <w:rPr>
                <w:rFonts w:hint="eastAsia"/>
                <w:lang w:eastAsia="zh-CN"/>
              </w:rPr>
              <w:t>通过预测可知，外排水</w:t>
            </w:r>
            <w:r>
              <w:t>满足</w:t>
            </w:r>
            <w:r>
              <w:rPr>
                <w:rFonts w:hint="default" w:ascii="Times New Roman" w:hAnsi="Times New Roman" w:eastAsia="宋体" w:cs="Times New Roman"/>
                <w:color w:val="auto"/>
                <w:sz w:val="24"/>
                <w:szCs w:val="24"/>
                <w:lang w:val="en-US" w:eastAsia="zh-CN"/>
              </w:rPr>
              <w:t>《黑龙港及运东流域水污染物排放标准》（DB13/2797 -2018）表1重点控制区排放限值</w:t>
            </w:r>
            <w:r>
              <w:rPr>
                <w:rFonts w:hint="eastAsia"/>
                <w:szCs w:val="21"/>
              </w:rPr>
              <w:t>，</w:t>
            </w:r>
            <w:r>
              <w:rPr>
                <w:szCs w:val="21"/>
              </w:rPr>
              <w:t>同时满足</w:t>
            </w:r>
            <w:r>
              <w:t>《</w:t>
            </w:r>
            <w:r>
              <w:rPr>
                <w:rFonts w:hint="eastAsia"/>
              </w:rPr>
              <w:t>地表水环境</w:t>
            </w:r>
            <w:r>
              <w:t>质量标准》</w:t>
            </w:r>
            <w:r>
              <w:rPr>
                <w:rFonts w:hint="eastAsia"/>
              </w:rPr>
              <w:t>（GB</w:t>
            </w:r>
            <w:r>
              <w:t>3838-2002</w:t>
            </w:r>
            <w:r>
              <w:rPr>
                <w:rFonts w:hint="eastAsia"/>
              </w:rPr>
              <w:t>）表1中Ⅳ类标准（除总氮外）</w:t>
            </w:r>
            <w:r>
              <w:rPr>
                <w:bCs/>
              </w:rPr>
              <w:t>。</w:t>
            </w:r>
          </w:p>
          <w:p>
            <w:pPr>
              <w:spacing w:line="360" w:lineRule="auto"/>
              <w:ind w:firstLine="480" w:firstLineChars="200"/>
              <w:rPr>
                <w:sz w:val="24"/>
                <w:szCs w:val="24"/>
              </w:rPr>
            </w:pPr>
            <w:r>
              <w:rPr>
                <w:sz w:val="24"/>
                <w:szCs w:val="24"/>
              </w:rPr>
              <w:t>综上可得，本项目外排废水不会对区域地表水环境产生影响。</w:t>
            </w:r>
          </w:p>
          <w:p>
            <w:pPr>
              <w:spacing w:line="360" w:lineRule="auto"/>
              <w:ind w:firstLine="482" w:firstLineChars="200"/>
              <w:rPr>
                <w:b/>
                <w:bCs/>
                <w:sz w:val="24"/>
                <w:szCs w:val="24"/>
              </w:rPr>
            </w:pPr>
            <w:r>
              <w:rPr>
                <w:rFonts w:hint="eastAsia"/>
                <w:b/>
                <w:bCs/>
                <w:sz w:val="24"/>
                <w:szCs w:val="24"/>
              </w:rPr>
              <w:t>三</w:t>
            </w:r>
            <w:r>
              <w:rPr>
                <w:b/>
                <w:bCs/>
                <w:sz w:val="24"/>
                <w:szCs w:val="24"/>
              </w:rPr>
              <w:t>、地下水环境影响分析</w:t>
            </w:r>
          </w:p>
          <w:p>
            <w:pPr>
              <w:spacing w:line="360" w:lineRule="auto"/>
              <w:ind w:firstLine="482" w:firstLineChars="200"/>
              <w:rPr>
                <w:b/>
                <w:sz w:val="24"/>
                <w:szCs w:val="24"/>
              </w:rPr>
            </w:pPr>
            <w:r>
              <w:rPr>
                <w:rFonts w:hint="eastAsia"/>
                <w:b/>
                <w:sz w:val="24"/>
                <w:szCs w:val="24"/>
              </w:rPr>
              <w:t>1、</w:t>
            </w:r>
            <w:r>
              <w:rPr>
                <w:b/>
                <w:sz w:val="24"/>
                <w:szCs w:val="24"/>
              </w:rPr>
              <w:t>评价工作等级</w:t>
            </w:r>
          </w:p>
          <w:p>
            <w:pPr>
              <w:spacing w:line="360" w:lineRule="auto"/>
              <w:ind w:firstLine="480" w:firstLineChars="200"/>
              <w:rPr>
                <w:sz w:val="24"/>
                <w:szCs w:val="24"/>
              </w:rPr>
            </w:pPr>
            <w:r>
              <w:rPr>
                <w:rFonts w:hint="eastAsia"/>
                <w:sz w:val="24"/>
                <w:szCs w:val="24"/>
              </w:rPr>
              <w:t>本次</w:t>
            </w:r>
            <w:r>
              <w:rPr>
                <w:sz w:val="24"/>
                <w:szCs w:val="24"/>
              </w:rPr>
              <w:t>评价</w:t>
            </w:r>
            <w:r>
              <w:rPr>
                <w:rFonts w:hint="eastAsia"/>
                <w:sz w:val="24"/>
                <w:szCs w:val="24"/>
              </w:rPr>
              <w:t>依据《环境</w:t>
            </w:r>
            <w:r>
              <w:rPr>
                <w:sz w:val="24"/>
                <w:szCs w:val="24"/>
              </w:rPr>
              <w:t>影响</w:t>
            </w:r>
            <w:r>
              <w:rPr>
                <w:rFonts w:hint="eastAsia"/>
                <w:sz w:val="24"/>
                <w:szCs w:val="24"/>
              </w:rPr>
              <w:t>评价</w:t>
            </w:r>
            <w:r>
              <w:rPr>
                <w:sz w:val="24"/>
                <w:szCs w:val="24"/>
              </w:rPr>
              <w:t>技术</w:t>
            </w:r>
            <w:r>
              <w:rPr>
                <w:rFonts w:hint="eastAsia"/>
                <w:sz w:val="24"/>
                <w:szCs w:val="24"/>
              </w:rPr>
              <w:t>导则 地下水环境》（HJ610-2016）评价工作等级划分原则，结合项目具体情况，进行项目类型和工作等级的划分。</w:t>
            </w:r>
          </w:p>
          <w:p>
            <w:pPr>
              <w:pStyle w:val="95"/>
              <w:ind w:firstLine="482"/>
              <w:rPr>
                <w:b/>
              </w:rPr>
            </w:pPr>
            <w:r>
              <w:rPr>
                <w:rFonts w:hint="eastAsia"/>
                <w:b/>
              </w:rPr>
              <w:t>1.1 建设项目类型划分</w:t>
            </w:r>
          </w:p>
          <w:p>
            <w:pPr>
              <w:pStyle w:val="95"/>
            </w:pPr>
            <w:r>
              <w:rPr>
                <w:rFonts w:hint="eastAsia"/>
              </w:rPr>
              <w:t>由项目工程分析可知，本项目属于“生活污水集中处理”项目。依据《环境影响评价技术导则 地下水环境》（HJ610-2016）附录 A 可知，本项目的地下水环境影响评价项目类别为“ Ⅲ 类”。</w:t>
            </w:r>
          </w:p>
          <w:p>
            <w:pPr>
              <w:pStyle w:val="95"/>
              <w:ind w:firstLine="482"/>
            </w:pPr>
            <w:r>
              <w:rPr>
                <w:b/>
              </w:rPr>
              <w:t>1</w:t>
            </w:r>
            <w:r>
              <w:rPr>
                <w:rFonts w:hint="eastAsia"/>
                <w:b/>
              </w:rPr>
              <w:t>.2建设</w:t>
            </w:r>
            <w:r>
              <w:rPr>
                <w:b/>
              </w:rPr>
              <w:t>项目地下</w:t>
            </w:r>
            <w:r>
              <w:rPr>
                <w:rFonts w:hint="eastAsia"/>
                <w:b/>
              </w:rPr>
              <w:t>水</w:t>
            </w:r>
            <w:r>
              <w:rPr>
                <w:b/>
              </w:rPr>
              <w:t>环境敏感程度的判定</w:t>
            </w:r>
          </w:p>
          <w:p>
            <w:pPr>
              <w:pStyle w:val="95"/>
              <w:jc w:val="both"/>
            </w:pPr>
            <w:r>
              <w:rPr>
                <w:rFonts w:hint="eastAsia"/>
              </w:rPr>
              <w:t xml:space="preserve">建设项目地下水环境敏感程度分级原则详见表 </w:t>
            </w:r>
            <w:r>
              <w:t>37</w:t>
            </w:r>
            <w:r>
              <w:rPr>
                <w:rFonts w:hint="eastAsia"/>
              </w:rPr>
              <w:t>。</w:t>
            </w:r>
          </w:p>
          <w:p>
            <w:pPr>
              <w:pStyle w:val="95"/>
              <w:ind w:firstLine="482"/>
              <w:jc w:val="center"/>
              <w:rPr>
                <w:b/>
              </w:rPr>
            </w:pPr>
            <w:r>
              <w:rPr>
                <w:rFonts w:hint="eastAsia"/>
                <w:b/>
              </w:rPr>
              <w:t>表</w:t>
            </w:r>
            <w:r>
              <w:rPr>
                <w:b/>
              </w:rPr>
              <w:t>37</w:t>
            </w:r>
            <w:r>
              <w:rPr>
                <w:rFonts w:hint="eastAsia"/>
                <w:b/>
              </w:rPr>
              <w:t xml:space="preserve"> </w:t>
            </w:r>
            <w:r>
              <w:rPr>
                <w:b/>
              </w:rPr>
              <w:t xml:space="preserve"> </w:t>
            </w:r>
            <w:r>
              <w:rPr>
                <w:rFonts w:hint="eastAsia"/>
                <w:b/>
              </w:rPr>
              <w:t>建设项目地下水环境敏感程度分级表</w:t>
            </w:r>
          </w:p>
          <w:tbl>
            <w:tblPr>
              <w:tblStyle w:val="48"/>
              <w:tblW w:w="8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6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vAlign w:val="center"/>
                </w:tcPr>
                <w:p>
                  <w:pPr>
                    <w:pStyle w:val="95"/>
                    <w:spacing w:line="240" w:lineRule="auto"/>
                    <w:ind w:firstLine="0" w:firstLineChars="0"/>
                    <w:jc w:val="center"/>
                    <w:rPr>
                      <w:sz w:val="21"/>
                      <w:szCs w:val="21"/>
                    </w:rPr>
                  </w:pPr>
                  <w:r>
                    <w:rPr>
                      <w:rFonts w:hint="eastAsia"/>
                      <w:sz w:val="21"/>
                      <w:szCs w:val="21"/>
                    </w:rPr>
                    <w:t>敏感</w:t>
                  </w:r>
                  <w:r>
                    <w:rPr>
                      <w:sz w:val="21"/>
                      <w:szCs w:val="21"/>
                    </w:rPr>
                    <w:t>程度</w:t>
                  </w:r>
                </w:p>
              </w:tc>
              <w:tc>
                <w:tcPr>
                  <w:tcW w:w="6567" w:type="dxa"/>
                  <w:vAlign w:val="center"/>
                </w:tcPr>
                <w:p>
                  <w:pPr>
                    <w:pStyle w:val="95"/>
                    <w:spacing w:line="240" w:lineRule="auto"/>
                    <w:ind w:firstLine="0" w:firstLineChars="0"/>
                    <w:jc w:val="center"/>
                    <w:rPr>
                      <w:sz w:val="21"/>
                      <w:szCs w:val="21"/>
                    </w:rPr>
                  </w:pPr>
                  <w:r>
                    <w:rPr>
                      <w:rFonts w:hint="eastAsia"/>
                      <w:sz w:val="21"/>
                      <w:szCs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vAlign w:val="center"/>
                </w:tcPr>
                <w:p>
                  <w:pPr>
                    <w:pStyle w:val="95"/>
                    <w:spacing w:line="240" w:lineRule="auto"/>
                    <w:ind w:firstLine="0" w:firstLineChars="0"/>
                    <w:jc w:val="center"/>
                    <w:rPr>
                      <w:sz w:val="21"/>
                      <w:szCs w:val="21"/>
                    </w:rPr>
                  </w:pPr>
                  <w:r>
                    <w:rPr>
                      <w:rFonts w:hint="eastAsia"/>
                      <w:sz w:val="21"/>
                      <w:szCs w:val="21"/>
                    </w:rPr>
                    <w:t>敏感</w:t>
                  </w:r>
                </w:p>
              </w:tc>
              <w:tc>
                <w:tcPr>
                  <w:tcW w:w="6567" w:type="dxa"/>
                  <w:vAlign w:val="center"/>
                </w:tcPr>
                <w:p>
                  <w:pPr>
                    <w:pStyle w:val="95"/>
                    <w:spacing w:line="240" w:lineRule="auto"/>
                    <w:ind w:firstLine="420"/>
                    <w:rPr>
                      <w:sz w:val="21"/>
                      <w:szCs w:val="21"/>
                    </w:rPr>
                  </w:pPr>
                  <w:r>
                    <w:rPr>
                      <w:rFonts w:hint="eastAsia"/>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vAlign w:val="center"/>
                </w:tcPr>
                <w:p>
                  <w:pPr>
                    <w:pStyle w:val="95"/>
                    <w:spacing w:line="240" w:lineRule="auto"/>
                    <w:ind w:firstLine="0" w:firstLineChars="0"/>
                    <w:jc w:val="center"/>
                    <w:rPr>
                      <w:sz w:val="21"/>
                      <w:szCs w:val="21"/>
                    </w:rPr>
                  </w:pPr>
                  <w:r>
                    <w:rPr>
                      <w:rFonts w:hint="eastAsia"/>
                      <w:sz w:val="21"/>
                      <w:szCs w:val="21"/>
                    </w:rPr>
                    <w:t>较敏感</w:t>
                  </w:r>
                </w:p>
              </w:tc>
              <w:tc>
                <w:tcPr>
                  <w:tcW w:w="6567" w:type="dxa"/>
                  <w:vAlign w:val="center"/>
                </w:tcPr>
                <w:p>
                  <w:pPr>
                    <w:pStyle w:val="95"/>
                    <w:spacing w:line="240" w:lineRule="auto"/>
                    <w:ind w:firstLine="0" w:firstLineChars="0"/>
                    <w:rPr>
                      <w:sz w:val="21"/>
                      <w:szCs w:val="21"/>
                    </w:rPr>
                  </w:pPr>
                  <w:r>
                    <w:rPr>
                      <w:rFonts w:hint="eastAsia"/>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w:t>
                  </w:r>
                </w:p>
                <w:p>
                  <w:pPr>
                    <w:pStyle w:val="95"/>
                    <w:spacing w:line="240" w:lineRule="auto"/>
                    <w:ind w:firstLine="0" w:firstLineChars="0"/>
                    <w:rPr>
                      <w:sz w:val="21"/>
                      <w:szCs w:val="21"/>
                    </w:rPr>
                  </w:pPr>
                  <w:r>
                    <w:rPr>
                      <w:rFonts w:hint="eastAsia"/>
                      <w:sz w:val="21"/>
                      <w:szCs w:val="21"/>
                    </w:rPr>
                    <w:t>他未列入上述敏感分级的环境敏感区a。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vAlign w:val="center"/>
                </w:tcPr>
                <w:p>
                  <w:pPr>
                    <w:pStyle w:val="95"/>
                    <w:spacing w:line="240" w:lineRule="auto"/>
                    <w:ind w:firstLine="0" w:firstLineChars="0"/>
                    <w:jc w:val="center"/>
                    <w:rPr>
                      <w:sz w:val="21"/>
                      <w:szCs w:val="21"/>
                    </w:rPr>
                  </w:pPr>
                  <w:r>
                    <w:rPr>
                      <w:rFonts w:hint="eastAsia"/>
                      <w:sz w:val="21"/>
                      <w:szCs w:val="21"/>
                    </w:rPr>
                    <w:t>不敏感</w:t>
                  </w:r>
                </w:p>
              </w:tc>
              <w:tc>
                <w:tcPr>
                  <w:tcW w:w="6567" w:type="dxa"/>
                  <w:vAlign w:val="center"/>
                </w:tcPr>
                <w:p>
                  <w:pPr>
                    <w:pStyle w:val="95"/>
                    <w:spacing w:line="240" w:lineRule="auto"/>
                    <w:ind w:firstLine="0" w:firstLineChars="0"/>
                    <w:rPr>
                      <w:sz w:val="21"/>
                      <w:szCs w:val="21"/>
                    </w:rPr>
                  </w:pPr>
                  <w:r>
                    <w:rPr>
                      <w:rFonts w:hint="eastAsia"/>
                      <w:sz w:val="21"/>
                      <w:szCs w:val="21"/>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3" w:type="dxa"/>
                  <w:gridSpan w:val="2"/>
                  <w:vAlign w:val="center"/>
                </w:tcPr>
                <w:p>
                  <w:pPr>
                    <w:pStyle w:val="95"/>
                    <w:spacing w:line="240" w:lineRule="auto"/>
                    <w:ind w:firstLine="0" w:firstLineChars="0"/>
                    <w:rPr>
                      <w:sz w:val="21"/>
                      <w:szCs w:val="21"/>
                    </w:rPr>
                  </w:pPr>
                  <w:r>
                    <w:rPr>
                      <w:rFonts w:hint="eastAsia"/>
                      <w:sz w:val="21"/>
                      <w:szCs w:val="21"/>
                    </w:rPr>
                    <w:t>注：a“环境敏感区”是指《建设项目环境影响评价分类管理名录》中所界定的涉及地下水的环境敏感区。</w:t>
                  </w:r>
                </w:p>
              </w:tc>
            </w:tr>
          </w:tbl>
          <w:p>
            <w:pPr>
              <w:pStyle w:val="95"/>
              <w:contextualSpacing/>
              <w:jc w:val="both"/>
            </w:pPr>
            <w:r>
              <w:rPr>
                <w:rFonts w:hint="eastAsia"/>
              </w:rPr>
              <w:t>本项目位于</w:t>
            </w:r>
            <w:r>
              <w:rPr>
                <w:rFonts w:hint="eastAsia"/>
                <w:bCs/>
                <w:szCs w:val="28"/>
                <w:lang w:eastAsia="zh-CN"/>
              </w:rPr>
              <w:t>威县乐牛乳业有限公司厂区内</w:t>
            </w:r>
            <w:r>
              <w:rPr>
                <w:rFonts w:hint="eastAsia"/>
                <w:szCs w:val="28"/>
              </w:rPr>
              <w:t>，</w:t>
            </w:r>
            <w:r>
              <w:t>评价范围内不涉及集中式饮用水源准保护区、特殊地下水资源保护区等地下水的环境敏感区，项目</w:t>
            </w:r>
            <w:r>
              <w:rPr>
                <w:rFonts w:hint="eastAsia"/>
              </w:rPr>
              <w:t>周边</w:t>
            </w:r>
            <w:r>
              <w:t>村庄存在自备水井，属于分散式饮用水，</w:t>
            </w:r>
            <w:r>
              <w:rPr>
                <w:rFonts w:hint="eastAsia"/>
              </w:rPr>
              <w:t>因此</w:t>
            </w:r>
            <w:r>
              <w:t>，本项目地下水敏感程度应定为</w:t>
            </w:r>
            <w:r>
              <w:rPr>
                <w:rFonts w:hint="eastAsia"/>
              </w:rPr>
              <w:t>“较敏感”。</w:t>
            </w:r>
          </w:p>
          <w:p>
            <w:pPr>
              <w:pStyle w:val="95"/>
              <w:ind w:firstLine="482"/>
              <w:contextualSpacing/>
              <w:jc w:val="both"/>
              <w:rPr>
                <w:b/>
              </w:rPr>
            </w:pPr>
            <w:r>
              <w:rPr>
                <w:b/>
              </w:rPr>
              <w:t>1</w:t>
            </w:r>
            <w:r>
              <w:rPr>
                <w:rFonts w:hint="eastAsia"/>
                <w:b/>
              </w:rPr>
              <w:t>.3评价等级</w:t>
            </w:r>
          </w:p>
          <w:p>
            <w:pPr>
              <w:pStyle w:val="95"/>
              <w:contextualSpacing/>
              <w:jc w:val="both"/>
            </w:pPr>
            <w:r>
              <w:rPr>
                <w:rFonts w:hint="eastAsia"/>
              </w:rPr>
              <w:t>根据《环境影响评价技术导则 地下水环境》（HJ610-2016）规定，本项目</w:t>
            </w:r>
            <w:r>
              <w:t>地下水评价</w:t>
            </w:r>
            <w:r>
              <w:rPr>
                <w:rFonts w:hint="eastAsia"/>
              </w:rPr>
              <w:t>工作</w:t>
            </w:r>
            <w:r>
              <w:t>等级</w:t>
            </w:r>
            <w:r>
              <w:rPr>
                <w:rFonts w:hint="eastAsia"/>
              </w:rPr>
              <w:t>为“三级”。</w:t>
            </w:r>
          </w:p>
          <w:p>
            <w:pPr>
              <w:pStyle w:val="95"/>
              <w:ind w:firstLine="482"/>
              <w:contextualSpacing/>
              <w:jc w:val="both"/>
              <w:rPr>
                <w:b/>
              </w:rPr>
            </w:pPr>
            <w:r>
              <w:rPr>
                <w:rFonts w:hint="eastAsia"/>
                <w:b/>
              </w:rPr>
              <w:t>2、评价范围</w:t>
            </w:r>
          </w:p>
          <w:p>
            <w:pPr>
              <w:pStyle w:val="95"/>
              <w:contextualSpacing/>
              <w:jc w:val="both"/>
            </w:pPr>
            <w:r>
              <w:rPr>
                <w:rFonts w:hint="eastAsia"/>
              </w:rPr>
              <w:t>据项目水文地质条件、地下水流动特征和敏感点位置，同时考虑拟建项目对地下水环境影响范围及影响程度，以能满足环境影响预测和分析的要求为原则。根据项目区地下水流向（</w:t>
            </w:r>
            <w:r>
              <w:rPr>
                <w:color w:val="auto"/>
                <w:sz w:val="24"/>
                <w:szCs w:val="24"/>
                <w:highlight w:val="none"/>
              </w:rPr>
              <w:t>自西南向东北</w:t>
            </w:r>
            <w:r>
              <w:rPr>
                <w:rFonts w:hint="eastAsia"/>
              </w:rPr>
              <w:t xml:space="preserve">）以及地下水评价导则中有关调查评价范围的确定方法（查表法）的规定，同时考虑项目在可能对地下水质影响的范围，确定本次调查评价范围为：以项目厂区为中心，西北方向外延 </w:t>
            </w:r>
            <w:r>
              <w:t>1.0</w:t>
            </w:r>
            <w:r>
              <w:rPr>
                <w:rFonts w:hint="eastAsia"/>
              </w:rPr>
              <w:t>km，东北方向和西南</w:t>
            </w:r>
            <w:r>
              <w:t>各外延</w:t>
            </w:r>
            <w:r>
              <w:rPr>
                <w:rFonts w:hint="eastAsia"/>
              </w:rPr>
              <w:t>1km，</w:t>
            </w:r>
            <w:r>
              <w:t>东南</w:t>
            </w:r>
            <w:r>
              <w:rPr>
                <w:rFonts w:hint="eastAsia"/>
              </w:rPr>
              <w:t xml:space="preserve">外延 </w:t>
            </w:r>
            <w:r>
              <w:t>2.0</w:t>
            </w:r>
            <w:r>
              <w:rPr>
                <w:rFonts w:hint="eastAsia"/>
              </w:rPr>
              <w:t xml:space="preserve">km，面积约为 6km </w:t>
            </w:r>
            <w:r>
              <w:rPr>
                <w:rFonts w:hint="eastAsia"/>
                <w:vertAlign w:val="superscript"/>
              </w:rPr>
              <w:t xml:space="preserve">2 </w:t>
            </w:r>
            <w:r>
              <w:rPr>
                <w:rFonts w:hint="eastAsia"/>
              </w:rPr>
              <w:t>。</w:t>
            </w:r>
          </w:p>
          <w:p>
            <w:pPr>
              <w:spacing w:line="360" w:lineRule="auto"/>
              <w:ind w:firstLine="482" w:firstLineChars="200"/>
              <w:contextualSpacing/>
              <w:rPr>
                <w:b/>
                <w:sz w:val="24"/>
                <w:szCs w:val="24"/>
              </w:rPr>
            </w:pPr>
            <w:r>
              <w:rPr>
                <w:rFonts w:hint="eastAsia"/>
                <w:b/>
                <w:sz w:val="24"/>
                <w:szCs w:val="24"/>
              </w:rPr>
              <w:t>3、地下水环境影响分析</w:t>
            </w:r>
          </w:p>
          <w:p>
            <w:pPr>
              <w:pStyle w:val="95"/>
              <w:ind w:firstLine="482"/>
              <w:contextualSpacing/>
              <w:jc w:val="both"/>
              <w:rPr>
                <w:b/>
              </w:rPr>
            </w:pPr>
            <w:r>
              <w:rPr>
                <w:rFonts w:hint="eastAsia"/>
                <w:b/>
              </w:rPr>
              <w:t>3.1地层</w:t>
            </w:r>
            <w:r>
              <w:rPr>
                <w:b/>
              </w:rPr>
              <w:t>与</w:t>
            </w:r>
            <w:r>
              <w:rPr>
                <w:rFonts w:hint="eastAsia"/>
                <w:b/>
              </w:rPr>
              <w:t>地质</w:t>
            </w:r>
            <w:r>
              <w:rPr>
                <w:b/>
              </w:rPr>
              <w:t>构造分析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cs="Times New Roman"/>
                <w:b w:val="0"/>
                <w:bCs/>
                <w:sz w:val="24"/>
                <w:szCs w:val="24"/>
                <w:highlight w:val="none"/>
                <w:lang w:val="en-US" w:eastAsia="zh-CN"/>
              </w:rPr>
            </w:pPr>
            <w:r>
              <w:rPr>
                <w:rFonts w:hint="default" w:cs="Times New Roman"/>
                <w:b w:val="0"/>
                <w:bCs/>
                <w:sz w:val="24"/>
                <w:szCs w:val="24"/>
                <w:highlight w:val="none"/>
                <w:lang w:val="en-US" w:eastAsia="zh-CN"/>
              </w:rPr>
              <w:t>本项目所在区域地层主要为第四系全新统和上更新统，第四系地层总厚度达500-600m。根据位于该区域的地质勘察资料可知，勘察深度范围内（20.7m）自地表至地表以下土壤岩性划分为7层，地层分布特征为：</w:t>
            </w:r>
          </w:p>
          <w:p>
            <w:pPr>
              <w:adjustRightInd w:val="0"/>
              <w:snapToGrid w:val="0"/>
              <w:spacing w:line="360" w:lineRule="auto"/>
              <w:ind w:firstLine="480" w:firstLineChars="200"/>
              <w:rPr>
                <w:sz w:val="24"/>
                <w:szCs w:val="22"/>
              </w:rPr>
            </w:pPr>
            <w:r>
              <w:rPr>
                <w:rFonts w:hint="default" w:cs="Times New Roman"/>
                <w:b w:val="0"/>
                <w:bCs/>
                <w:sz w:val="24"/>
                <w:szCs w:val="24"/>
                <w:highlight w:val="none"/>
                <w:lang w:val="en-US" w:eastAsia="zh-CN"/>
              </w:rPr>
              <w:t>I层耕土（粉土），厚0.41m；2层粉土，厚4.45m；3层粉土，厚2.37m；4层粉细砂，厚4.90m，其中4-1层为粉质粘土，厚1.57m；5层粉质粘土，厚1.68m；6层粉质粘土，厚6.87m；7层粉细砂，该层未穿透。综合分析，该区域20.7m范围内粉土厚7.25m，占35.0%；粉细砂厚3.33m，占16.1%；粉质粘土厚10.12m，占48.9%，可见粉质粘土所占比例最高，将近一半。</w:t>
            </w:r>
          </w:p>
          <w:p>
            <w:pPr>
              <w:adjustRightInd w:val="0"/>
              <w:snapToGrid w:val="0"/>
              <w:spacing w:line="360" w:lineRule="auto"/>
              <w:ind w:firstLine="482" w:firstLineChars="200"/>
              <w:rPr>
                <w:b/>
                <w:sz w:val="24"/>
                <w:szCs w:val="24"/>
              </w:rPr>
            </w:pPr>
            <w:r>
              <w:rPr>
                <w:rFonts w:hint="eastAsia"/>
                <w:b/>
                <w:sz w:val="24"/>
                <w:szCs w:val="24"/>
              </w:rPr>
              <w:t>3.</w:t>
            </w:r>
            <w:r>
              <w:rPr>
                <w:b/>
                <w:sz w:val="24"/>
                <w:szCs w:val="24"/>
              </w:rPr>
              <w:t>2</w:t>
            </w:r>
            <w:r>
              <w:rPr>
                <w:rFonts w:hint="eastAsia"/>
                <w:b/>
                <w:sz w:val="24"/>
                <w:szCs w:val="24"/>
              </w:rPr>
              <w:t>包气带</w:t>
            </w:r>
            <w:r>
              <w:rPr>
                <w:b/>
                <w:sz w:val="24"/>
                <w:szCs w:val="24"/>
              </w:rPr>
              <w:t>防渗性能分析</w:t>
            </w:r>
          </w:p>
          <w:p>
            <w:pPr>
              <w:adjustRightInd w:val="0"/>
              <w:snapToGrid w:val="0"/>
              <w:spacing w:line="360" w:lineRule="auto"/>
              <w:ind w:firstLine="480" w:firstLineChars="200"/>
              <w:rPr>
                <w:sz w:val="24"/>
                <w:szCs w:val="24"/>
              </w:rPr>
            </w:pPr>
            <w:r>
              <w:rPr>
                <w:rFonts w:hint="eastAsia"/>
                <w:sz w:val="24"/>
                <w:szCs w:val="24"/>
              </w:rPr>
              <w:t>包气带是地下含水层的天然保护层，是地表污染物质进入含水层的垂直过渡带。污染物质进入包气带便与周围介质发生物理化学生物化学等作用，其作用时间越长越充分，包气带净化能力越强。包气带岩土对污染物质吸附能力大小与岩石颗粒大小及比表面积有关，通常粘性土大于砂性土。该区域包气带由粘土、亚粘土、淤泥质亚砂土夹细砂、粉细砂、粉砂等所组成，结构疏松，该区域包气带防护性能较差。</w:t>
            </w:r>
          </w:p>
          <w:p>
            <w:pPr>
              <w:spacing w:line="360" w:lineRule="auto"/>
              <w:ind w:firstLine="480" w:firstLineChars="200"/>
              <w:contextualSpacing/>
              <w:rPr>
                <w:sz w:val="24"/>
                <w:szCs w:val="24"/>
              </w:rPr>
            </w:pPr>
            <w:r>
              <w:rPr>
                <w:rFonts w:hint="eastAsia"/>
                <w:sz w:val="24"/>
                <w:szCs w:val="24"/>
              </w:rPr>
              <w:t>第Ⅱ含水组顶板为分布比较稳定且厚度较大的粘土隔水层，所以降水垂直渗入补给条件较差，含水层本身颗粒较细，局部呈透镜体状，个别为封闭或半封闭式含水体，区内无开采，径流、排泄条件较差。第Ⅲ含水组上覆地层主要为砂质粘土，接受越流补给的条件较好。该区域深层地下水上覆地层具有一定的防污能力。</w:t>
            </w:r>
          </w:p>
          <w:p>
            <w:pPr>
              <w:spacing w:line="360" w:lineRule="auto"/>
              <w:ind w:firstLine="480" w:firstLineChars="200"/>
              <w:contextualSpacing/>
              <w:rPr>
                <w:sz w:val="24"/>
                <w:szCs w:val="24"/>
              </w:rPr>
            </w:pPr>
            <w:r>
              <w:rPr>
                <w:rFonts w:hint="eastAsia"/>
                <w:sz w:val="24"/>
                <w:szCs w:val="24"/>
              </w:rPr>
              <w:t>3.3</w:t>
            </w:r>
            <w:r>
              <w:rPr>
                <w:rFonts w:hint="eastAsia"/>
                <w:b/>
                <w:sz w:val="24"/>
                <w:szCs w:val="24"/>
              </w:rPr>
              <w:t>地下水环境影响</w:t>
            </w:r>
          </w:p>
          <w:p>
            <w:pPr>
              <w:spacing w:line="360" w:lineRule="auto"/>
              <w:ind w:firstLine="480" w:firstLineChars="200"/>
              <w:contextualSpacing/>
              <w:rPr>
                <w:sz w:val="24"/>
                <w:szCs w:val="24"/>
              </w:rPr>
            </w:pPr>
            <w:r>
              <w:rPr>
                <w:rFonts w:hint="eastAsia"/>
                <w:sz w:val="24"/>
                <w:szCs w:val="24"/>
              </w:rPr>
              <w:t>①影响途径</w:t>
            </w:r>
          </w:p>
          <w:p>
            <w:pPr>
              <w:spacing w:line="360" w:lineRule="auto"/>
              <w:ind w:firstLine="480" w:firstLineChars="200"/>
              <w:contextualSpacing/>
              <w:rPr>
                <w:sz w:val="24"/>
                <w:szCs w:val="24"/>
              </w:rPr>
            </w:pPr>
            <w:r>
              <w:rPr>
                <w:rFonts w:hint="eastAsia"/>
                <w:sz w:val="24"/>
                <w:szCs w:val="24"/>
              </w:rPr>
              <w:t>本项目可能对地下水造成影响的途径主要为：污水处理</w:t>
            </w:r>
            <w:r>
              <w:rPr>
                <w:rFonts w:hint="eastAsia"/>
                <w:sz w:val="24"/>
                <w:szCs w:val="24"/>
                <w:lang w:val="en-US" w:eastAsia="zh-CN"/>
              </w:rPr>
              <w:t>系统</w:t>
            </w:r>
            <w:r>
              <w:rPr>
                <w:rFonts w:hint="eastAsia"/>
                <w:sz w:val="24"/>
                <w:szCs w:val="24"/>
              </w:rPr>
              <w:t>各池体污水通过池体底部、厂内污水管网，对地下水环境产生污染影响。</w:t>
            </w:r>
          </w:p>
          <w:p>
            <w:pPr>
              <w:spacing w:line="360" w:lineRule="auto"/>
              <w:ind w:firstLine="480" w:firstLineChars="200"/>
              <w:contextualSpacing/>
              <w:rPr>
                <w:sz w:val="24"/>
                <w:szCs w:val="24"/>
              </w:rPr>
            </w:pPr>
            <w:r>
              <w:rPr>
                <w:rFonts w:hint="eastAsia"/>
                <w:sz w:val="24"/>
                <w:szCs w:val="24"/>
              </w:rPr>
              <w:t>②对浅层地下水的影响</w:t>
            </w:r>
          </w:p>
          <w:p>
            <w:pPr>
              <w:spacing w:line="360" w:lineRule="auto"/>
              <w:ind w:firstLine="480" w:firstLineChars="200"/>
              <w:contextualSpacing/>
              <w:rPr>
                <w:sz w:val="24"/>
                <w:szCs w:val="24"/>
              </w:rPr>
            </w:pPr>
            <w:r>
              <w:rPr>
                <w:rFonts w:hint="eastAsia"/>
                <w:sz w:val="24"/>
                <w:szCs w:val="24"/>
              </w:rPr>
              <w:t>本项目污水处理各池体和建筑均采取防腐防渗措施，正常情况下，项目不</w:t>
            </w:r>
          </w:p>
          <w:p>
            <w:pPr>
              <w:spacing w:line="360" w:lineRule="auto"/>
              <w:contextualSpacing/>
              <w:rPr>
                <w:sz w:val="24"/>
                <w:szCs w:val="24"/>
              </w:rPr>
            </w:pPr>
            <w:r>
              <w:rPr>
                <w:rFonts w:hint="eastAsia"/>
                <w:sz w:val="24"/>
                <w:szCs w:val="24"/>
              </w:rPr>
              <w:t>会对区域地下水产生不利影响。当发生污染物池体长时间泄漏、或者地面、槽体防渗层开裂等情况，污染物将会迁移穿过包气带进入含水层造成地下水不利影响。因此企业应加强日常排查养护工作，发现防渗层有裂纹、破损要即时修补，降低污染事故发生概率。另外该地区包气带岩性以粉土、粉质粘土为主，渗透系数较小，具有一定的防污性能，若废水、废液发生渗漏，污染物不易穿过包气带进入浅层地下水，对浅层地下水的污染很小。</w:t>
            </w:r>
          </w:p>
          <w:p>
            <w:pPr>
              <w:spacing w:line="360" w:lineRule="auto"/>
              <w:ind w:firstLine="480" w:firstLineChars="200"/>
              <w:contextualSpacing/>
              <w:rPr>
                <w:sz w:val="24"/>
                <w:szCs w:val="24"/>
              </w:rPr>
            </w:pPr>
            <w:r>
              <w:rPr>
                <w:rFonts w:hint="eastAsia"/>
                <w:sz w:val="24"/>
                <w:szCs w:val="24"/>
              </w:rPr>
              <w:t>③对深层地下水的污染影响</w:t>
            </w:r>
          </w:p>
          <w:p>
            <w:pPr>
              <w:spacing w:line="360" w:lineRule="auto"/>
              <w:ind w:firstLine="480" w:firstLineChars="200"/>
              <w:contextualSpacing/>
              <w:rPr>
                <w:sz w:val="24"/>
                <w:szCs w:val="24"/>
              </w:rPr>
            </w:pPr>
            <w:r>
              <w:rPr>
                <w:rFonts w:hint="eastAsia"/>
                <w:sz w:val="24"/>
                <w:szCs w:val="24"/>
              </w:rPr>
              <w:t>判断深层地下水是否会受到污染影响，通常分析深层地下水含水组上覆地层的防污性能和有无与浅层地下水的水利联系。该区域深层地下水与浅层地下水之间有较厚隔水层，缺乏水力联系，因此，深层地下水受到污染影响的可能性较小。</w:t>
            </w:r>
          </w:p>
          <w:p>
            <w:pPr>
              <w:adjustRightInd w:val="0"/>
              <w:snapToGrid w:val="0"/>
              <w:spacing w:line="360" w:lineRule="auto"/>
              <w:ind w:firstLine="482" w:firstLineChars="200"/>
              <w:rPr>
                <w:b/>
                <w:sz w:val="24"/>
                <w:szCs w:val="24"/>
              </w:rPr>
            </w:pPr>
            <w:r>
              <w:rPr>
                <w:rFonts w:hint="eastAsia"/>
                <w:b/>
                <w:sz w:val="24"/>
                <w:szCs w:val="24"/>
              </w:rPr>
              <w:t>4、地下水</w:t>
            </w:r>
            <w:r>
              <w:rPr>
                <w:b/>
                <w:sz w:val="24"/>
                <w:szCs w:val="24"/>
              </w:rPr>
              <w:t>环境影响预防措施</w:t>
            </w:r>
          </w:p>
          <w:p>
            <w:pPr>
              <w:adjustRightInd w:val="0"/>
              <w:snapToGrid w:val="0"/>
              <w:spacing w:line="360" w:lineRule="auto"/>
              <w:ind w:firstLine="480" w:firstLineChars="200"/>
              <w:rPr>
                <w:sz w:val="24"/>
                <w:szCs w:val="24"/>
              </w:rPr>
            </w:pPr>
            <w:r>
              <w:rPr>
                <w:rFonts w:hint="eastAsia"/>
                <w:sz w:val="24"/>
                <w:szCs w:val="24"/>
              </w:rPr>
              <w:t>为防止本项目废水对地下水水质造成污染，本评价建议采取以下防范措施：</w:t>
            </w:r>
          </w:p>
          <w:p>
            <w:pPr>
              <w:adjustRightInd w:val="0"/>
              <w:snapToGrid w:val="0"/>
              <w:spacing w:line="360" w:lineRule="auto"/>
              <w:ind w:firstLine="480" w:firstLineChars="200"/>
              <w:rPr>
                <w:sz w:val="24"/>
                <w:szCs w:val="24"/>
              </w:rPr>
            </w:pPr>
            <w:r>
              <w:rPr>
                <w:rFonts w:hint="eastAsia"/>
                <w:sz w:val="24"/>
                <w:szCs w:val="24"/>
              </w:rPr>
              <w:t>①源头控制措施</w:t>
            </w:r>
          </w:p>
          <w:p>
            <w:pPr>
              <w:adjustRightInd w:val="0"/>
              <w:snapToGrid w:val="0"/>
              <w:spacing w:line="360" w:lineRule="auto"/>
              <w:ind w:firstLine="480" w:firstLineChars="200"/>
              <w:rPr>
                <w:sz w:val="24"/>
                <w:szCs w:val="24"/>
              </w:rPr>
            </w:pPr>
            <w:r>
              <w:rPr>
                <w:rFonts w:hint="eastAsia"/>
                <w:sz w:val="24"/>
                <w:szCs w:val="24"/>
              </w:rPr>
              <w:t>对管道、阀门严格检查，有质量问题的及时更换，管道、阀门都应采用优质耐腐蚀材料制成的产品。对工艺要求必须地下走管的管道、阀门设专用防渗管沟，管沟上设活动观察顶盖，以便出现泄漏问题及时观察、解决，管沟与集水池相连，并设计合理的排水坡度，便于污水排入集水池，便于发现污染物的跑、冒、滴、漏，将污染物跑、冒、滴、漏降至最低限度。</w:t>
            </w:r>
          </w:p>
          <w:p>
            <w:pPr>
              <w:adjustRightInd w:val="0"/>
              <w:snapToGrid w:val="0"/>
              <w:spacing w:line="360" w:lineRule="auto"/>
              <w:ind w:firstLine="480" w:firstLineChars="200"/>
              <w:rPr>
                <w:sz w:val="24"/>
                <w:szCs w:val="24"/>
              </w:rPr>
            </w:pPr>
            <w:r>
              <w:rPr>
                <w:rFonts w:hint="eastAsia"/>
                <w:sz w:val="24"/>
                <w:szCs w:val="24"/>
              </w:rPr>
              <w:t>②分区防控措施</w:t>
            </w:r>
          </w:p>
          <w:p>
            <w:pPr>
              <w:adjustRightInd w:val="0"/>
              <w:snapToGrid w:val="0"/>
              <w:spacing w:line="360" w:lineRule="auto"/>
              <w:ind w:firstLine="480" w:firstLineChars="200"/>
              <w:rPr>
                <w:sz w:val="24"/>
                <w:szCs w:val="24"/>
              </w:rPr>
            </w:pPr>
            <w:r>
              <w:rPr>
                <w:rFonts w:hint="eastAsia"/>
                <w:sz w:val="24"/>
                <w:szCs w:val="24"/>
              </w:rPr>
              <w:t>为防止污染地下水，针对项目特点，依据《环境影响评价技术导则 地下水环境》(HJ610-2016)相关要求，将厂区分为重点防渗区和简单防渗区，采取相应的防渗措施，防渗的设计使用年限不应低于本项目主体工程的设计使用年限。</w:t>
            </w:r>
          </w:p>
          <w:p>
            <w:pPr>
              <w:adjustRightInd w:val="0"/>
              <w:snapToGrid w:val="0"/>
              <w:spacing w:line="360" w:lineRule="auto"/>
              <w:ind w:firstLine="480" w:firstLineChars="200"/>
              <w:rPr>
                <w:sz w:val="24"/>
                <w:szCs w:val="24"/>
              </w:rPr>
            </w:pPr>
            <w:r>
              <w:rPr>
                <w:rFonts w:hint="eastAsia"/>
                <w:sz w:val="24"/>
                <w:szCs w:val="24"/>
              </w:rPr>
              <w:t>①简单污染防治区(防渗区)</w:t>
            </w:r>
          </w:p>
          <w:p>
            <w:pPr>
              <w:adjustRightInd w:val="0"/>
              <w:snapToGrid w:val="0"/>
              <w:spacing w:line="360" w:lineRule="auto"/>
              <w:ind w:firstLine="480" w:firstLineChars="200"/>
              <w:rPr>
                <w:sz w:val="24"/>
                <w:szCs w:val="24"/>
              </w:rPr>
            </w:pPr>
            <w:r>
              <w:rPr>
                <w:rFonts w:hint="eastAsia"/>
                <w:sz w:val="24"/>
                <w:szCs w:val="24"/>
              </w:rPr>
              <w:t>简单污染防治区是指污染较容易控制的区域，包括仓库</w:t>
            </w:r>
            <w:r>
              <w:rPr>
                <w:sz w:val="24"/>
                <w:szCs w:val="24"/>
              </w:rPr>
              <w:t>、</w:t>
            </w:r>
            <w:r>
              <w:rPr>
                <w:rFonts w:hint="eastAsia"/>
                <w:sz w:val="24"/>
                <w:szCs w:val="24"/>
              </w:rPr>
              <w:t>配电间等。简单污染防治区要求全部</w:t>
            </w:r>
            <w:r>
              <w:rPr>
                <w:sz w:val="24"/>
                <w:szCs w:val="24"/>
              </w:rPr>
              <w:t>采用水泥硬化路面</w:t>
            </w:r>
            <w:r>
              <w:rPr>
                <w:rFonts w:hint="eastAsia"/>
                <w:sz w:val="24"/>
                <w:szCs w:val="24"/>
              </w:rPr>
              <w:t>。</w:t>
            </w:r>
          </w:p>
          <w:p>
            <w:pPr>
              <w:adjustRightInd w:val="0"/>
              <w:snapToGrid w:val="0"/>
              <w:spacing w:line="360" w:lineRule="auto"/>
              <w:ind w:firstLine="480" w:firstLineChars="200"/>
              <w:rPr>
                <w:sz w:val="24"/>
                <w:szCs w:val="24"/>
              </w:rPr>
            </w:pPr>
            <w:r>
              <w:rPr>
                <w:rFonts w:hint="eastAsia"/>
                <w:sz w:val="24"/>
                <w:szCs w:val="24"/>
              </w:rPr>
              <w:t>②重点污染防治区(防渗区)</w:t>
            </w:r>
          </w:p>
          <w:p>
            <w:pPr>
              <w:adjustRightInd w:val="0"/>
              <w:snapToGrid w:val="0"/>
              <w:spacing w:line="360" w:lineRule="auto"/>
              <w:ind w:firstLine="480" w:firstLineChars="200"/>
              <w:rPr>
                <w:sz w:val="24"/>
                <w:szCs w:val="24"/>
              </w:rPr>
            </w:pPr>
            <w:r>
              <w:rPr>
                <w:rFonts w:hint="eastAsia"/>
                <w:sz w:val="24"/>
                <w:szCs w:val="24"/>
              </w:rPr>
              <w:t>重点污染防治区是指污染难控制的区域，包括各</w:t>
            </w:r>
            <w:r>
              <w:rPr>
                <w:sz w:val="24"/>
                <w:szCs w:val="24"/>
              </w:rPr>
              <w:t>污水处理构筑物</w:t>
            </w:r>
            <w:r>
              <w:rPr>
                <w:rFonts w:hint="eastAsia"/>
                <w:sz w:val="24"/>
                <w:szCs w:val="24"/>
              </w:rPr>
              <w:t>。重点污染防治区要求防渗性能等效于</w:t>
            </w:r>
            <w:r>
              <w:rPr>
                <w:sz w:val="24"/>
                <w:szCs w:val="24"/>
              </w:rPr>
              <w:t>6.0m厚粘土，渗透系数小于10</w:t>
            </w:r>
            <w:r>
              <w:rPr>
                <w:sz w:val="24"/>
                <w:szCs w:val="24"/>
                <w:vertAlign w:val="superscript"/>
              </w:rPr>
              <w:t>-7</w:t>
            </w:r>
            <w:r>
              <w:rPr>
                <w:sz w:val="24"/>
                <w:szCs w:val="24"/>
              </w:rPr>
              <w:t>cm/s</w:t>
            </w:r>
            <w:r>
              <w:rPr>
                <w:rFonts w:hint="eastAsia"/>
                <w:sz w:val="24"/>
                <w:szCs w:val="24"/>
              </w:rPr>
              <w:t>。</w:t>
            </w:r>
          </w:p>
          <w:p>
            <w:pPr>
              <w:pStyle w:val="95"/>
              <w:ind w:firstLine="482"/>
              <w:jc w:val="both"/>
              <w:rPr>
                <w:b/>
              </w:rPr>
            </w:pPr>
            <w:r>
              <w:rPr>
                <w:rFonts w:hint="eastAsia"/>
                <w:b/>
                <w:lang w:val="en-US" w:eastAsia="zh-CN"/>
              </w:rPr>
              <w:t>5</w:t>
            </w:r>
            <w:r>
              <w:rPr>
                <w:rFonts w:hint="eastAsia"/>
                <w:b/>
              </w:rPr>
              <w:t>、地下水</w:t>
            </w:r>
            <w:r>
              <w:rPr>
                <w:b/>
              </w:rPr>
              <w:t>环境影响评价</w:t>
            </w:r>
          </w:p>
          <w:p>
            <w:pPr>
              <w:pStyle w:val="95"/>
              <w:jc w:val="both"/>
            </w:pPr>
            <w:r>
              <w:rPr>
                <w:rFonts w:hint="eastAsia"/>
              </w:rPr>
              <w:t>由</w:t>
            </w:r>
            <w:r>
              <w:t>污染途径及应对措施分析可知，在确保</w:t>
            </w:r>
            <w:r>
              <w:rPr>
                <w:rFonts w:hint="eastAsia"/>
              </w:rPr>
              <w:t>厂区</w:t>
            </w:r>
            <w:r>
              <w:t>内各处理构筑物防渗措施得以落实并得到良好维护的前提下，可有效控制厂区内污染物下渗现象，污染物发生入渗的可能性较小，项目建设</w:t>
            </w:r>
            <w:r>
              <w:rPr>
                <w:rFonts w:hint="eastAsia"/>
              </w:rPr>
              <w:t>不会</w:t>
            </w:r>
            <w:r>
              <w:t>对周围地下水环境造成明显不利影响。</w:t>
            </w:r>
          </w:p>
          <w:p>
            <w:pPr>
              <w:pStyle w:val="43"/>
              <w:spacing w:before="0" w:beforeAutospacing="0" w:after="0" w:afterAutospacing="0" w:line="360" w:lineRule="auto"/>
              <w:ind w:firstLine="458" w:firstLineChars="200"/>
              <w:jc w:val="both"/>
              <w:rPr>
                <w:rFonts w:ascii="Times New Roman" w:hAnsi="Times New Roman"/>
                <w:b/>
                <w:spacing w:val="-6"/>
              </w:rPr>
            </w:pPr>
            <w:r>
              <w:rPr>
                <w:rFonts w:hint="eastAsia" w:ascii="Times New Roman" w:hAnsi="Times New Roman"/>
                <w:b/>
                <w:spacing w:val="-6"/>
              </w:rPr>
              <w:t>四</w:t>
            </w:r>
            <w:r>
              <w:rPr>
                <w:rFonts w:ascii="Times New Roman" w:hAnsi="Times New Roman"/>
                <w:b/>
                <w:spacing w:val="-6"/>
              </w:rPr>
              <w:t>、声环境影响分析</w:t>
            </w:r>
          </w:p>
          <w:p>
            <w:pPr>
              <w:pStyle w:val="43"/>
              <w:spacing w:before="0" w:beforeAutospacing="0" w:after="0" w:afterAutospacing="0" w:line="360" w:lineRule="auto"/>
              <w:ind w:firstLine="456" w:firstLineChars="200"/>
              <w:jc w:val="both"/>
              <w:rPr>
                <w:rFonts w:ascii="Times New Roman" w:hAnsi="Times New Roman"/>
                <w:spacing w:val="-6"/>
              </w:rPr>
            </w:pPr>
            <w:r>
              <w:rPr>
                <w:rFonts w:ascii="Times New Roman" w:hAnsi="Times New Roman"/>
                <w:spacing w:val="-6"/>
              </w:rPr>
              <w:t>该项目噪声污染源主要为</w:t>
            </w:r>
            <w:r>
              <w:rPr>
                <w:rFonts w:hint="eastAsia" w:ascii="Times New Roman" w:hAnsi="Times New Roman"/>
                <w:spacing w:val="-6"/>
              </w:rPr>
              <w:t>各种</w:t>
            </w:r>
            <w:r>
              <w:rPr>
                <w:rFonts w:ascii="Times New Roman" w:hAnsi="Times New Roman"/>
                <w:spacing w:val="-6"/>
              </w:rPr>
              <w:t>泵类、风机等机械设备，噪声源强在65~90dB（A）之间，项目对各主要噪声设备采取低噪声设备、隔声减振等措施。采取上述措施可减噪15~30 dB（A），再通过距离衰减，厂界噪声厂界可满足《工业企业厂界环境噪声排放标准》（GB12348-2008）中2类标准</w:t>
            </w:r>
            <w:r>
              <w:rPr>
                <w:rFonts w:hint="eastAsia" w:ascii="Times New Roman" w:hAnsi="Times New Roman"/>
                <w:spacing w:val="-6"/>
              </w:rPr>
              <w:t>。</w:t>
            </w:r>
            <w:r>
              <w:rPr>
                <w:rFonts w:ascii="Times New Roman" w:hAnsi="Times New Roman"/>
                <w:spacing w:val="-6"/>
              </w:rPr>
              <w:t>不会对其环境产生明显影响。</w:t>
            </w:r>
          </w:p>
          <w:p>
            <w:pPr>
              <w:spacing w:line="360" w:lineRule="auto"/>
              <w:ind w:left="420" w:leftChars="200"/>
              <w:rPr>
                <w:b/>
                <w:sz w:val="24"/>
                <w:szCs w:val="24"/>
              </w:rPr>
            </w:pPr>
            <w:r>
              <w:rPr>
                <w:rFonts w:hint="eastAsia" w:ascii="宋体" w:hAnsi="宋体" w:cs="宋体"/>
                <w:b/>
                <w:sz w:val="24"/>
                <w:szCs w:val="24"/>
              </w:rPr>
              <w:t>五</w:t>
            </w:r>
            <w:r>
              <w:rPr>
                <w:b/>
                <w:sz w:val="24"/>
                <w:szCs w:val="24"/>
              </w:rPr>
              <w:t>、固体废物环境影响分析</w:t>
            </w:r>
          </w:p>
          <w:p>
            <w:pPr>
              <w:pStyle w:val="95"/>
            </w:pPr>
            <w:r>
              <w:rPr>
                <w:rFonts w:hint="eastAsia"/>
              </w:rPr>
              <w:t>技改</w:t>
            </w:r>
            <w:r>
              <w:t>后</w:t>
            </w:r>
            <w:r>
              <w:rPr>
                <w:rFonts w:hint="eastAsia"/>
              </w:rPr>
              <w:t>项目</w:t>
            </w:r>
            <w:r>
              <w:t>产生</w:t>
            </w:r>
            <w:r>
              <w:rPr>
                <w:rFonts w:hint="eastAsia"/>
              </w:rPr>
              <w:t>的</w:t>
            </w:r>
            <w:r>
              <w:t>固废主要为</w:t>
            </w:r>
            <w:r>
              <w:rPr>
                <w:rFonts w:hint="eastAsia"/>
              </w:rPr>
              <w:t>格栅</w:t>
            </w:r>
            <w:r>
              <w:t>产生的栅渣</w:t>
            </w:r>
            <w:r>
              <w:rPr>
                <w:rFonts w:hint="eastAsia"/>
              </w:rPr>
              <w:t>、</w:t>
            </w:r>
            <w:r>
              <w:rPr>
                <w:rFonts w:hint="eastAsia"/>
                <w:lang w:val="en-US" w:eastAsia="zh-CN"/>
              </w:rPr>
              <w:t>气浮装置产生的浮渣</w:t>
            </w:r>
            <w:r>
              <w:t>、</w:t>
            </w:r>
            <w:r>
              <w:rPr>
                <w:rFonts w:hint="eastAsia"/>
              </w:rPr>
              <w:t>污泥</w:t>
            </w:r>
            <w:r>
              <w:t>处理系统产生的污泥。</w:t>
            </w:r>
          </w:p>
          <w:p>
            <w:pPr>
              <w:pStyle w:val="95"/>
            </w:pPr>
            <w:r>
              <w:rPr>
                <w:rFonts w:hint="eastAsia"/>
              </w:rPr>
              <w:t>①栅渣</w:t>
            </w:r>
          </w:p>
          <w:p>
            <w:pPr>
              <w:pStyle w:val="95"/>
              <w:jc w:val="both"/>
            </w:pPr>
            <w:r>
              <w:rPr>
                <w:rFonts w:hint="eastAsia"/>
              </w:rPr>
              <w:t>粗格栅拦截的较大块状物、枝状物以及细格栅拦截的块状物、软性物质和软塑料等粗、细垃圾和悬浮或飘浮状态的杂物，统称栅渣。类比</w:t>
            </w:r>
            <w:r>
              <w:t>同类行业项目，</w:t>
            </w:r>
            <w:r>
              <w:rPr>
                <w:rFonts w:hint="eastAsia"/>
              </w:rPr>
              <w:t>污水厂栅渣产生系数为0.05-0.10m</w:t>
            </w:r>
            <w:r>
              <w:rPr>
                <w:rFonts w:hint="eastAsia"/>
                <w:vertAlign w:val="superscript"/>
              </w:rPr>
              <w:t xml:space="preserve"> 3</w:t>
            </w:r>
            <w:r>
              <w:rPr>
                <w:rFonts w:hint="eastAsia"/>
              </w:rPr>
              <w:t>/1000m</w:t>
            </w:r>
            <w:r>
              <w:rPr>
                <w:rFonts w:hint="eastAsia"/>
                <w:vertAlign w:val="superscript"/>
              </w:rPr>
              <w:t>3</w:t>
            </w:r>
            <w:r>
              <w:rPr>
                <w:rFonts w:hint="eastAsia"/>
              </w:rPr>
              <w:t xml:space="preserve">污水，本项目取最大值，每处理 </w:t>
            </w:r>
            <w:r>
              <w:rPr>
                <w:rFonts w:hint="eastAsia"/>
                <w:lang w:val="en-US" w:eastAsia="zh-CN"/>
              </w:rPr>
              <w:t>1483.4</w:t>
            </w:r>
            <w:r>
              <w:rPr>
                <w:rFonts w:hint="eastAsia"/>
              </w:rPr>
              <w:t xml:space="preserve">吨污水产生栅渣 </w:t>
            </w:r>
            <w:r>
              <w:rPr>
                <w:rFonts w:hint="eastAsia"/>
                <w:lang w:val="en-US" w:eastAsia="zh-CN"/>
              </w:rPr>
              <w:t>0.148</w:t>
            </w:r>
            <w:r>
              <w:rPr>
                <w:rFonts w:hint="eastAsia"/>
              </w:rPr>
              <w:t>m</w:t>
            </w:r>
            <w:r>
              <w:rPr>
                <w:rFonts w:hint="eastAsia"/>
                <w:vertAlign w:val="superscript"/>
              </w:rPr>
              <w:t>3</w:t>
            </w:r>
            <w:r>
              <w:rPr>
                <w:rFonts w:hint="eastAsia"/>
              </w:rPr>
              <w:t>，栅渣密度取 800kg/m</w:t>
            </w:r>
            <w:r>
              <w:rPr>
                <w:rFonts w:hint="eastAsia"/>
                <w:vertAlign w:val="superscript"/>
              </w:rPr>
              <w:t>3</w:t>
            </w:r>
            <w:r>
              <w:rPr>
                <w:rFonts w:hint="eastAsia"/>
              </w:rPr>
              <w:t xml:space="preserve">，则本项目栅渣产生量为 </w:t>
            </w:r>
            <w:r>
              <w:rPr>
                <w:rFonts w:hint="eastAsia"/>
                <w:lang w:val="en-US" w:eastAsia="zh-CN"/>
              </w:rPr>
              <w:t>0.118</w:t>
            </w:r>
            <w:r>
              <w:rPr>
                <w:rFonts w:hint="eastAsia"/>
              </w:rPr>
              <w:t>t/d，约</w:t>
            </w:r>
            <w:r>
              <w:rPr>
                <w:rFonts w:hint="eastAsia"/>
                <w:lang w:val="en-US" w:eastAsia="zh-CN"/>
              </w:rPr>
              <w:t>35.4</w:t>
            </w:r>
            <w:r>
              <w:rPr>
                <w:rFonts w:hint="eastAsia"/>
              </w:rPr>
              <w:t>t/a，栅渣</w:t>
            </w:r>
            <w:r>
              <w:rPr>
                <w:rFonts w:hint="eastAsia"/>
                <w:lang w:val="en-US" w:eastAsia="zh-CN"/>
              </w:rPr>
              <w:t>外售生物肥厂作堆肥原料</w:t>
            </w:r>
            <w:r>
              <w:rPr>
                <w:rFonts w:hint="eastAsia"/>
              </w:rPr>
              <w:t>。</w:t>
            </w:r>
          </w:p>
          <w:p>
            <w:pPr>
              <w:pStyle w:val="95"/>
            </w:pPr>
            <w:r>
              <w:rPr>
                <w:rFonts w:hint="eastAsia"/>
              </w:rPr>
              <w:t>②污泥</w:t>
            </w:r>
          </w:p>
          <w:p>
            <w:pPr>
              <w:pStyle w:val="95"/>
              <w:jc w:val="both"/>
            </w:pPr>
            <w:r>
              <w:rPr>
                <w:rFonts w:hint="eastAsia"/>
              </w:rPr>
              <w:t>类比</w:t>
            </w:r>
            <w:r>
              <w:t>同</w:t>
            </w:r>
            <w:r>
              <w:rPr>
                <w:rFonts w:hint="eastAsia"/>
              </w:rPr>
              <w:t>类</w:t>
            </w:r>
            <w:r>
              <w:t>行业项目，</w:t>
            </w:r>
            <w:r>
              <w:rPr>
                <w:rFonts w:hint="eastAsia"/>
              </w:rPr>
              <w:t>污泥年</w:t>
            </w:r>
            <w:r>
              <w:t>产生量</w:t>
            </w:r>
            <w:r>
              <w:rPr>
                <w:rFonts w:hint="eastAsia"/>
              </w:rPr>
              <w:t>为</w:t>
            </w:r>
            <w:r>
              <w:rPr>
                <w:rFonts w:hint="eastAsia"/>
                <w:lang w:val="en-US" w:eastAsia="zh-CN"/>
              </w:rPr>
              <w:t>298</w:t>
            </w:r>
            <w:r>
              <w:t>t</w:t>
            </w:r>
            <w:r>
              <w:rPr>
                <w:rFonts w:hint="eastAsia"/>
              </w:rPr>
              <w:t>，</w:t>
            </w:r>
            <w:r>
              <w:t>污泥经污泥处理系统处理后</w:t>
            </w:r>
            <w:r>
              <w:rPr>
                <w:rFonts w:hint="eastAsia"/>
                <w:lang w:val="en-US" w:eastAsia="zh-CN"/>
              </w:rPr>
              <w:t>外售生物肥厂作堆肥原料</w:t>
            </w:r>
            <w:r>
              <w:rPr>
                <w:rFonts w:hint="eastAsia"/>
              </w:rPr>
              <w:t>。</w:t>
            </w:r>
          </w:p>
          <w:p>
            <w:pPr>
              <w:pStyle w:val="95"/>
              <w:jc w:val="both"/>
              <w:rPr>
                <w:rFonts w:hint="eastAsia" w:eastAsia="宋体"/>
                <w:lang w:val="en-US" w:eastAsia="zh-CN"/>
              </w:rPr>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lang w:val="en-US" w:eastAsia="zh-CN"/>
              </w:rPr>
              <w:t>浮渣</w:t>
            </w:r>
          </w:p>
          <w:p>
            <w:pPr>
              <w:pStyle w:val="95"/>
            </w:pPr>
            <w:r>
              <w:rPr>
                <w:rFonts w:hint="eastAsia"/>
              </w:rPr>
              <w:t>类比</w:t>
            </w:r>
            <w:r>
              <w:t>同</w:t>
            </w:r>
            <w:r>
              <w:rPr>
                <w:rFonts w:hint="eastAsia"/>
              </w:rPr>
              <w:t>类</w:t>
            </w:r>
            <w:r>
              <w:t>行业项目，</w:t>
            </w:r>
            <w:r>
              <w:rPr>
                <w:rFonts w:hint="eastAsia"/>
                <w:lang w:val="en-US" w:eastAsia="zh-CN"/>
              </w:rPr>
              <w:t>浮渣</w:t>
            </w:r>
            <w:r>
              <w:rPr>
                <w:rFonts w:hint="eastAsia"/>
              </w:rPr>
              <w:t>年</w:t>
            </w:r>
            <w:r>
              <w:t>产生量</w:t>
            </w:r>
            <w:r>
              <w:rPr>
                <w:rFonts w:hint="eastAsia"/>
              </w:rPr>
              <w:t>为</w:t>
            </w:r>
            <w:r>
              <w:rPr>
                <w:rFonts w:hint="eastAsia"/>
                <w:lang w:val="en-US" w:eastAsia="zh-CN"/>
              </w:rPr>
              <w:t>20</w:t>
            </w:r>
            <w:r>
              <w:t>t</w:t>
            </w:r>
            <w:r>
              <w:rPr>
                <w:rFonts w:hint="eastAsia"/>
              </w:rPr>
              <w:t>，</w:t>
            </w:r>
            <w:r>
              <w:rPr>
                <w:rFonts w:hint="eastAsia"/>
                <w:lang w:val="en-US" w:eastAsia="zh-CN"/>
              </w:rPr>
              <w:t>浮渣外售生物肥厂作堆肥原料。</w:t>
            </w:r>
          </w:p>
          <w:p>
            <w:pPr>
              <w:pStyle w:val="95"/>
            </w:pPr>
            <w:r>
              <w:rPr>
                <w:rFonts w:hint="eastAsia"/>
              </w:rPr>
              <w:t>本技改后</w:t>
            </w:r>
            <w:r>
              <w:rPr>
                <w:rFonts w:hint="eastAsia"/>
                <w:lang w:val="en-US" w:eastAsia="zh-CN"/>
              </w:rPr>
              <w:t>污水处理系统</w:t>
            </w:r>
            <w:r>
              <w:t>固体废物产生及排放情况见表38。</w:t>
            </w:r>
          </w:p>
          <w:p>
            <w:pPr>
              <w:pStyle w:val="88"/>
              <w:rPr>
                <w:sz w:val="24"/>
                <w:szCs w:val="24"/>
              </w:rPr>
            </w:pPr>
            <w:r>
              <w:rPr>
                <w:sz w:val="24"/>
                <w:szCs w:val="24"/>
              </w:rPr>
              <w:t>表38  固废</w:t>
            </w:r>
            <w:r>
              <w:rPr>
                <w:rFonts w:hint="eastAsia"/>
                <w:sz w:val="24"/>
                <w:szCs w:val="24"/>
              </w:rPr>
              <w:t>产生</w:t>
            </w:r>
            <w:r>
              <w:rPr>
                <w:sz w:val="24"/>
                <w:szCs w:val="24"/>
              </w:rPr>
              <w:t>及排放情况一览表</w:t>
            </w:r>
          </w:p>
          <w:tbl>
            <w:tblPr>
              <w:tblStyle w:val="316"/>
              <w:tblW w:w="812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82"/>
              <w:gridCol w:w="1287"/>
              <w:gridCol w:w="1506"/>
              <w:gridCol w:w="1667"/>
              <w:gridCol w:w="1136"/>
              <w:gridCol w:w="19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82" w:type="dxa"/>
                  <w:vAlign w:val="center"/>
                </w:tcPr>
                <w:p>
                  <w:pPr>
                    <w:pStyle w:val="97"/>
                    <w:rPr>
                      <w:kern w:val="2"/>
                    </w:rPr>
                  </w:pPr>
                  <w:r>
                    <w:rPr>
                      <w:kern w:val="2"/>
                    </w:rPr>
                    <w:t>序号</w:t>
                  </w:r>
                </w:p>
              </w:tc>
              <w:tc>
                <w:tcPr>
                  <w:tcW w:w="1287" w:type="dxa"/>
                  <w:vAlign w:val="center"/>
                </w:tcPr>
                <w:p>
                  <w:pPr>
                    <w:pStyle w:val="97"/>
                    <w:rPr>
                      <w:kern w:val="2"/>
                    </w:rPr>
                  </w:pPr>
                  <w:r>
                    <w:rPr>
                      <w:kern w:val="2"/>
                    </w:rPr>
                    <w:t>废物来源</w:t>
                  </w:r>
                </w:p>
              </w:tc>
              <w:tc>
                <w:tcPr>
                  <w:tcW w:w="1506" w:type="dxa"/>
                  <w:vAlign w:val="center"/>
                </w:tcPr>
                <w:p>
                  <w:pPr>
                    <w:pStyle w:val="97"/>
                    <w:rPr>
                      <w:kern w:val="2"/>
                    </w:rPr>
                  </w:pPr>
                  <w:r>
                    <w:rPr>
                      <w:kern w:val="2"/>
                    </w:rPr>
                    <w:t>主要成分</w:t>
                  </w:r>
                </w:p>
              </w:tc>
              <w:tc>
                <w:tcPr>
                  <w:tcW w:w="1667" w:type="dxa"/>
                  <w:vAlign w:val="center"/>
                </w:tcPr>
                <w:p>
                  <w:pPr>
                    <w:pStyle w:val="97"/>
                    <w:rPr>
                      <w:kern w:val="2"/>
                    </w:rPr>
                  </w:pPr>
                  <w:r>
                    <w:rPr>
                      <w:kern w:val="2"/>
                    </w:rPr>
                    <w:t>产生量（t/a）</w:t>
                  </w:r>
                </w:p>
              </w:tc>
              <w:tc>
                <w:tcPr>
                  <w:tcW w:w="1136" w:type="dxa"/>
                  <w:vAlign w:val="center"/>
                </w:tcPr>
                <w:p>
                  <w:pPr>
                    <w:pStyle w:val="97"/>
                    <w:rPr>
                      <w:kern w:val="2"/>
                    </w:rPr>
                  </w:pPr>
                  <w:r>
                    <w:rPr>
                      <w:kern w:val="2"/>
                    </w:rPr>
                    <w:t>废物类别</w:t>
                  </w:r>
                </w:p>
              </w:tc>
              <w:tc>
                <w:tcPr>
                  <w:tcW w:w="1945" w:type="dxa"/>
                  <w:vAlign w:val="center"/>
                </w:tcPr>
                <w:p>
                  <w:pPr>
                    <w:pStyle w:val="97"/>
                    <w:rPr>
                      <w:kern w:val="2"/>
                    </w:rPr>
                  </w:pPr>
                  <w:r>
                    <w:rPr>
                      <w:kern w:val="2"/>
                    </w:rPr>
                    <w:t>处置方式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82" w:type="dxa"/>
                  <w:vAlign w:val="center"/>
                </w:tcPr>
                <w:p>
                  <w:pPr>
                    <w:pStyle w:val="97"/>
                    <w:rPr>
                      <w:kern w:val="2"/>
                    </w:rPr>
                  </w:pPr>
                  <w:r>
                    <w:rPr>
                      <w:rFonts w:hint="eastAsia"/>
                      <w:kern w:val="2"/>
                    </w:rPr>
                    <w:t>1</w:t>
                  </w:r>
                </w:p>
              </w:tc>
              <w:tc>
                <w:tcPr>
                  <w:tcW w:w="1287" w:type="dxa"/>
                  <w:vAlign w:val="center"/>
                </w:tcPr>
                <w:p>
                  <w:pPr>
                    <w:pStyle w:val="97"/>
                    <w:rPr>
                      <w:kern w:val="2"/>
                    </w:rPr>
                  </w:pPr>
                  <w:r>
                    <w:rPr>
                      <w:kern w:val="2"/>
                    </w:rPr>
                    <w:t>格栅</w:t>
                  </w:r>
                </w:p>
              </w:tc>
              <w:tc>
                <w:tcPr>
                  <w:tcW w:w="1506" w:type="dxa"/>
                  <w:vAlign w:val="center"/>
                </w:tcPr>
                <w:p>
                  <w:pPr>
                    <w:pStyle w:val="97"/>
                    <w:rPr>
                      <w:kern w:val="2"/>
                    </w:rPr>
                  </w:pPr>
                  <w:r>
                    <w:rPr>
                      <w:rFonts w:hint="eastAsia"/>
                      <w:kern w:val="2"/>
                    </w:rPr>
                    <w:t>栅渣</w:t>
                  </w:r>
                </w:p>
              </w:tc>
              <w:tc>
                <w:tcPr>
                  <w:tcW w:w="1667" w:type="dxa"/>
                  <w:vAlign w:val="center"/>
                </w:tcPr>
                <w:p>
                  <w:pPr>
                    <w:pStyle w:val="97"/>
                    <w:rPr>
                      <w:rFonts w:hint="default" w:eastAsia="宋体"/>
                      <w:kern w:val="2"/>
                      <w:lang w:val="en-US" w:eastAsia="zh-CN"/>
                    </w:rPr>
                  </w:pPr>
                  <w:r>
                    <w:rPr>
                      <w:rFonts w:hint="eastAsia"/>
                      <w:kern w:val="2"/>
                      <w:lang w:val="en-US" w:eastAsia="zh-CN"/>
                    </w:rPr>
                    <w:t>35.4</w:t>
                  </w:r>
                </w:p>
              </w:tc>
              <w:tc>
                <w:tcPr>
                  <w:tcW w:w="1136" w:type="dxa"/>
                  <w:vMerge w:val="restart"/>
                  <w:vAlign w:val="center"/>
                </w:tcPr>
                <w:p>
                  <w:pPr>
                    <w:pStyle w:val="97"/>
                    <w:rPr>
                      <w:kern w:val="2"/>
                    </w:rPr>
                  </w:pPr>
                  <w:r>
                    <w:rPr>
                      <w:rFonts w:hint="eastAsia"/>
                      <w:kern w:val="2"/>
                    </w:rPr>
                    <w:t>一般</w:t>
                  </w:r>
                  <w:r>
                    <w:rPr>
                      <w:kern w:val="2"/>
                    </w:rPr>
                    <w:t>工业</w:t>
                  </w:r>
                </w:p>
                <w:p>
                  <w:pPr>
                    <w:pStyle w:val="97"/>
                    <w:rPr>
                      <w:kern w:val="2"/>
                    </w:rPr>
                  </w:pPr>
                  <w:r>
                    <w:rPr>
                      <w:kern w:val="2"/>
                    </w:rPr>
                    <w:t>固废</w:t>
                  </w:r>
                </w:p>
              </w:tc>
              <w:tc>
                <w:tcPr>
                  <w:tcW w:w="1945" w:type="dxa"/>
                  <w:vMerge w:val="restart"/>
                  <w:vAlign w:val="center"/>
                </w:tcPr>
                <w:p>
                  <w:pPr>
                    <w:pStyle w:val="97"/>
                    <w:rPr>
                      <w:kern w:val="2"/>
                    </w:rPr>
                  </w:pPr>
                  <w:r>
                    <w:rPr>
                      <w:rFonts w:hint="eastAsia"/>
                      <w:kern w:val="2"/>
                      <w:lang w:val="en-US" w:eastAsia="zh-CN"/>
                    </w:rPr>
                    <w:t>外售生物肥厂作堆肥原料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82" w:type="dxa"/>
                  <w:vAlign w:val="center"/>
                </w:tcPr>
                <w:p>
                  <w:pPr>
                    <w:pStyle w:val="97"/>
                    <w:rPr>
                      <w:kern w:val="2"/>
                    </w:rPr>
                  </w:pPr>
                  <w:r>
                    <w:rPr>
                      <w:rFonts w:hint="eastAsia"/>
                      <w:kern w:val="2"/>
                    </w:rPr>
                    <w:t>2</w:t>
                  </w:r>
                </w:p>
              </w:tc>
              <w:tc>
                <w:tcPr>
                  <w:tcW w:w="1287" w:type="dxa"/>
                  <w:vAlign w:val="center"/>
                </w:tcPr>
                <w:p>
                  <w:pPr>
                    <w:pStyle w:val="97"/>
                    <w:rPr>
                      <w:rFonts w:hint="eastAsia" w:eastAsia="宋体"/>
                      <w:kern w:val="2"/>
                      <w:lang w:eastAsia="zh-CN"/>
                    </w:rPr>
                  </w:pPr>
                  <w:r>
                    <w:rPr>
                      <w:rFonts w:hint="eastAsia"/>
                      <w:kern w:val="2"/>
                      <w:lang w:val="en-US" w:eastAsia="zh-CN"/>
                    </w:rPr>
                    <w:t>浮渣</w:t>
                  </w:r>
                </w:p>
              </w:tc>
              <w:tc>
                <w:tcPr>
                  <w:tcW w:w="1506" w:type="dxa"/>
                  <w:vAlign w:val="center"/>
                </w:tcPr>
                <w:p>
                  <w:pPr>
                    <w:pStyle w:val="97"/>
                    <w:rPr>
                      <w:rFonts w:hint="eastAsia" w:eastAsia="宋体"/>
                      <w:kern w:val="2"/>
                      <w:lang w:eastAsia="zh-CN"/>
                    </w:rPr>
                  </w:pPr>
                  <w:r>
                    <w:rPr>
                      <w:rFonts w:hint="eastAsia"/>
                      <w:kern w:val="2"/>
                      <w:lang w:val="en-US" w:eastAsia="zh-CN"/>
                    </w:rPr>
                    <w:t>浮渣</w:t>
                  </w:r>
                </w:p>
              </w:tc>
              <w:tc>
                <w:tcPr>
                  <w:tcW w:w="1667" w:type="dxa"/>
                  <w:vAlign w:val="center"/>
                </w:tcPr>
                <w:p>
                  <w:pPr>
                    <w:pStyle w:val="97"/>
                    <w:rPr>
                      <w:rFonts w:hint="default" w:eastAsia="宋体"/>
                      <w:kern w:val="2"/>
                      <w:lang w:val="en-US" w:eastAsia="zh-CN"/>
                    </w:rPr>
                  </w:pPr>
                  <w:r>
                    <w:rPr>
                      <w:rFonts w:hint="eastAsia"/>
                      <w:kern w:val="2"/>
                      <w:lang w:val="en-US" w:eastAsia="zh-CN"/>
                    </w:rPr>
                    <w:t>20</w:t>
                  </w:r>
                </w:p>
              </w:tc>
              <w:tc>
                <w:tcPr>
                  <w:tcW w:w="1136" w:type="dxa"/>
                  <w:vMerge w:val="continue"/>
                  <w:vAlign w:val="center"/>
                </w:tcPr>
                <w:p>
                  <w:pPr>
                    <w:pStyle w:val="97"/>
                    <w:rPr>
                      <w:kern w:val="2"/>
                    </w:rPr>
                  </w:pPr>
                </w:p>
              </w:tc>
              <w:tc>
                <w:tcPr>
                  <w:tcW w:w="1945" w:type="dxa"/>
                  <w:vMerge w:val="continue"/>
                  <w:vAlign w:val="center"/>
                </w:tcPr>
                <w:p>
                  <w:pPr>
                    <w:pStyle w:val="97"/>
                    <w:rPr>
                      <w:kern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82" w:type="dxa"/>
                  <w:vAlign w:val="center"/>
                </w:tcPr>
                <w:p>
                  <w:pPr>
                    <w:pStyle w:val="97"/>
                    <w:rPr>
                      <w:kern w:val="2"/>
                    </w:rPr>
                  </w:pPr>
                  <w:r>
                    <w:rPr>
                      <w:rFonts w:hint="eastAsia"/>
                      <w:kern w:val="2"/>
                    </w:rPr>
                    <w:t>3</w:t>
                  </w:r>
                </w:p>
              </w:tc>
              <w:tc>
                <w:tcPr>
                  <w:tcW w:w="1287" w:type="dxa"/>
                  <w:vAlign w:val="center"/>
                </w:tcPr>
                <w:p>
                  <w:pPr>
                    <w:pStyle w:val="97"/>
                    <w:rPr>
                      <w:kern w:val="2"/>
                    </w:rPr>
                  </w:pPr>
                  <w:r>
                    <w:rPr>
                      <w:rFonts w:hint="eastAsia"/>
                      <w:kern w:val="2"/>
                    </w:rPr>
                    <w:t>污泥</w:t>
                  </w:r>
                  <w:r>
                    <w:rPr>
                      <w:kern w:val="2"/>
                    </w:rPr>
                    <w:t>处理系统</w:t>
                  </w:r>
                </w:p>
              </w:tc>
              <w:tc>
                <w:tcPr>
                  <w:tcW w:w="1506" w:type="dxa"/>
                  <w:vAlign w:val="center"/>
                </w:tcPr>
                <w:p>
                  <w:pPr>
                    <w:pStyle w:val="97"/>
                    <w:rPr>
                      <w:kern w:val="2"/>
                    </w:rPr>
                  </w:pPr>
                  <w:r>
                    <w:rPr>
                      <w:rFonts w:hint="eastAsia"/>
                      <w:kern w:val="2"/>
                    </w:rPr>
                    <w:t>污泥</w:t>
                  </w:r>
                </w:p>
              </w:tc>
              <w:tc>
                <w:tcPr>
                  <w:tcW w:w="1667" w:type="dxa"/>
                  <w:vAlign w:val="center"/>
                </w:tcPr>
                <w:p>
                  <w:pPr>
                    <w:pStyle w:val="97"/>
                    <w:rPr>
                      <w:rFonts w:hint="default" w:eastAsia="宋体"/>
                      <w:kern w:val="2"/>
                      <w:lang w:val="en-US" w:eastAsia="zh-CN"/>
                    </w:rPr>
                  </w:pPr>
                  <w:r>
                    <w:rPr>
                      <w:rFonts w:hint="eastAsia"/>
                      <w:kern w:val="2"/>
                      <w:lang w:val="en-US" w:eastAsia="zh-CN"/>
                    </w:rPr>
                    <w:t>298</w:t>
                  </w:r>
                </w:p>
              </w:tc>
              <w:tc>
                <w:tcPr>
                  <w:tcW w:w="1136" w:type="dxa"/>
                  <w:vMerge w:val="continue"/>
                  <w:vAlign w:val="center"/>
                </w:tcPr>
                <w:p>
                  <w:pPr>
                    <w:pStyle w:val="97"/>
                    <w:rPr>
                      <w:kern w:val="2"/>
                    </w:rPr>
                  </w:pPr>
                </w:p>
              </w:tc>
              <w:tc>
                <w:tcPr>
                  <w:tcW w:w="1945" w:type="dxa"/>
                  <w:vMerge w:val="continue"/>
                  <w:vAlign w:val="center"/>
                </w:tcPr>
                <w:p>
                  <w:pPr>
                    <w:pStyle w:val="97"/>
                    <w:rPr>
                      <w:kern w:val="2"/>
                    </w:rPr>
                  </w:pPr>
                </w:p>
              </w:tc>
            </w:tr>
          </w:tbl>
          <w:p>
            <w:pPr>
              <w:spacing w:line="360" w:lineRule="auto"/>
              <w:ind w:firstLine="480" w:firstLineChars="200"/>
              <w:rPr>
                <w:sz w:val="24"/>
              </w:rPr>
            </w:pPr>
            <w:r>
              <w:rPr>
                <w:rFonts w:hint="eastAsia"/>
                <w:sz w:val="24"/>
              </w:rPr>
              <w:t>由上表</w:t>
            </w:r>
            <w:r>
              <w:rPr>
                <w:sz w:val="24"/>
              </w:rPr>
              <w:t>可知，本项目运营过程产生的固体废物均得到了有效处置，且固体废物的厂内贮存和道路运输采用密闭方式，杜绝了贮存和运输时泄漏、散逸的风险。因此，本项目产生的固体废物全部合理处置，不会对周围环境产生影响。</w:t>
            </w:r>
          </w:p>
          <w:p>
            <w:pPr>
              <w:spacing w:line="360" w:lineRule="auto"/>
              <w:ind w:left="420" w:leftChars="200"/>
              <w:rPr>
                <w:b/>
                <w:bCs/>
                <w:sz w:val="24"/>
                <w:szCs w:val="24"/>
              </w:rPr>
            </w:pPr>
            <w:r>
              <w:rPr>
                <w:rFonts w:hint="eastAsia"/>
                <w:b/>
                <w:sz w:val="24"/>
              </w:rPr>
              <w:t>六</w:t>
            </w:r>
            <w:r>
              <w:rPr>
                <w:b/>
                <w:sz w:val="24"/>
              </w:rPr>
              <w:t>、</w:t>
            </w:r>
            <w:r>
              <w:rPr>
                <w:b/>
                <w:bCs/>
                <w:sz w:val="24"/>
                <w:szCs w:val="24"/>
              </w:rPr>
              <w:t>土壤环境影响分析</w:t>
            </w:r>
          </w:p>
          <w:p>
            <w:pPr>
              <w:spacing w:line="360" w:lineRule="auto"/>
              <w:ind w:firstLine="480" w:firstLineChars="200"/>
              <w:rPr>
                <w:kern w:val="0"/>
                <w:sz w:val="24"/>
                <w:szCs w:val="24"/>
              </w:rPr>
            </w:pPr>
            <w:r>
              <w:rPr>
                <w:kern w:val="0"/>
                <w:sz w:val="24"/>
                <w:szCs w:val="24"/>
              </w:rPr>
              <w:t>（1）土壤工作等级确定</w:t>
            </w:r>
          </w:p>
          <w:p>
            <w:pPr>
              <w:pStyle w:val="3"/>
              <w:spacing w:line="360" w:lineRule="auto"/>
              <w:ind w:firstLine="480" w:firstLineChars="200"/>
              <w:rPr>
                <w:rFonts w:hint="default" w:ascii="Times New Roman" w:hAnsi="Times New Roman" w:eastAsia="宋体" w:cs="Times New Roman"/>
                <w:b/>
                <w:sz w:val="24"/>
                <w:szCs w:val="22"/>
              </w:rPr>
            </w:pPr>
            <w:r>
              <w:rPr>
                <w:kern w:val="0"/>
                <w:sz w:val="24"/>
                <w:szCs w:val="24"/>
                <w:lang w:bidi="ar"/>
              </w:rPr>
              <w:t>本项目属于污染影响型。按照导则要求，本项</w:t>
            </w:r>
            <w:r>
              <w:rPr>
                <w:rFonts w:hint="eastAsia"/>
                <w:kern w:val="0"/>
                <w:sz w:val="24"/>
                <w:szCs w:val="24"/>
                <w:lang w:eastAsia="zh-CN" w:bidi="ar"/>
              </w:rPr>
              <w:t>目污水处理站作为</w:t>
            </w:r>
            <w:r>
              <w:rPr>
                <w:rFonts w:hint="default" w:ascii="Times New Roman" w:hAnsi="Times New Roman" w:eastAsia="宋体" w:cs="Times New Roman"/>
                <w:color w:val="auto"/>
                <w:sz w:val="24"/>
                <w:szCs w:val="24"/>
                <w:lang w:eastAsia="zh-CN"/>
              </w:rPr>
              <w:t>年产16万吨液体乳及乳饮料生产线项目</w:t>
            </w:r>
            <w:r>
              <w:rPr>
                <w:rFonts w:hint="eastAsia" w:eastAsia="宋体" w:cs="Times New Roman"/>
                <w:color w:val="auto"/>
                <w:sz w:val="24"/>
                <w:szCs w:val="24"/>
                <w:lang w:eastAsia="zh-CN"/>
              </w:rPr>
              <w:t>配套污水治理措施，不属于单独的工业污水处理站项目，</w:t>
            </w:r>
            <w:r>
              <w:rPr>
                <w:kern w:val="0"/>
                <w:sz w:val="24"/>
                <w:szCs w:val="24"/>
                <w:lang w:bidi="ar"/>
              </w:rPr>
              <w:t>属于“</w:t>
            </w:r>
            <w:r>
              <w:rPr>
                <w:rFonts w:hint="default" w:ascii="Times New Roman" w:hAnsi="Times New Roman" w:eastAsia="宋体" w:cs="Times New Roman"/>
                <w:color w:val="000000"/>
                <w:sz w:val="24"/>
                <w:szCs w:val="24"/>
              </w:rPr>
              <w:t>附录A.1--土壤环境影响评价项目类别”，土壤环境影响评价项目类别</w:t>
            </w:r>
            <w:r>
              <w:rPr>
                <w:rFonts w:hint="default" w:ascii="Times New Roman" w:hAnsi="Times New Roman" w:eastAsia="宋体" w:cs="Times New Roman"/>
                <w:color w:val="000000"/>
                <w:sz w:val="24"/>
                <w:szCs w:val="24"/>
                <w:highlight w:val="none"/>
                <w:lang w:eastAsia="zh-CN"/>
              </w:rPr>
              <w:t>Ⅳ</w:t>
            </w:r>
            <w:r>
              <w:rPr>
                <w:rFonts w:hint="default" w:ascii="Times New Roman" w:hAnsi="Times New Roman" w:eastAsia="宋体" w:cs="Times New Roman"/>
                <w:color w:val="000000"/>
                <w:sz w:val="24"/>
                <w:szCs w:val="24"/>
              </w:rPr>
              <w:t>类。根据《环境影响评价技术导则  土壤环境</w:t>
            </w:r>
            <w:r>
              <w:rPr>
                <w:rFonts w:hint="default" w:ascii="Times New Roman" w:hAnsi="Times New Roman" w:eastAsia="宋体" w:cs="Times New Roman"/>
                <w:color w:val="000000"/>
                <w:sz w:val="24"/>
                <w:szCs w:val="24"/>
                <w:highlight w:val="none"/>
              </w:rPr>
              <w:t>（试行）》（HJ 964-2018）中评价工作级别划分原则，确定本项目可不开展土壤环境影响评价工</w:t>
            </w:r>
            <w:r>
              <w:rPr>
                <w:rFonts w:hint="default" w:ascii="Times New Roman" w:hAnsi="Times New Roman" w:eastAsia="宋体" w:cs="Times New Roman"/>
                <w:color w:val="000000"/>
                <w:sz w:val="24"/>
                <w:szCs w:val="24"/>
              </w:rPr>
              <w:t>作。</w:t>
            </w:r>
          </w:p>
          <w:p>
            <w:pPr>
              <w:spacing w:line="360" w:lineRule="auto"/>
              <w:ind w:firstLine="482" w:firstLineChars="200"/>
              <w:rPr>
                <w:b/>
                <w:sz w:val="24"/>
              </w:rPr>
            </w:pPr>
            <w:r>
              <w:rPr>
                <w:rFonts w:hint="eastAsia"/>
                <w:b/>
                <w:sz w:val="24"/>
              </w:rPr>
              <w:t>七、</w:t>
            </w:r>
            <w:r>
              <w:rPr>
                <w:b/>
                <w:sz w:val="24"/>
              </w:rPr>
              <w:t>监测计划</w:t>
            </w:r>
          </w:p>
          <w:p>
            <w:pPr>
              <w:spacing w:line="360" w:lineRule="auto"/>
              <w:ind w:firstLine="480" w:firstLineChars="200"/>
              <w:rPr>
                <w:color w:val="000000"/>
                <w:sz w:val="24"/>
              </w:rPr>
            </w:pPr>
            <w:r>
              <w:rPr>
                <w:rFonts w:hint="eastAsia"/>
                <w:color w:val="000000"/>
                <w:sz w:val="24"/>
              </w:rPr>
              <w:t>监测项目及频次根据《排污单位自行监测技术指南</w:t>
            </w:r>
            <w:r>
              <w:rPr>
                <w:rFonts w:hint="eastAsia"/>
                <w:color w:val="000000"/>
                <w:sz w:val="24"/>
                <w:lang w:val="en-US" w:eastAsia="zh-CN"/>
              </w:rPr>
              <w:t xml:space="preserve">  </w:t>
            </w:r>
            <w:r>
              <w:rPr>
                <w:rFonts w:hint="eastAsia"/>
                <w:color w:val="000000"/>
                <w:sz w:val="24"/>
              </w:rPr>
              <w:t>总则》（HJ819-2017）中要求确定</w:t>
            </w:r>
            <w:r>
              <w:rPr>
                <w:color w:val="000000"/>
                <w:sz w:val="24"/>
              </w:rPr>
              <w:t>，具体内容见表 41。</w:t>
            </w:r>
          </w:p>
          <w:p>
            <w:pPr>
              <w:spacing w:line="360" w:lineRule="auto"/>
              <w:jc w:val="center"/>
              <w:rPr>
                <w:b/>
                <w:sz w:val="24"/>
                <w:szCs w:val="24"/>
              </w:rPr>
            </w:pPr>
            <w:r>
              <w:rPr>
                <w:b/>
                <w:sz w:val="24"/>
                <w:szCs w:val="24"/>
              </w:rPr>
              <w:t>表41  监测计划一览表</w:t>
            </w:r>
          </w:p>
          <w:tbl>
            <w:tblPr>
              <w:tblStyle w:val="47"/>
              <w:tblW w:w="8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816"/>
              <w:gridCol w:w="2483"/>
              <w:gridCol w:w="2169"/>
              <w:gridCol w:w="1554"/>
              <w:gridCol w:w="10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16" w:type="dxa"/>
                  <w:vAlign w:val="center"/>
                </w:tcPr>
                <w:p>
                  <w:pPr>
                    <w:jc w:val="center"/>
                    <w:rPr>
                      <w:color w:val="000000"/>
                      <w:szCs w:val="21"/>
                    </w:rPr>
                  </w:pPr>
                  <w:r>
                    <w:rPr>
                      <w:color w:val="000000"/>
                      <w:szCs w:val="21"/>
                    </w:rPr>
                    <w:t>项目</w:t>
                  </w:r>
                </w:p>
              </w:tc>
              <w:tc>
                <w:tcPr>
                  <w:tcW w:w="2483" w:type="dxa"/>
                  <w:vAlign w:val="center"/>
                </w:tcPr>
                <w:p>
                  <w:pPr>
                    <w:jc w:val="center"/>
                    <w:rPr>
                      <w:color w:val="000000"/>
                      <w:szCs w:val="21"/>
                    </w:rPr>
                  </w:pPr>
                  <w:r>
                    <w:rPr>
                      <w:color w:val="000000"/>
                      <w:szCs w:val="21"/>
                    </w:rPr>
                    <w:t>监测项目</w:t>
                  </w:r>
                </w:p>
              </w:tc>
              <w:tc>
                <w:tcPr>
                  <w:tcW w:w="2169" w:type="dxa"/>
                  <w:vAlign w:val="center"/>
                </w:tcPr>
                <w:p>
                  <w:pPr>
                    <w:jc w:val="center"/>
                    <w:rPr>
                      <w:color w:val="000000"/>
                      <w:szCs w:val="21"/>
                    </w:rPr>
                  </w:pPr>
                  <w:r>
                    <w:rPr>
                      <w:color w:val="000000"/>
                      <w:szCs w:val="21"/>
                    </w:rPr>
                    <w:t>监测因子</w:t>
                  </w:r>
                </w:p>
              </w:tc>
              <w:tc>
                <w:tcPr>
                  <w:tcW w:w="1554" w:type="dxa"/>
                  <w:vAlign w:val="center"/>
                </w:tcPr>
                <w:p>
                  <w:pPr>
                    <w:jc w:val="center"/>
                    <w:rPr>
                      <w:color w:val="000000"/>
                      <w:szCs w:val="21"/>
                    </w:rPr>
                  </w:pPr>
                  <w:r>
                    <w:rPr>
                      <w:color w:val="000000"/>
                      <w:szCs w:val="21"/>
                    </w:rPr>
                    <w:t>取样位置</w:t>
                  </w:r>
                </w:p>
              </w:tc>
              <w:tc>
                <w:tcPr>
                  <w:tcW w:w="1038" w:type="dxa"/>
                  <w:vAlign w:val="center"/>
                </w:tcPr>
                <w:p>
                  <w:pPr>
                    <w:jc w:val="center"/>
                    <w:rPr>
                      <w:color w:val="000000"/>
                      <w:szCs w:val="21"/>
                    </w:rPr>
                  </w:pPr>
                  <w:r>
                    <w:rPr>
                      <w:color w:val="000000"/>
                      <w:szCs w:val="21"/>
                    </w:rPr>
                    <w:t>监测要求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16" w:type="dxa"/>
                  <w:vMerge w:val="restart"/>
                  <w:vAlign w:val="center"/>
                </w:tcPr>
                <w:p>
                  <w:pPr>
                    <w:jc w:val="center"/>
                    <w:rPr>
                      <w:color w:val="000000"/>
                      <w:szCs w:val="21"/>
                    </w:rPr>
                  </w:pPr>
                  <w:r>
                    <w:rPr>
                      <w:rFonts w:hint="eastAsia"/>
                      <w:color w:val="000000"/>
                      <w:szCs w:val="21"/>
                    </w:rPr>
                    <w:t>废气</w:t>
                  </w:r>
                </w:p>
              </w:tc>
              <w:tc>
                <w:tcPr>
                  <w:tcW w:w="2483" w:type="dxa"/>
                  <w:vAlign w:val="center"/>
                </w:tcPr>
                <w:p>
                  <w:pPr>
                    <w:jc w:val="center"/>
                    <w:rPr>
                      <w:color w:val="000000"/>
                      <w:szCs w:val="21"/>
                    </w:rPr>
                  </w:pPr>
                  <w:r>
                    <w:rPr>
                      <w:rFonts w:hint="eastAsia"/>
                      <w:bCs/>
                      <w:lang w:val="en-US" w:eastAsia="zh-CN"/>
                    </w:rPr>
                    <w:t>污水处理系统</w:t>
                  </w:r>
                  <w:r>
                    <w:t>恶臭</w:t>
                  </w:r>
                  <w:r>
                    <w:rPr>
                      <w:szCs w:val="21"/>
                    </w:rPr>
                    <w:t>（P1）</w:t>
                  </w:r>
                </w:p>
              </w:tc>
              <w:tc>
                <w:tcPr>
                  <w:tcW w:w="2169" w:type="dxa"/>
                  <w:vAlign w:val="center"/>
                </w:tcPr>
                <w:p>
                  <w:pPr>
                    <w:jc w:val="center"/>
                    <w:rPr>
                      <w:color w:val="000000"/>
                      <w:szCs w:val="21"/>
                    </w:rPr>
                  </w:pPr>
                  <w:r>
                    <w:rPr>
                      <w:rFonts w:hint="eastAsia"/>
                      <w:color w:val="000000"/>
                      <w:szCs w:val="21"/>
                    </w:rPr>
                    <w:t>氨</w:t>
                  </w:r>
                  <w:r>
                    <w:rPr>
                      <w:color w:val="000000"/>
                      <w:szCs w:val="21"/>
                    </w:rPr>
                    <w:t>、硫化氢、臭气浓度</w:t>
                  </w:r>
                </w:p>
              </w:tc>
              <w:tc>
                <w:tcPr>
                  <w:tcW w:w="1554" w:type="dxa"/>
                  <w:vAlign w:val="center"/>
                </w:tcPr>
                <w:p>
                  <w:pPr>
                    <w:jc w:val="center"/>
                    <w:rPr>
                      <w:color w:val="000000"/>
                      <w:szCs w:val="21"/>
                    </w:rPr>
                  </w:pPr>
                  <w:r>
                    <w:rPr>
                      <w:rFonts w:hint="eastAsia"/>
                      <w:color w:val="000000"/>
                      <w:szCs w:val="21"/>
                    </w:rPr>
                    <w:t>排气筒采样口</w:t>
                  </w:r>
                </w:p>
              </w:tc>
              <w:tc>
                <w:tcPr>
                  <w:tcW w:w="1038" w:type="dxa"/>
                  <w:vAlign w:val="center"/>
                </w:tcPr>
                <w:p>
                  <w:pPr>
                    <w:jc w:val="center"/>
                    <w:rPr>
                      <w:color w:val="000000"/>
                      <w:szCs w:val="21"/>
                    </w:rPr>
                  </w:pPr>
                  <w:r>
                    <w:rPr>
                      <w:color w:val="000000"/>
                      <w:szCs w:val="21"/>
                    </w:rPr>
                    <w:t>半年一次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816" w:type="dxa"/>
                  <w:vMerge w:val="continue"/>
                  <w:vAlign w:val="center"/>
                </w:tcPr>
                <w:p>
                  <w:pPr>
                    <w:jc w:val="center"/>
                    <w:rPr>
                      <w:color w:val="000000"/>
                      <w:szCs w:val="21"/>
                    </w:rPr>
                  </w:pPr>
                </w:p>
              </w:tc>
              <w:tc>
                <w:tcPr>
                  <w:tcW w:w="2483" w:type="dxa"/>
                  <w:vAlign w:val="center"/>
                </w:tcPr>
                <w:p>
                  <w:pPr>
                    <w:jc w:val="center"/>
                    <w:rPr>
                      <w:color w:val="000000"/>
                      <w:szCs w:val="21"/>
                    </w:rPr>
                  </w:pPr>
                  <w:r>
                    <w:rPr>
                      <w:color w:val="000000"/>
                      <w:szCs w:val="21"/>
                    </w:rPr>
                    <w:t>厂界无组织废气</w:t>
                  </w:r>
                </w:p>
              </w:tc>
              <w:tc>
                <w:tcPr>
                  <w:tcW w:w="2169" w:type="dxa"/>
                  <w:vAlign w:val="center"/>
                </w:tcPr>
                <w:p>
                  <w:pPr>
                    <w:jc w:val="center"/>
                    <w:rPr>
                      <w:color w:val="000000"/>
                      <w:szCs w:val="21"/>
                    </w:rPr>
                  </w:pPr>
                  <w:r>
                    <w:rPr>
                      <w:rFonts w:hint="eastAsia"/>
                      <w:color w:val="000000"/>
                      <w:szCs w:val="21"/>
                    </w:rPr>
                    <w:t>氨</w:t>
                  </w:r>
                  <w:r>
                    <w:rPr>
                      <w:color w:val="000000"/>
                      <w:szCs w:val="21"/>
                    </w:rPr>
                    <w:t>、硫化氢、臭气浓度</w:t>
                  </w:r>
                </w:p>
              </w:tc>
              <w:tc>
                <w:tcPr>
                  <w:tcW w:w="1554" w:type="dxa"/>
                  <w:vMerge w:val="restart"/>
                  <w:vAlign w:val="center"/>
                </w:tcPr>
                <w:p>
                  <w:pPr>
                    <w:jc w:val="center"/>
                    <w:rPr>
                      <w:color w:val="000000"/>
                      <w:szCs w:val="21"/>
                    </w:rPr>
                  </w:pPr>
                  <w:r>
                    <w:rPr>
                      <w:color w:val="000000"/>
                      <w:szCs w:val="21"/>
                    </w:rPr>
                    <w:t>厂界外10m处</w:t>
                  </w:r>
                </w:p>
              </w:tc>
              <w:tc>
                <w:tcPr>
                  <w:tcW w:w="1038" w:type="dxa"/>
                  <w:vAlign w:val="center"/>
                </w:tcPr>
                <w:p>
                  <w:pPr>
                    <w:jc w:val="center"/>
                    <w:rPr>
                      <w:color w:val="000000"/>
                      <w:szCs w:val="21"/>
                    </w:rPr>
                  </w:pPr>
                  <w:r>
                    <w:rPr>
                      <w:rFonts w:hint="eastAsia"/>
                      <w:color w:val="000000"/>
                      <w:szCs w:val="21"/>
                    </w:rPr>
                    <w:t>每</w:t>
                  </w:r>
                  <w:r>
                    <w:rPr>
                      <w:color w:val="000000"/>
                      <w:szCs w:val="21"/>
                    </w:rPr>
                    <w:t>年一次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99" w:type="dxa"/>
                  <w:gridSpan w:val="2"/>
                  <w:vMerge w:val="restart"/>
                  <w:vAlign w:val="center"/>
                </w:tcPr>
                <w:p>
                  <w:pPr>
                    <w:jc w:val="center"/>
                    <w:rPr>
                      <w:color w:val="000000"/>
                      <w:szCs w:val="21"/>
                    </w:rPr>
                  </w:pPr>
                  <w:r>
                    <w:rPr>
                      <w:rFonts w:hint="eastAsia"/>
                      <w:color w:val="000000"/>
                      <w:szCs w:val="21"/>
                    </w:rPr>
                    <w:t>废水</w:t>
                  </w:r>
                  <w:r>
                    <w:rPr>
                      <w:color w:val="000000"/>
                      <w:szCs w:val="21"/>
                    </w:rPr>
                    <w:t>总排口</w:t>
                  </w:r>
                </w:p>
              </w:tc>
              <w:tc>
                <w:tcPr>
                  <w:tcW w:w="2169" w:type="dxa"/>
                  <w:vAlign w:val="center"/>
                </w:tcPr>
                <w:p>
                  <w:pPr>
                    <w:jc w:val="center"/>
                    <w:rPr>
                      <w:color w:val="000000"/>
                      <w:szCs w:val="21"/>
                    </w:rPr>
                  </w:pPr>
                  <w:r>
                    <w:rPr>
                      <w:rFonts w:hint="eastAsia"/>
                      <w:color w:val="000000"/>
                      <w:szCs w:val="21"/>
                    </w:rPr>
                    <w:t>水量、pH、COD、氨氮、总氮、总磷</w:t>
                  </w:r>
                </w:p>
              </w:tc>
              <w:tc>
                <w:tcPr>
                  <w:tcW w:w="1554" w:type="dxa"/>
                  <w:vMerge w:val="restart"/>
                  <w:vAlign w:val="center"/>
                </w:tcPr>
                <w:p>
                  <w:pPr>
                    <w:jc w:val="center"/>
                    <w:rPr>
                      <w:color w:val="000000"/>
                      <w:szCs w:val="21"/>
                    </w:rPr>
                  </w:pPr>
                  <w:r>
                    <w:rPr>
                      <w:rFonts w:hint="eastAsia"/>
                      <w:color w:val="000000"/>
                      <w:szCs w:val="21"/>
                    </w:rPr>
                    <w:t>总排口</w:t>
                  </w:r>
                </w:p>
              </w:tc>
              <w:tc>
                <w:tcPr>
                  <w:tcW w:w="1038" w:type="dxa"/>
                  <w:vAlign w:val="center"/>
                </w:tcPr>
                <w:p>
                  <w:pPr>
                    <w:jc w:val="center"/>
                    <w:rPr>
                      <w:color w:val="000000"/>
                      <w:szCs w:val="21"/>
                    </w:rPr>
                  </w:pPr>
                  <w:r>
                    <w:rPr>
                      <w:rFonts w:hint="eastAsia"/>
                      <w:color w:val="000000"/>
                      <w:szCs w:val="21"/>
                    </w:rPr>
                    <w:t>在线</w:t>
                  </w:r>
                  <w:r>
                    <w:rPr>
                      <w:color w:val="000000"/>
                      <w:szCs w:val="21"/>
                    </w:rPr>
                    <w:t>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299" w:type="dxa"/>
                  <w:gridSpan w:val="2"/>
                  <w:vMerge w:val="continue"/>
                  <w:vAlign w:val="center"/>
                </w:tcPr>
                <w:p>
                  <w:pPr>
                    <w:jc w:val="center"/>
                    <w:rPr>
                      <w:color w:val="000000"/>
                      <w:szCs w:val="21"/>
                    </w:rPr>
                  </w:pPr>
                </w:p>
              </w:tc>
              <w:tc>
                <w:tcPr>
                  <w:tcW w:w="2169" w:type="dxa"/>
                  <w:vAlign w:val="center"/>
                </w:tcPr>
                <w:p>
                  <w:pPr>
                    <w:jc w:val="center"/>
                    <w:rPr>
                      <w:color w:val="000000"/>
                      <w:szCs w:val="21"/>
                    </w:rPr>
                  </w:pPr>
                  <w:r>
                    <w:rPr>
                      <w:rFonts w:hint="eastAsia"/>
                      <w:color w:val="000000"/>
                      <w:szCs w:val="21"/>
                    </w:rPr>
                    <w:t>SS</w:t>
                  </w:r>
                  <w:r>
                    <w:rPr>
                      <w:color w:val="000000"/>
                      <w:szCs w:val="21"/>
                    </w:rPr>
                    <w:t xml:space="preserve"> </w:t>
                  </w:r>
                  <w:r>
                    <w:rPr>
                      <w:rFonts w:hint="eastAsia"/>
                      <w:color w:val="000000"/>
                      <w:szCs w:val="21"/>
                    </w:rPr>
                    <w:t>、</w:t>
                  </w:r>
                  <w:r>
                    <w:rPr>
                      <w:color w:val="000000"/>
                      <w:szCs w:val="21"/>
                    </w:rPr>
                    <w:t>B</w:t>
                  </w:r>
                  <w:r>
                    <w:rPr>
                      <w:rFonts w:hint="eastAsia"/>
                      <w:color w:val="000000"/>
                      <w:szCs w:val="21"/>
                    </w:rPr>
                    <w:t xml:space="preserve">OD </w:t>
                  </w:r>
                  <w:r>
                    <w:rPr>
                      <w:rFonts w:hint="eastAsia"/>
                      <w:color w:val="000000"/>
                      <w:szCs w:val="21"/>
                      <w:vertAlign w:val="subscript"/>
                    </w:rPr>
                    <w:t>5</w:t>
                  </w:r>
                  <w:r>
                    <w:rPr>
                      <w:rFonts w:hint="eastAsia"/>
                      <w:color w:val="000000"/>
                      <w:szCs w:val="21"/>
                    </w:rPr>
                    <w:t xml:space="preserve"> </w:t>
                  </w:r>
                </w:p>
              </w:tc>
              <w:tc>
                <w:tcPr>
                  <w:tcW w:w="1554" w:type="dxa"/>
                  <w:vMerge w:val="continue"/>
                  <w:vAlign w:val="center"/>
                </w:tcPr>
                <w:p>
                  <w:pPr>
                    <w:jc w:val="center"/>
                    <w:rPr>
                      <w:color w:val="000000"/>
                      <w:szCs w:val="21"/>
                    </w:rPr>
                  </w:pPr>
                </w:p>
              </w:tc>
              <w:tc>
                <w:tcPr>
                  <w:tcW w:w="1038" w:type="dxa"/>
                  <w:vAlign w:val="center"/>
                </w:tcPr>
                <w:p>
                  <w:pPr>
                    <w:jc w:val="center"/>
                    <w:rPr>
                      <w:color w:val="000000"/>
                      <w:szCs w:val="21"/>
                    </w:rPr>
                  </w:pPr>
                  <w:r>
                    <w:rPr>
                      <w:rFonts w:hint="eastAsia"/>
                      <w:color w:val="000000"/>
                      <w:szCs w:val="21"/>
                    </w:rPr>
                    <w:t>每月</w:t>
                  </w:r>
                  <w:r>
                    <w:rPr>
                      <w:color w:val="000000"/>
                      <w:szCs w:val="21"/>
                    </w:rPr>
                    <w:t>一次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816" w:type="dxa"/>
                  <w:vAlign w:val="center"/>
                </w:tcPr>
                <w:p>
                  <w:pPr>
                    <w:jc w:val="center"/>
                    <w:rPr>
                      <w:color w:val="000000"/>
                      <w:szCs w:val="21"/>
                    </w:rPr>
                  </w:pPr>
                  <w:r>
                    <w:rPr>
                      <w:color w:val="000000"/>
                      <w:szCs w:val="21"/>
                    </w:rPr>
                    <w:t>噪声</w:t>
                  </w:r>
                </w:p>
              </w:tc>
              <w:tc>
                <w:tcPr>
                  <w:tcW w:w="2483" w:type="dxa"/>
                  <w:vAlign w:val="center"/>
                </w:tcPr>
                <w:p>
                  <w:pPr>
                    <w:jc w:val="center"/>
                    <w:rPr>
                      <w:color w:val="000000"/>
                      <w:szCs w:val="21"/>
                    </w:rPr>
                  </w:pPr>
                  <w:r>
                    <w:rPr>
                      <w:color w:val="000000"/>
                      <w:szCs w:val="21"/>
                    </w:rPr>
                    <w:t>厂界噪声</w:t>
                  </w:r>
                </w:p>
              </w:tc>
              <w:tc>
                <w:tcPr>
                  <w:tcW w:w="2169" w:type="dxa"/>
                  <w:vAlign w:val="center"/>
                </w:tcPr>
                <w:p>
                  <w:pPr>
                    <w:jc w:val="center"/>
                    <w:rPr>
                      <w:color w:val="000000"/>
                      <w:szCs w:val="21"/>
                    </w:rPr>
                  </w:pPr>
                  <w:r>
                    <w:rPr>
                      <w:color w:val="000000"/>
                      <w:szCs w:val="21"/>
                    </w:rPr>
                    <w:t>Leq(A)，昼夜各监测一次</w:t>
                  </w:r>
                </w:p>
              </w:tc>
              <w:tc>
                <w:tcPr>
                  <w:tcW w:w="1554" w:type="dxa"/>
                  <w:vAlign w:val="center"/>
                </w:tcPr>
                <w:p>
                  <w:pPr>
                    <w:jc w:val="center"/>
                    <w:rPr>
                      <w:color w:val="000000"/>
                      <w:szCs w:val="21"/>
                    </w:rPr>
                  </w:pPr>
                  <w:r>
                    <w:rPr>
                      <w:color w:val="000000"/>
                      <w:szCs w:val="21"/>
                    </w:rPr>
                    <w:t>厂界外1m</w:t>
                  </w:r>
                </w:p>
              </w:tc>
              <w:tc>
                <w:tcPr>
                  <w:tcW w:w="1038" w:type="dxa"/>
                  <w:vAlign w:val="center"/>
                </w:tcPr>
                <w:p>
                  <w:pPr>
                    <w:jc w:val="center"/>
                    <w:rPr>
                      <w:color w:val="000000"/>
                      <w:szCs w:val="21"/>
                    </w:rPr>
                  </w:pPr>
                  <w:r>
                    <w:rPr>
                      <w:color w:val="000000"/>
                      <w:szCs w:val="21"/>
                    </w:rPr>
                    <w:t>每季一次</w:t>
                  </w:r>
                </w:p>
              </w:tc>
            </w:tr>
          </w:tbl>
          <w:p>
            <w:pPr>
              <w:spacing w:line="360" w:lineRule="auto"/>
              <w:ind w:left="420" w:leftChars="200"/>
              <w:rPr>
                <w:b/>
                <w:kern w:val="0"/>
                <w:sz w:val="24"/>
              </w:rPr>
            </w:pPr>
            <w:r>
              <w:rPr>
                <w:rFonts w:hint="eastAsia"/>
                <w:b/>
                <w:kern w:val="0"/>
                <w:sz w:val="24"/>
              </w:rPr>
              <w:t>八</w:t>
            </w:r>
            <w:r>
              <w:rPr>
                <w:b/>
                <w:kern w:val="0"/>
                <w:sz w:val="24"/>
              </w:rPr>
              <w:t>、</w:t>
            </w:r>
            <w:r>
              <w:rPr>
                <w:rFonts w:hint="eastAsia"/>
                <w:b/>
                <w:kern w:val="0"/>
                <w:sz w:val="24"/>
              </w:rPr>
              <w:t>排污口</w:t>
            </w:r>
            <w:r>
              <w:rPr>
                <w:b/>
                <w:kern w:val="0"/>
                <w:sz w:val="24"/>
              </w:rPr>
              <w:t>规范化</w:t>
            </w:r>
          </w:p>
          <w:p>
            <w:pPr>
              <w:spacing w:line="360" w:lineRule="auto"/>
              <w:ind w:firstLine="500" w:firstLineChars="200"/>
              <w:rPr>
                <w:rFonts w:hint="default" w:ascii="Times New Roman" w:hAnsi="Times New Roman" w:eastAsia="宋体" w:cs="Times New Roman"/>
                <w:sz w:val="24"/>
              </w:rPr>
            </w:pPr>
            <w:r>
              <w:rPr>
                <w:rFonts w:hint="default" w:ascii="Times New Roman" w:hAnsi="Times New Roman" w:eastAsia="宋体" w:cs="Times New Roman"/>
                <w:spacing w:val="5"/>
                <w:sz w:val="24"/>
              </w:rPr>
              <w:t>(1)废气排污口规范化</w:t>
            </w:r>
          </w:p>
          <w:p>
            <w:pPr>
              <w:spacing w:line="360" w:lineRule="auto"/>
              <w:ind w:firstLine="500" w:firstLineChars="200"/>
              <w:rPr>
                <w:rFonts w:hint="default" w:ascii="Times New Roman" w:hAnsi="Times New Roman" w:eastAsia="宋体" w:cs="Times New Roman"/>
                <w:sz w:val="24"/>
              </w:rPr>
            </w:pPr>
            <w:r>
              <w:rPr>
                <w:rFonts w:hint="default" w:ascii="Times New Roman" w:hAnsi="Times New Roman" w:eastAsia="宋体" w:cs="Times New Roman"/>
                <w:spacing w:val="5"/>
                <w:sz w:val="24"/>
              </w:rPr>
              <w:t>①排气筒应设置编号铭牌，并注明排放的污染物。</w:t>
            </w:r>
          </w:p>
          <w:p>
            <w:pPr>
              <w:spacing w:line="360" w:lineRule="auto"/>
              <w:ind w:firstLine="500" w:firstLineChars="200"/>
              <w:rPr>
                <w:rFonts w:hint="default" w:ascii="Times New Roman" w:hAnsi="Times New Roman" w:eastAsia="宋体" w:cs="Times New Roman"/>
                <w:sz w:val="24"/>
              </w:rPr>
            </w:pPr>
            <w:r>
              <w:rPr>
                <w:rFonts w:hint="default" w:ascii="Times New Roman" w:hAnsi="Times New Roman" w:eastAsia="宋体" w:cs="Times New Roman"/>
                <w:spacing w:val="5"/>
                <w:sz w:val="24"/>
              </w:rPr>
              <w:t>②排气筒应设置便于采样、监测的采样口和采样监测平台，有净化设施的应在其进出口分别设置采样口。</w:t>
            </w:r>
          </w:p>
          <w:p>
            <w:pPr>
              <w:spacing w:line="360" w:lineRule="auto"/>
              <w:ind w:firstLine="500" w:firstLineChars="200"/>
              <w:rPr>
                <w:rFonts w:hint="default" w:ascii="Times New Roman" w:hAnsi="Times New Roman" w:eastAsia="宋体" w:cs="Times New Roman"/>
                <w:sz w:val="24"/>
              </w:rPr>
            </w:pPr>
            <w:r>
              <w:rPr>
                <w:rFonts w:hint="default" w:ascii="Times New Roman" w:hAnsi="Times New Roman" w:eastAsia="宋体" w:cs="Times New Roman"/>
                <w:spacing w:val="5"/>
                <w:sz w:val="24"/>
              </w:rPr>
              <w:t>③采样孔、点数目和位置应按《固定污染源排气中颗粒物测定与气态污染物采样方法》(GB／T16157-1996)的规定设置。</w:t>
            </w:r>
          </w:p>
          <w:p>
            <w:pPr>
              <w:spacing w:line="360" w:lineRule="auto"/>
              <w:ind w:firstLine="500" w:firstLineChars="200"/>
              <w:rPr>
                <w:rFonts w:hint="default" w:ascii="Times New Roman" w:hAnsi="Times New Roman" w:eastAsia="宋体" w:cs="Times New Roman"/>
                <w:spacing w:val="5"/>
                <w:sz w:val="24"/>
              </w:rPr>
            </w:pPr>
            <w:r>
              <w:rPr>
                <w:rFonts w:hint="default" w:ascii="Times New Roman" w:hAnsi="Times New Roman" w:eastAsia="宋体" w:cs="Times New Roman"/>
                <w:spacing w:val="5"/>
                <w:sz w:val="24"/>
              </w:rPr>
              <w:t>④当采样位置无法满足规范要求时，其位置应由当地环境监测部门确认。</w:t>
            </w:r>
          </w:p>
          <w:p>
            <w:pPr>
              <w:pStyle w:val="2"/>
              <w:spacing w:after="0" w:line="360" w:lineRule="auto"/>
              <w:ind w:left="0" w:leftChars="0" w:firstLine="480"/>
              <w:rPr>
                <w:b/>
                <w:sz w:val="24"/>
                <w:szCs w:val="24"/>
              </w:rPr>
            </w:pPr>
            <w:r>
              <w:rPr>
                <w:rFonts w:hint="eastAsia"/>
                <w:sz w:val="24"/>
                <w:szCs w:val="24"/>
              </w:rPr>
              <w:t>（</w:t>
            </w:r>
            <w:r>
              <w:rPr>
                <w:sz w:val="24"/>
                <w:szCs w:val="24"/>
              </w:rPr>
              <w:t>1</w:t>
            </w:r>
            <w:r>
              <w:rPr>
                <w:rFonts w:hint="eastAsia"/>
                <w:sz w:val="24"/>
                <w:szCs w:val="24"/>
              </w:rPr>
              <w:t>）噪声排放源规范化</w:t>
            </w:r>
          </w:p>
          <w:p>
            <w:pPr>
              <w:spacing w:line="360" w:lineRule="auto"/>
              <w:ind w:firstLine="480" w:firstLineChars="200"/>
              <w:rPr>
                <w:b/>
                <w:kern w:val="0"/>
                <w:sz w:val="24"/>
              </w:rPr>
            </w:pPr>
            <w:r>
              <w:rPr>
                <w:rFonts w:hint="eastAsia"/>
                <w:kern w:val="0"/>
                <w:sz w:val="24"/>
              </w:rPr>
              <w:t>应按照《工业企业厂界噪声测量方法》(GB12349)的规定，设置环境噪声监测点，并在该处附近醒目处设置环境保护图形标志牌</w:t>
            </w:r>
            <w:r>
              <w:rPr>
                <w:rFonts w:hint="eastAsia"/>
                <w:b/>
                <w:kern w:val="0"/>
                <w:sz w:val="24"/>
              </w:rPr>
              <w:t>。</w:t>
            </w:r>
          </w:p>
          <w:p>
            <w:pPr>
              <w:pStyle w:val="2"/>
              <w:spacing w:after="0" w:line="360" w:lineRule="auto"/>
              <w:ind w:left="0" w:leftChars="0" w:firstLine="480"/>
              <w:rPr>
                <w:b/>
                <w:sz w:val="24"/>
                <w:szCs w:val="24"/>
              </w:rPr>
            </w:pPr>
            <w:r>
              <w:rPr>
                <w:rFonts w:hint="eastAsia"/>
                <w:sz w:val="24"/>
                <w:szCs w:val="24"/>
              </w:rPr>
              <w:t>（</w:t>
            </w:r>
            <w:r>
              <w:rPr>
                <w:rFonts w:hint="eastAsia"/>
                <w:sz w:val="24"/>
                <w:szCs w:val="24"/>
                <w:lang w:val="en-US" w:eastAsia="zh-CN"/>
              </w:rPr>
              <w:t>3</w:t>
            </w:r>
            <w:r>
              <w:rPr>
                <w:rFonts w:hint="eastAsia"/>
                <w:sz w:val="24"/>
                <w:szCs w:val="24"/>
              </w:rPr>
              <w:t>）固体废物规范化要求</w:t>
            </w:r>
          </w:p>
          <w:p>
            <w:pPr>
              <w:spacing w:line="360" w:lineRule="auto"/>
              <w:ind w:firstLine="480" w:firstLineChars="200"/>
              <w:rPr>
                <w:kern w:val="0"/>
                <w:sz w:val="24"/>
              </w:rPr>
            </w:pPr>
            <w:r>
              <w:rPr>
                <w:rFonts w:hint="eastAsia"/>
                <w:kern w:val="0"/>
                <w:sz w:val="24"/>
              </w:rPr>
              <w:t>一般固体废物按照《一般工业固体废物贮存、处置场污染控制标准》（GB18599-2001）及修改单储存。</w:t>
            </w:r>
          </w:p>
          <w:p>
            <w:pPr>
              <w:spacing w:line="360" w:lineRule="auto"/>
              <w:ind w:firstLine="482" w:firstLineChars="200"/>
              <w:rPr>
                <w:b/>
                <w:sz w:val="24"/>
                <w:szCs w:val="24"/>
              </w:rPr>
            </w:pPr>
            <w:r>
              <w:rPr>
                <w:rFonts w:hint="eastAsia"/>
                <w:b/>
                <w:sz w:val="24"/>
                <w:szCs w:val="24"/>
              </w:rPr>
              <w:t>九</w:t>
            </w:r>
            <w:r>
              <w:rPr>
                <w:b/>
                <w:sz w:val="24"/>
                <w:szCs w:val="24"/>
              </w:rPr>
              <w:t>、企业信息公开</w:t>
            </w:r>
          </w:p>
          <w:p>
            <w:pPr>
              <w:spacing w:line="360" w:lineRule="auto"/>
              <w:ind w:firstLine="480"/>
              <w:rPr>
                <w:sz w:val="24"/>
                <w:szCs w:val="24"/>
              </w:rPr>
            </w:pPr>
            <w:r>
              <w:rPr>
                <w:sz w:val="24"/>
                <w:szCs w:val="24"/>
              </w:rPr>
              <w:t>根据《企业事业单位环境信息公开办法》（环境保护部第31号）相关规定，企业应在本单位的信息公告栏、信息亭或其他便于公众及时获得信息的场所公开以下信息。</w:t>
            </w:r>
          </w:p>
          <w:p>
            <w:pPr>
              <w:spacing w:line="360" w:lineRule="auto"/>
              <w:ind w:firstLine="480"/>
              <w:rPr>
                <w:sz w:val="24"/>
                <w:szCs w:val="24"/>
              </w:rPr>
            </w:pPr>
            <w:r>
              <w:rPr>
                <w:rFonts w:hint="eastAsia" w:ascii="宋体" w:hAnsi="宋体" w:cs="宋体"/>
                <w:sz w:val="24"/>
                <w:szCs w:val="24"/>
              </w:rPr>
              <w:t>①</w:t>
            </w:r>
            <w:r>
              <w:rPr>
                <w:sz w:val="24"/>
                <w:szCs w:val="24"/>
              </w:rPr>
              <w:t>项目基础信息</w:t>
            </w:r>
          </w:p>
          <w:p>
            <w:pPr>
              <w:pStyle w:val="11"/>
              <w:spacing w:line="360" w:lineRule="auto"/>
              <w:ind w:firstLine="482"/>
              <w:rPr>
                <w:sz w:val="24"/>
                <w:szCs w:val="24"/>
              </w:rPr>
            </w:pPr>
            <w:r>
              <w:rPr>
                <w:rFonts w:hint="eastAsia"/>
                <w:sz w:val="24"/>
                <w:szCs w:val="24"/>
              </w:rPr>
              <w:t>项目基础</w:t>
            </w:r>
            <w:r>
              <w:rPr>
                <w:sz w:val="24"/>
                <w:szCs w:val="24"/>
              </w:rPr>
              <w:t>信息，主要内容</w:t>
            </w:r>
            <w:r>
              <w:rPr>
                <w:rFonts w:hint="eastAsia"/>
                <w:sz w:val="24"/>
                <w:szCs w:val="24"/>
              </w:rPr>
              <w:t>见</w:t>
            </w:r>
            <w:r>
              <w:rPr>
                <w:sz w:val="24"/>
                <w:szCs w:val="24"/>
              </w:rPr>
              <w:t>表42</w:t>
            </w:r>
            <w:r>
              <w:rPr>
                <w:rFonts w:hint="eastAsia"/>
                <w:sz w:val="24"/>
                <w:szCs w:val="24"/>
              </w:rPr>
              <w:t>所示</w:t>
            </w:r>
            <w:r>
              <w:rPr>
                <w:sz w:val="24"/>
                <w:szCs w:val="24"/>
              </w:rPr>
              <w:t>。</w:t>
            </w:r>
          </w:p>
          <w:p>
            <w:pPr>
              <w:jc w:val="center"/>
              <w:rPr>
                <w:b/>
                <w:sz w:val="24"/>
                <w:szCs w:val="24"/>
              </w:rPr>
            </w:pPr>
            <w:r>
              <w:rPr>
                <w:rFonts w:hint="eastAsia"/>
                <w:b/>
                <w:sz w:val="24"/>
                <w:szCs w:val="24"/>
              </w:rPr>
              <w:t>表</w:t>
            </w:r>
            <w:r>
              <w:rPr>
                <w:b/>
                <w:sz w:val="24"/>
                <w:szCs w:val="24"/>
              </w:rPr>
              <w:t xml:space="preserve">42  </w:t>
            </w:r>
            <w:r>
              <w:rPr>
                <w:rFonts w:hint="eastAsia"/>
                <w:b/>
                <w:sz w:val="24"/>
                <w:szCs w:val="24"/>
              </w:rPr>
              <w:t>企业基础</w:t>
            </w:r>
            <w:r>
              <w:rPr>
                <w:b/>
                <w:sz w:val="24"/>
                <w:szCs w:val="24"/>
              </w:rPr>
              <w:t>信息一览表</w:t>
            </w:r>
          </w:p>
          <w:tbl>
            <w:tblPr>
              <w:tblStyle w:val="48"/>
              <w:tblW w:w="8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685"/>
              <w:gridCol w:w="1111"/>
              <w:gridCol w:w="951"/>
              <w:gridCol w:w="4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8" w:type="dxa"/>
                  <w:vAlign w:val="center"/>
                </w:tcPr>
                <w:p>
                  <w:pPr>
                    <w:pStyle w:val="11"/>
                    <w:spacing w:line="240" w:lineRule="auto"/>
                    <w:ind w:firstLine="0"/>
                    <w:jc w:val="center"/>
                    <w:rPr>
                      <w:sz w:val="21"/>
                      <w:szCs w:val="21"/>
                    </w:rPr>
                  </w:pPr>
                  <w:r>
                    <w:rPr>
                      <w:rFonts w:hint="eastAsia"/>
                      <w:sz w:val="21"/>
                      <w:szCs w:val="21"/>
                    </w:rPr>
                    <w:t>序号</w:t>
                  </w:r>
                </w:p>
              </w:tc>
              <w:tc>
                <w:tcPr>
                  <w:tcW w:w="1796" w:type="dxa"/>
                  <w:gridSpan w:val="2"/>
                  <w:vAlign w:val="center"/>
                </w:tcPr>
                <w:p>
                  <w:pPr>
                    <w:pStyle w:val="11"/>
                    <w:spacing w:line="240" w:lineRule="auto"/>
                    <w:ind w:firstLine="0"/>
                    <w:jc w:val="center"/>
                    <w:rPr>
                      <w:sz w:val="21"/>
                      <w:szCs w:val="21"/>
                    </w:rPr>
                  </w:pPr>
                  <w:r>
                    <w:rPr>
                      <w:rFonts w:hint="eastAsia"/>
                      <w:sz w:val="21"/>
                      <w:szCs w:val="21"/>
                    </w:rPr>
                    <w:t>项目</w:t>
                  </w:r>
                </w:p>
              </w:tc>
              <w:tc>
                <w:tcPr>
                  <w:tcW w:w="5609" w:type="dxa"/>
                  <w:gridSpan w:val="2"/>
                  <w:vAlign w:val="center"/>
                </w:tcPr>
                <w:p>
                  <w:pPr>
                    <w:pStyle w:val="11"/>
                    <w:spacing w:line="240" w:lineRule="auto"/>
                    <w:ind w:firstLine="0"/>
                    <w:jc w:val="center"/>
                    <w:rPr>
                      <w:sz w:val="21"/>
                      <w:szCs w:val="21"/>
                    </w:rPr>
                  </w:pPr>
                  <w:r>
                    <w:rPr>
                      <w:rFonts w:hint="eastAsia"/>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8" w:type="dxa"/>
                  <w:vAlign w:val="center"/>
                </w:tcPr>
                <w:p>
                  <w:pPr>
                    <w:pStyle w:val="11"/>
                    <w:spacing w:line="240" w:lineRule="auto"/>
                    <w:ind w:firstLine="0"/>
                    <w:jc w:val="center"/>
                    <w:rPr>
                      <w:sz w:val="21"/>
                      <w:szCs w:val="21"/>
                    </w:rPr>
                  </w:pPr>
                  <w:r>
                    <w:rPr>
                      <w:rFonts w:hint="eastAsia"/>
                      <w:sz w:val="21"/>
                      <w:szCs w:val="21"/>
                    </w:rPr>
                    <w:t>1</w:t>
                  </w:r>
                </w:p>
              </w:tc>
              <w:tc>
                <w:tcPr>
                  <w:tcW w:w="1796" w:type="dxa"/>
                  <w:gridSpan w:val="2"/>
                  <w:vAlign w:val="center"/>
                </w:tcPr>
                <w:p>
                  <w:pPr>
                    <w:pStyle w:val="11"/>
                    <w:spacing w:line="240" w:lineRule="auto"/>
                    <w:ind w:firstLine="0"/>
                    <w:jc w:val="center"/>
                    <w:rPr>
                      <w:sz w:val="21"/>
                      <w:szCs w:val="21"/>
                    </w:rPr>
                  </w:pPr>
                  <w:r>
                    <w:rPr>
                      <w:rFonts w:hint="eastAsia"/>
                      <w:sz w:val="21"/>
                      <w:szCs w:val="21"/>
                    </w:rPr>
                    <w:t>项目</w:t>
                  </w:r>
                  <w:r>
                    <w:rPr>
                      <w:sz w:val="21"/>
                      <w:szCs w:val="21"/>
                    </w:rPr>
                    <w:t>建设单位</w:t>
                  </w:r>
                </w:p>
              </w:tc>
              <w:tc>
                <w:tcPr>
                  <w:tcW w:w="5609" w:type="dxa"/>
                  <w:gridSpan w:val="2"/>
                  <w:vAlign w:val="center"/>
                </w:tcPr>
                <w:p>
                  <w:pPr>
                    <w:pStyle w:val="11"/>
                    <w:spacing w:line="240" w:lineRule="auto"/>
                    <w:ind w:firstLine="0"/>
                    <w:rPr>
                      <w:rFonts w:hint="eastAsia" w:eastAsia="宋体"/>
                      <w:sz w:val="21"/>
                      <w:szCs w:val="21"/>
                      <w:lang w:eastAsia="zh-CN"/>
                    </w:rPr>
                  </w:pPr>
                  <w:r>
                    <w:rPr>
                      <w:rFonts w:hint="eastAsia"/>
                      <w:sz w:val="21"/>
                      <w:szCs w:val="21"/>
                      <w:lang w:eastAsia="zh-CN"/>
                    </w:rPr>
                    <w:t>威县乐牛乳业有限公司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8" w:type="dxa"/>
                  <w:vAlign w:val="center"/>
                </w:tcPr>
                <w:p>
                  <w:pPr>
                    <w:pStyle w:val="11"/>
                    <w:spacing w:line="240" w:lineRule="auto"/>
                    <w:ind w:firstLine="0"/>
                    <w:jc w:val="center"/>
                    <w:rPr>
                      <w:sz w:val="21"/>
                      <w:szCs w:val="21"/>
                    </w:rPr>
                  </w:pPr>
                  <w:r>
                    <w:rPr>
                      <w:rFonts w:hint="eastAsia"/>
                      <w:sz w:val="21"/>
                      <w:szCs w:val="21"/>
                    </w:rPr>
                    <w:t>2</w:t>
                  </w:r>
                </w:p>
              </w:tc>
              <w:tc>
                <w:tcPr>
                  <w:tcW w:w="1796" w:type="dxa"/>
                  <w:gridSpan w:val="2"/>
                  <w:vAlign w:val="center"/>
                </w:tcPr>
                <w:p>
                  <w:pPr>
                    <w:pStyle w:val="11"/>
                    <w:spacing w:line="240" w:lineRule="auto"/>
                    <w:ind w:firstLine="0"/>
                    <w:jc w:val="center"/>
                    <w:rPr>
                      <w:sz w:val="21"/>
                      <w:szCs w:val="21"/>
                    </w:rPr>
                  </w:pPr>
                  <w:r>
                    <w:rPr>
                      <w:rFonts w:hint="eastAsia"/>
                      <w:sz w:val="21"/>
                      <w:szCs w:val="21"/>
                    </w:rPr>
                    <w:t>项目</w:t>
                  </w:r>
                  <w:r>
                    <w:rPr>
                      <w:sz w:val="21"/>
                      <w:szCs w:val="21"/>
                    </w:rPr>
                    <w:t>名称</w:t>
                  </w:r>
                </w:p>
              </w:tc>
              <w:tc>
                <w:tcPr>
                  <w:tcW w:w="5609" w:type="dxa"/>
                  <w:gridSpan w:val="2"/>
                  <w:vAlign w:val="center"/>
                </w:tcPr>
                <w:p>
                  <w:pPr>
                    <w:pStyle w:val="11"/>
                    <w:spacing w:line="240" w:lineRule="auto"/>
                    <w:ind w:firstLine="0"/>
                    <w:rPr>
                      <w:bCs/>
                      <w:color w:val="000000"/>
                      <w:sz w:val="21"/>
                      <w:szCs w:val="21"/>
                    </w:rPr>
                  </w:pPr>
                  <w:r>
                    <w:rPr>
                      <w:rFonts w:hint="eastAsia"/>
                      <w:sz w:val="21"/>
                      <w:szCs w:val="21"/>
                      <w:lang w:eastAsia="zh-CN"/>
                    </w:rPr>
                    <w:t>威县乐牛乳业有限公司厂区配套设施污水处理站提标改造项目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8" w:type="dxa"/>
                  <w:vAlign w:val="center"/>
                </w:tcPr>
                <w:p>
                  <w:pPr>
                    <w:pStyle w:val="11"/>
                    <w:spacing w:line="240" w:lineRule="auto"/>
                    <w:ind w:firstLine="0"/>
                    <w:jc w:val="center"/>
                    <w:rPr>
                      <w:sz w:val="21"/>
                      <w:szCs w:val="21"/>
                    </w:rPr>
                  </w:pPr>
                  <w:r>
                    <w:rPr>
                      <w:rFonts w:hint="eastAsia"/>
                      <w:sz w:val="21"/>
                      <w:szCs w:val="21"/>
                    </w:rPr>
                    <w:t>3</w:t>
                  </w:r>
                </w:p>
              </w:tc>
              <w:tc>
                <w:tcPr>
                  <w:tcW w:w="1796" w:type="dxa"/>
                  <w:gridSpan w:val="2"/>
                  <w:vAlign w:val="center"/>
                </w:tcPr>
                <w:p>
                  <w:pPr>
                    <w:pStyle w:val="11"/>
                    <w:spacing w:line="240" w:lineRule="auto"/>
                    <w:ind w:firstLine="0"/>
                    <w:jc w:val="center"/>
                    <w:rPr>
                      <w:bCs/>
                      <w:sz w:val="21"/>
                      <w:szCs w:val="21"/>
                    </w:rPr>
                  </w:pPr>
                  <w:r>
                    <w:rPr>
                      <w:rFonts w:hint="eastAsia"/>
                      <w:bCs/>
                      <w:sz w:val="21"/>
                      <w:szCs w:val="21"/>
                    </w:rPr>
                    <w:t>建设</w:t>
                  </w:r>
                  <w:r>
                    <w:rPr>
                      <w:bCs/>
                      <w:sz w:val="21"/>
                      <w:szCs w:val="21"/>
                    </w:rPr>
                    <w:t>地点</w:t>
                  </w:r>
                </w:p>
              </w:tc>
              <w:tc>
                <w:tcPr>
                  <w:tcW w:w="5609" w:type="dxa"/>
                  <w:gridSpan w:val="2"/>
                  <w:vAlign w:val="center"/>
                </w:tcPr>
                <w:p>
                  <w:pPr>
                    <w:pStyle w:val="11"/>
                    <w:spacing w:line="240" w:lineRule="auto"/>
                    <w:ind w:firstLine="0"/>
                    <w:rPr>
                      <w:rFonts w:hint="eastAsia" w:eastAsia="宋体"/>
                      <w:bCs/>
                      <w:sz w:val="21"/>
                      <w:szCs w:val="21"/>
                      <w:lang w:eastAsia="zh-CN"/>
                    </w:rPr>
                  </w:pPr>
                  <w:r>
                    <w:rPr>
                      <w:rFonts w:hint="eastAsia"/>
                      <w:bCs/>
                      <w:sz w:val="21"/>
                      <w:szCs w:val="21"/>
                      <w:lang w:eastAsia="zh-CN"/>
                    </w:rPr>
                    <w:t>邢台市威县洺州镇三多大街中段东侧，威县乐牛乳业有限公司厂区内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28" w:type="dxa"/>
                  <w:vMerge w:val="restart"/>
                  <w:vAlign w:val="center"/>
                </w:tcPr>
                <w:p>
                  <w:pPr>
                    <w:pStyle w:val="11"/>
                    <w:spacing w:line="240" w:lineRule="auto"/>
                    <w:ind w:firstLine="0"/>
                    <w:jc w:val="center"/>
                    <w:rPr>
                      <w:sz w:val="21"/>
                      <w:szCs w:val="21"/>
                    </w:rPr>
                  </w:pPr>
                  <w:r>
                    <w:rPr>
                      <w:rFonts w:hint="eastAsia"/>
                      <w:sz w:val="21"/>
                      <w:szCs w:val="21"/>
                    </w:rPr>
                    <w:t>4</w:t>
                  </w:r>
                </w:p>
              </w:tc>
              <w:tc>
                <w:tcPr>
                  <w:tcW w:w="685" w:type="dxa"/>
                  <w:vMerge w:val="restart"/>
                  <w:vAlign w:val="center"/>
                </w:tcPr>
                <w:p>
                  <w:pPr>
                    <w:pStyle w:val="11"/>
                    <w:spacing w:line="240" w:lineRule="auto"/>
                    <w:ind w:firstLine="0"/>
                    <w:jc w:val="center"/>
                    <w:rPr>
                      <w:bCs/>
                      <w:sz w:val="21"/>
                      <w:szCs w:val="21"/>
                    </w:rPr>
                  </w:pPr>
                  <w:r>
                    <w:rPr>
                      <w:rFonts w:hint="eastAsia"/>
                      <w:bCs/>
                      <w:sz w:val="21"/>
                      <w:szCs w:val="21"/>
                    </w:rPr>
                    <w:t>项目</w:t>
                  </w:r>
                  <w:r>
                    <w:rPr>
                      <w:bCs/>
                      <w:sz w:val="21"/>
                      <w:szCs w:val="21"/>
                    </w:rPr>
                    <w:t>概况</w:t>
                  </w:r>
                </w:p>
              </w:tc>
              <w:tc>
                <w:tcPr>
                  <w:tcW w:w="1111" w:type="dxa"/>
                  <w:vAlign w:val="center"/>
                </w:tcPr>
                <w:p>
                  <w:pPr>
                    <w:pStyle w:val="11"/>
                    <w:spacing w:line="240" w:lineRule="auto"/>
                    <w:ind w:firstLine="0"/>
                    <w:jc w:val="center"/>
                    <w:rPr>
                      <w:rFonts w:hint="default" w:eastAsia="宋体"/>
                      <w:bCs/>
                      <w:sz w:val="21"/>
                      <w:szCs w:val="21"/>
                      <w:lang w:val="en-US" w:eastAsia="zh-CN"/>
                    </w:rPr>
                  </w:pPr>
                  <w:r>
                    <w:rPr>
                      <w:rFonts w:hint="eastAsia"/>
                      <w:bCs/>
                      <w:sz w:val="21"/>
                      <w:szCs w:val="21"/>
                      <w:lang w:val="en-US" w:eastAsia="zh-CN"/>
                    </w:rPr>
                    <w:t>建设内容</w:t>
                  </w:r>
                </w:p>
              </w:tc>
              <w:tc>
                <w:tcPr>
                  <w:tcW w:w="5609" w:type="dxa"/>
                  <w:gridSpan w:val="2"/>
                  <w:vAlign w:val="center"/>
                </w:tcPr>
                <w:p>
                  <w:pPr>
                    <w:pStyle w:val="11"/>
                    <w:adjustRightInd/>
                    <w:spacing w:line="240" w:lineRule="auto"/>
                    <w:ind w:firstLine="0"/>
                    <w:contextualSpacing/>
                    <w:rPr>
                      <w:bCs/>
                      <w:sz w:val="21"/>
                      <w:szCs w:val="21"/>
                    </w:rPr>
                  </w:pPr>
                  <w:r>
                    <w:rPr>
                      <w:rFonts w:hint="eastAsia" w:ascii="Times New Roman" w:hAnsi="Times New Roman" w:eastAsia="宋体" w:cs="Times New Roman"/>
                      <w:kern w:val="2"/>
                      <w:sz w:val="21"/>
                      <w:szCs w:val="22"/>
                      <w:lang w:val="en-US" w:eastAsia="zh-CN" w:bidi="ar-SA"/>
                    </w:rPr>
                    <w:t>本</w:t>
                  </w:r>
                  <w:r>
                    <w:rPr>
                      <w:rFonts w:ascii="Times New Roman" w:hAnsi="Times New Roman" w:eastAsia="宋体" w:cs="Times New Roman"/>
                      <w:kern w:val="2"/>
                      <w:sz w:val="21"/>
                      <w:szCs w:val="22"/>
                      <w:lang w:val="en-US" w:eastAsia="zh-CN" w:bidi="ar-SA"/>
                    </w:rPr>
                    <w:t>技改项目</w:t>
                  </w:r>
                  <w:r>
                    <w:rPr>
                      <w:rFonts w:hint="eastAsia" w:ascii="Times New Roman" w:hAnsi="Times New Roman" w:eastAsia="宋体" w:cs="Times New Roman"/>
                      <w:kern w:val="2"/>
                      <w:sz w:val="21"/>
                      <w:szCs w:val="22"/>
                      <w:lang w:val="en-US" w:eastAsia="zh-CN" w:bidi="ar-SA"/>
                    </w:rPr>
                    <w:t>通过对厂区两套1250m</w:t>
                  </w:r>
                  <w:r>
                    <w:rPr>
                      <w:rFonts w:hint="eastAsia" w:ascii="Times New Roman" w:hAnsi="Times New Roman" w:eastAsia="宋体" w:cs="Times New Roman"/>
                      <w:kern w:val="2"/>
                      <w:sz w:val="21"/>
                      <w:szCs w:val="22"/>
                      <w:vertAlign w:val="superscript"/>
                      <w:lang w:val="en-US" w:eastAsia="zh-CN" w:bidi="ar-SA"/>
                    </w:rPr>
                    <w:t>3</w:t>
                  </w:r>
                  <w:r>
                    <w:rPr>
                      <w:rFonts w:hint="eastAsia" w:ascii="Times New Roman" w:hAnsi="Times New Roman" w:eastAsia="宋体" w:cs="Times New Roman"/>
                      <w:kern w:val="2"/>
                      <w:sz w:val="21"/>
                      <w:szCs w:val="22"/>
                      <w:lang w:val="en-US" w:eastAsia="zh-CN" w:bidi="ar-SA"/>
                    </w:rPr>
                    <w:t>/d处理规模的污水处理站通过采用加强硝化液回流降低总氮及增加除磷单元降低总磷的方式，对其进行提标改造。其他内容不发生变化，项目不</w:t>
                  </w:r>
                  <w:r>
                    <w:rPr>
                      <w:rFonts w:ascii="Times New Roman" w:hAnsi="Times New Roman" w:eastAsia="宋体" w:cs="Times New Roman"/>
                      <w:kern w:val="2"/>
                      <w:sz w:val="21"/>
                      <w:szCs w:val="22"/>
                      <w:lang w:val="en-US" w:eastAsia="zh-CN" w:bidi="ar-SA"/>
                    </w:rPr>
                    <w:t>新增占地，</w:t>
                  </w:r>
                  <w:r>
                    <w:rPr>
                      <w:rFonts w:hint="eastAsia" w:ascii="Times New Roman" w:hAnsi="Times New Roman" w:eastAsia="宋体" w:cs="Times New Roman"/>
                      <w:kern w:val="2"/>
                      <w:sz w:val="21"/>
                      <w:szCs w:val="22"/>
                      <w:lang w:val="en-US" w:eastAsia="zh-CN" w:bidi="ar-SA"/>
                    </w:rPr>
                    <w:t>产品种类及产能均不发生变化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11"/>
                    <w:spacing w:line="240" w:lineRule="auto"/>
                    <w:ind w:firstLine="422"/>
                    <w:rPr>
                      <w:sz w:val="21"/>
                      <w:szCs w:val="21"/>
                    </w:rPr>
                  </w:pPr>
                </w:p>
              </w:tc>
              <w:tc>
                <w:tcPr>
                  <w:tcW w:w="685" w:type="dxa"/>
                  <w:vMerge w:val="continue"/>
                  <w:vAlign w:val="center"/>
                </w:tcPr>
                <w:p>
                  <w:pPr>
                    <w:pStyle w:val="11"/>
                    <w:spacing w:line="240" w:lineRule="auto"/>
                    <w:ind w:firstLine="422"/>
                    <w:rPr>
                      <w:sz w:val="21"/>
                      <w:szCs w:val="21"/>
                    </w:rPr>
                  </w:pPr>
                </w:p>
              </w:tc>
              <w:tc>
                <w:tcPr>
                  <w:tcW w:w="1111" w:type="dxa"/>
                  <w:vMerge w:val="restart"/>
                  <w:vAlign w:val="center"/>
                </w:tcPr>
                <w:p>
                  <w:pPr>
                    <w:pStyle w:val="11"/>
                    <w:spacing w:line="240" w:lineRule="auto"/>
                    <w:ind w:firstLine="0"/>
                    <w:jc w:val="center"/>
                    <w:rPr>
                      <w:sz w:val="21"/>
                      <w:szCs w:val="21"/>
                    </w:rPr>
                  </w:pPr>
                  <w:r>
                    <w:rPr>
                      <w:rFonts w:hint="eastAsia"/>
                      <w:sz w:val="21"/>
                      <w:szCs w:val="21"/>
                    </w:rPr>
                    <w:t>环保</w:t>
                  </w:r>
                  <w:r>
                    <w:rPr>
                      <w:sz w:val="21"/>
                      <w:szCs w:val="21"/>
                    </w:rPr>
                    <w:t>工程</w:t>
                  </w:r>
                </w:p>
              </w:tc>
              <w:tc>
                <w:tcPr>
                  <w:tcW w:w="951" w:type="dxa"/>
                  <w:vAlign w:val="center"/>
                </w:tcPr>
                <w:p>
                  <w:pPr>
                    <w:pStyle w:val="43"/>
                    <w:spacing w:before="0" w:beforeAutospacing="0" w:after="0" w:afterAutospacing="0" w:line="360" w:lineRule="auto"/>
                    <w:jc w:val="center"/>
                    <w:rPr>
                      <w:sz w:val="21"/>
                      <w:szCs w:val="21"/>
                    </w:rPr>
                  </w:pPr>
                  <w:r>
                    <w:rPr>
                      <w:rFonts w:hint="eastAsia"/>
                      <w:sz w:val="21"/>
                      <w:szCs w:val="21"/>
                    </w:rPr>
                    <w:t>废气</w:t>
                  </w:r>
                </w:p>
              </w:tc>
              <w:tc>
                <w:tcPr>
                  <w:tcW w:w="4658" w:type="dxa"/>
                  <w:vAlign w:val="center"/>
                </w:tcPr>
                <w:p>
                  <w:pPr>
                    <w:pStyle w:val="288"/>
                    <w:jc w:val="left"/>
                  </w:pPr>
                  <w:r>
                    <w:rPr>
                      <w:rFonts w:hint="eastAsia"/>
                      <w:bCs/>
                      <w:lang w:val="en-US" w:eastAsia="zh-CN"/>
                    </w:rPr>
                    <w:t>污水处理系统</w:t>
                  </w:r>
                  <w:r>
                    <w:t>恶臭：经</w:t>
                  </w:r>
                  <w:r>
                    <w:rPr>
                      <w:rFonts w:hint="eastAsia"/>
                      <w:lang w:val="en-US" w:eastAsia="zh-CN"/>
                    </w:rPr>
                    <w:t>生物除臭+光氧设备+活性炭吸附装置</w:t>
                  </w:r>
                  <w:r>
                    <w:t>处理后，经15m高排气筒排放</w:t>
                  </w:r>
                  <w:r>
                    <w:rPr>
                      <w:rFonts w:hint="eastAsia"/>
                    </w:rPr>
                    <w:t>；</w:t>
                  </w:r>
                </w:p>
                <w:p>
                  <w:pPr>
                    <w:pStyle w:val="288"/>
                    <w:jc w:val="left"/>
                    <w:rPr>
                      <w:szCs w:val="21"/>
                    </w:rPr>
                  </w:pPr>
                  <w:r>
                    <w:rPr>
                      <w:rFonts w:hint="eastAsia"/>
                    </w:rPr>
                    <w:t>无组织废气</w:t>
                  </w:r>
                  <w:r>
                    <w:t>：</w:t>
                  </w:r>
                  <w:r>
                    <w:rPr>
                      <w:rFonts w:hint="eastAsia"/>
                    </w:rPr>
                    <w:t>对</w:t>
                  </w:r>
                  <w:r>
                    <w:t>厂区绿化、</w:t>
                  </w:r>
                  <w:r>
                    <w:rPr>
                      <w:rFonts w:hint="eastAsia"/>
                    </w:rPr>
                    <w:t>厂界</w:t>
                  </w:r>
                  <w:r>
                    <w:t>外设置绿化带减少无组织臭气浓度。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11"/>
                    <w:spacing w:line="240" w:lineRule="auto"/>
                    <w:ind w:firstLine="422"/>
                    <w:rPr>
                      <w:sz w:val="21"/>
                      <w:szCs w:val="21"/>
                    </w:rPr>
                  </w:pPr>
                </w:p>
              </w:tc>
              <w:tc>
                <w:tcPr>
                  <w:tcW w:w="685" w:type="dxa"/>
                  <w:vMerge w:val="continue"/>
                  <w:vAlign w:val="center"/>
                </w:tcPr>
                <w:p>
                  <w:pPr>
                    <w:pStyle w:val="11"/>
                    <w:spacing w:line="240" w:lineRule="auto"/>
                    <w:ind w:firstLine="422"/>
                    <w:rPr>
                      <w:sz w:val="21"/>
                      <w:szCs w:val="21"/>
                    </w:rPr>
                  </w:pPr>
                </w:p>
              </w:tc>
              <w:tc>
                <w:tcPr>
                  <w:tcW w:w="1111" w:type="dxa"/>
                  <w:vMerge w:val="continue"/>
                  <w:vAlign w:val="center"/>
                </w:tcPr>
                <w:p>
                  <w:pPr>
                    <w:pStyle w:val="11"/>
                    <w:spacing w:line="240" w:lineRule="auto"/>
                    <w:ind w:firstLine="422"/>
                    <w:jc w:val="center"/>
                    <w:rPr>
                      <w:sz w:val="21"/>
                      <w:szCs w:val="21"/>
                    </w:rPr>
                  </w:pPr>
                </w:p>
              </w:tc>
              <w:tc>
                <w:tcPr>
                  <w:tcW w:w="951" w:type="dxa"/>
                  <w:vAlign w:val="center"/>
                </w:tcPr>
                <w:p>
                  <w:pPr>
                    <w:pStyle w:val="43"/>
                    <w:spacing w:before="0" w:beforeAutospacing="0" w:after="0" w:afterAutospacing="0" w:line="360" w:lineRule="auto"/>
                    <w:jc w:val="center"/>
                    <w:rPr>
                      <w:sz w:val="21"/>
                      <w:szCs w:val="21"/>
                    </w:rPr>
                  </w:pPr>
                  <w:r>
                    <w:rPr>
                      <w:rFonts w:hint="eastAsia"/>
                      <w:sz w:val="21"/>
                      <w:szCs w:val="21"/>
                    </w:rPr>
                    <w:t>废水</w:t>
                  </w:r>
                </w:p>
              </w:tc>
              <w:tc>
                <w:tcPr>
                  <w:tcW w:w="4658" w:type="dxa"/>
                  <w:vAlign w:val="center"/>
                </w:tcPr>
                <w:p>
                  <w:pPr>
                    <w:pStyle w:val="288"/>
                    <w:jc w:val="left"/>
                    <w:rPr>
                      <w:bCs/>
                      <w:kern w:val="0"/>
                      <w:szCs w:val="21"/>
                    </w:rPr>
                  </w:pPr>
                  <w:r>
                    <w:rPr>
                      <w:rFonts w:hint="eastAsia"/>
                    </w:rPr>
                    <w:t>处理达标后的中水部分用于绿化，</w:t>
                  </w:r>
                  <w:r>
                    <w:rPr>
                      <w:rFonts w:hint="default"/>
                      <w:lang w:eastAsia="zh-CN"/>
                    </w:rPr>
                    <w:t>剩余部分排入项目区北侧九支渠</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11"/>
                    <w:spacing w:line="240" w:lineRule="auto"/>
                    <w:ind w:firstLine="422"/>
                    <w:rPr>
                      <w:sz w:val="21"/>
                      <w:szCs w:val="21"/>
                    </w:rPr>
                  </w:pPr>
                </w:p>
              </w:tc>
              <w:tc>
                <w:tcPr>
                  <w:tcW w:w="685" w:type="dxa"/>
                  <w:vMerge w:val="continue"/>
                  <w:vAlign w:val="center"/>
                </w:tcPr>
                <w:p>
                  <w:pPr>
                    <w:pStyle w:val="11"/>
                    <w:spacing w:line="240" w:lineRule="auto"/>
                    <w:ind w:firstLine="422"/>
                    <w:rPr>
                      <w:sz w:val="21"/>
                      <w:szCs w:val="21"/>
                    </w:rPr>
                  </w:pPr>
                </w:p>
              </w:tc>
              <w:tc>
                <w:tcPr>
                  <w:tcW w:w="1111" w:type="dxa"/>
                  <w:vMerge w:val="continue"/>
                  <w:vAlign w:val="center"/>
                </w:tcPr>
                <w:p>
                  <w:pPr>
                    <w:pStyle w:val="11"/>
                    <w:spacing w:line="240" w:lineRule="auto"/>
                    <w:ind w:firstLine="422"/>
                    <w:jc w:val="center"/>
                    <w:rPr>
                      <w:sz w:val="21"/>
                      <w:szCs w:val="21"/>
                    </w:rPr>
                  </w:pPr>
                </w:p>
              </w:tc>
              <w:tc>
                <w:tcPr>
                  <w:tcW w:w="951" w:type="dxa"/>
                  <w:vAlign w:val="center"/>
                </w:tcPr>
                <w:p>
                  <w:pPr>
                    <w:pStyle w:val="43"/>
                    <w:spacing w:before="0" w:beforeAutospacing="0" w:after="0" w:afterAutospacing="0" w:line="360" w:lineRule="auto"/>
                    <w:jc w:val="center"/>
                    <w:rPr>
                      <w:sz w:val="21"/>
                      <w:szCs w:val="21"/>
                    </w:rPr>
                  </w:pPr>
                  <w:r>
                    <w:rPr>
                      <w:rFonts w:hint="eastAsia"/>
                      <w:sz w:val="21"/>
                      <w:szCs w:val="21"/>
                    </w:rPr>
                    <w:t>噪声</w:t>
                  </w:r>
                </w:p>
              </w:tc>
              <w:tc>
                <w:tcPr>
                  <w:tcW w:w="4658" w:type="dxa"/>
                  <w:vAlign w:val="center"/>
                </w:tcPr>
                <w:p>
                  <w:pPr>
                    <w:pStyle w:val="288"/>
                    <w:jc w:val="left"/>
                    <w:rPr>
                      <w:bCs/>
                      <w:kern w:val="0"/>
                      <w:szCs w:val="21"/>
                    </w:rPr>
                  </w:pPr>
                  <w:r>
                    <w:t>泵</w:t>
                  </w:r>
                  <w:r>
                    <w:rPr>
                      <w:rFonts w:hint="eastAsia"/>
                    </w:rPr>
                    <w:t>类、</w:t>
                  </w:r>
                  <w:r>
                    <w:t>风机等设备</w:t>
                  </w:r>
                  <w:r>
                    <w:rPr>
                      <w:rFonts w:hint="eastAsia"/>
                    </w:rPr>
                    <w:t>进行</w:t>
                  </w:r>
                  <w:r>
                    <w:t>隔声、</w:t>
                  </w:r>
                  <w:r>
                    <w:rPr>
                      <w:rFonts w:hint="eastAsia"/>
                    </w:rPr>
                    <w:t>消声</w:t>
                  </w:r>
                  <w:r>
                    <w:t>、减震处理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pPr>
                    <w:pStyle w:val="11"/>
                    <w:spacing w:line="240" w:lineRule="auto"/>
                    <w:ind w:firstLine="422"/>
                    <w:rPr>
                      <w:sz w:val="21"/>
                      <w:szCs w:val="21"/>
                    </w:rPr>
                  </w:pPr>
                </w:p>
              </w:tc>
              <w:tc>
                <w:tcPr>
                  <w:tcW w:w="685" w:type="dxa"/>
                  <w:vMerge w:val="continue"/>
                  <w:vAlign w:val="center"/>
                </w:tcPr>
                <w:p>
                  <w:pPr>
                    <w:pStyle w:val="11"/>
                    <w:spacing w:line="240" w:lineRule="auto"/>
                    <w:ind w:firstLine="422"/>
                    <w:rPr>
                      <w:sz w:val="21"/>
                      <w:szCs w:val="21"/>
                    </w:rPr>
                  </w:pPr>
                </w:p>
              </w:tc>
              <w:tc>
                <w:tcPr>
                  <w:tcW w:w="1111" w:type="dxa"/>
                  <w:vMerge w:val="continue"/>
                  <w:vAlign w:val="center"/>
                </w:tcPr>
                <w:p>
                  <w:pPr>
                    <w:pStyle w:val="11"/>
                    <w:spacing w:line="240" w:lineRule="auto"/>
                    <w:ind w:firstLine="422"/>
                    <w:jc w:val="center"/>
                    <w:rPr>
                      <w:sz w:val="21"/>
                      <w:szCs w:val="21"/>
                    </w:rPr>
                  </w:pPr>
                </w:p>
              </w:tc>
              <w:tc>
                <w:tcPr>
                  <w:tcW w:w="951" w:type="dxa"/>
                  <w:vAlign w:val="center"/>
                </w:tcPr>
                <w:p>
                  <w:pPr>
                    <w:pStyle w:val="43"/>
                    <w:spacing w:before="0" w:beforeAutospacing="0" w:after="0" w:afterAutospacing="0" w:line="360" w:lineRule="auto"/>
                    <w:jc w:val="center"/>
                    <w:rPr>
                      <w:sz w:val="21"/>
                      <w:szCs w:val="21"/>
                    </w:rPr>
                  </w:pPr>
                  <w:r>
                    <w:rPr>
                      <w:rFonts w:hint="eastAsia"/>
                      <w:sz w:val="21"/>
                      <w:szCs w:val="21"/>
                    </w:rPr>
                    <w:t>固废</w:t>
                  </w:r>
                </w:p>
              </w:tc>
              <w:tc>
                <w:tcPr>
                  <w:tcW w:w="4658" w:type="dxa"/>
                  <w:vAlign w:val="center"/>
                </w:tcPr>
                <w:p>
                  <w:pPr>
                    <w:pStyle w:val="288"/>
                    <w:jc w:val="left"/>
                    <w:rPr>
                      <w:bCs/>
                      <w:kern w:val="0"/>
                      <w:szCs w:val="21"/>
                    </w:rPr>
                  </w:pPr>
                  <w:r>
                    <w:rPr>
                      <w:szCs w:val="21"/>
                    </w:rPr>
                    <w:t>格栅产生的栅渣以及</w:t>
                  </w:r>
                  <w:r>
                    <w:rPr>
                      <w:rFonts w:hint="eastAsia"/>
                      <w:szCs w:val="21"/>
                      <w:lang w:val="en-US" w:eastAsia="zh-CN"/>
                    </w:rPr>
                    <w:t>浮渣</w:t>
                  </w:r>
                  <w:r>
                    <w:rPr>
                      <w:rFonts w:hint="eastAsia"/>
                      <w:szCs w:val="21"/>
                      <w:lang w:eastAsia="zh-CN"/>
                    </w:rPr>
                    <w:t>、</w:t>
                  </w:r>
                  <w:r>
                    <w:t>污泥</w:t>
                  </w:r>
                  <w:r>
                    <w:rPr>
                      <w:rFonts w:hint="eastAsia"/>
                      <w:lang w:val="en-US" w:eastAsia="zh-CN"/>
                    </w:rPr>
                    <w:t>外售生物肥厂作堆肥原料</w:t>
                  </w:r>
                  <w:r>
                    <w:rPr>
                      <w:rFonts w:hint="eastAsia"/>
                      <w:szCs w:val="21"/>
                    </w:rPr>
                    <w:t>。</w:t>
                  </w:r>
                </w:p>
              </w:tc>
            </w:tr>
          </w:tbl>
          <w:p>
            <w:pPr>
              <w:spacing w:line="360" w:lineRule="auto"/>
              <w:ind w:firstLine="480"/>
              <w:rPr>
                <w:sz w:val="24"/>
                <w:szCs w:val="24"/>
              </w:rPr>
            </w:pPr>
            <w:r>
              <w:rPr>
                <w:rFonts w:hint="eastAsia" w:ascii="宋体" w:hAnsi="宋体" w:cs="宋体"/>
                <w:sz w:val="24"/>
                <w:szCs w:val="24"/>
              </w:rPr>
              <w:t>②</w:t>
            </w:r>
            <w:r>
              <w:rPr>
                <w:sz w:val="24"/>
                <w:szCs w:val="24"/>
              </w:rPr>
              <w:t>排污信息</w:t>
            </w:r>
          </w:p>
          <w:p>
            <w:pPr>
              <w:spacing w:line="360" w:lineRule="auto"/>
              <w:ind w:firstLine="480"/>
              <w:rPr>
                <w:sz w:val="24"/>
                <w:szCs w:val="24"/>
              </w:rPr>
            </w:pPr>
            <w:r>
              <w:rPr>
                <w:sz w:val="24"/>
                <w:szCs w:val="24"/>
              </w:rPr>
              <w:t>包括常规污染物及特征污染物名称、排放方式、排污口数量和分布情况、排放浓度和总量、超标情况，以及执行的污染物排放标准、核定的总量控制指标；</w:t>
            </w:r>
          </w:p>
          <w:p>
            <w:pPr>
              <w:spacing w:line="360" w:lineRule="auto"/>
              <w:ind w:firstLine="480"/>
              <w:rPr>
                <w:sz w:val="24"/>
                <w:szCs w:val="24"/>
              </w:rPr>
            </w:pPr>
            <w:r>
              <w:rPr>
                <w:rFonts w:hint="eastAsia" w:ascii="宋体" w:hAnsi="宋体" w:cs="宋体"/>
                <w:sz w:val="24"/>
                <w:szCs w:val="24"/>
              </w:rPr>
              <w:t>③</w:t>
            </w:r>
            <w:r>
              <w:rPr>
                <w:sz w:val="24"/>
                <w:szCs w:val="24"/>
              </w:rPr>
              <w:t>防治污染设施的建设和运行情况；</w:t>
            </w:r>
          </w:p>
          <w:p>
            <w:pPr>
              <w:spacing w:line="360" w:lineRule="auto"/>
              <w:ind w:firstLine="480"/>
              <w:rPr>
                <w:sz w:val="24"/>
                <w:szCs w:val="24"/>
              </w:rPr>
            </w:pPr>
            <w:r>
              <w:rPr>
                <w:rFonts w:hint="eastAsia" w:ascii="宋体" w:hAnsi="宋体" w:cs="宋体"/>
                <w:sz w:val="24"/>
                <w:szCs w:val="24"/>
              </w:rPr>
              <w:t>④</w:t>
            </w:r>
            <w:r>
              <w:rPr>
                <w:sz w:val="24"/>
                <w:szCs w:val="24"/>
              </w:rPr>
              <w:t>建设项目环境影响评价及其他环境保护行政许可情况；</w:t>
            </w:r>
          </w:p>
          <w:p>
            <w:pPr>
              <w:spacing w:line="360" w:lineRule="auto"/>
              <w:ind w:firstLine="480"/>
              <w:rPr>
                <w:sz w:val="24"/>
                <w:szCs w:val="24"/>
              </w:rPr>
            </w:pPr>
            <w:r>
              <w:rPr>
                <w:rFonts w:hint="eastAsia" w:ascii="宋体" w:hAnsi="宋体" w:cs="宋体"/>
                <w:sz w:val="24"/>
                <w:szCs w:val="24"/>
              </w:rPr>
              <w:t>⑤</w:t>
            </w:r>
            <w:r>
              <w:rPr>
                <w:sz w:val="24"/>
                <w:szCs w:val="24"/>
              </w:rPr>
              <w:t>突发环境事件应急预案；</w:t>
            </w:r>
          </w:p>
          <w:p>
            <w:pPr>
              <w:spacing w:line="360" w:lineRule="auto"/>
              <w:ind w:firstLine="480"/>
              <w:rPr>
                <w:sz w:val="24"/>
                <w:szCs w:val="24"/>
              </w:rPr>
            </w:pPr>
            <w:r>
              <w:rPr>
                <w:rFonts w:hint="eastAsia" w:ascii="宋体" w:hAnsi="宋体" w:cs="宋体"/>
                <w:sz w:val="24"/>
                <w:szCs w:val="24"/>
              </w:rPr>
              <w:t>⑥</w:t>
            </w:r>
            <w:r>
              <w:rPr>
                <w:sz w:val="24"/>
                <w:szCs w:val="24"/>
              </w:rPr>
              <w:t>其他应当公开的环境信息。</w:t>
            </w:r>
          </w:p>
          <w:p>
            <w:pPr>
              <w:spacing w:line="360" w:lineRule="auto"/>
              <w:ind w:firstLine="480"/>
              <w:rPr>
                <w:sz w:val="24"/>
                <w:szCs w:val="24"/>
              </w:rPr>
            </w:pPr>
            <w:r>
              <w:rPr>
                <w:sz w:val="24"/>
                <w:szCs w:val="24"/>
              </w:rPr>
              <w:t>如若公司的环境信息发生变更或有新信息生成时，应在环境信息生成或者变更之日起三十日内予以公开。环境保护主管部门应当宣传和引导公众监督企业事业单位环境信息公开。</w:t>
            </w:r>
          </w:p>
        </w:tc>
      </w:tr>
    </w:tbl>
    <w:p>
      <w:pPr>
        <w:rPr>
          <w:b/>
          <w:sz w:val="36"/>
          <w:szCs w:val="36"/>
        </w:rPr>
      </w:pPr>
      <w:r>
        <w:rPr>
          <w:b/>
          <w:sz w:val="36"/>
          <w:szCs w:val="36"/>
        </w:rPr>
        <w:br w:type="page"/>
      </w:r>
      <w:r>
        <w:rPr>
          <w:b/>
          <w:sz w:val="36"/>
          <w:szCs w:val="36"/>
        </w:rPr>
        <w:t>建设项目拟采取的防治措施及预期治理效果</w:t>
      </w:r>
    </w:p>
    <w:tbl>
      <w:tblPr>
        <w:tblStyle w:val="47"/>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85"/>
        <w:gridCol w:w="1420"/>
        <w:gridCol w:w="1276"/>
        <w:gridCol w:w="1844"/>
        <w:gridCol w:w="2791"/>
        <w:gridCol w:w="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794" w:hRule="atLeast"/>
          <w:jc w:val="center"/>
        </w:trPr>
        <w:tc>
          <w:tcPr>
            <w:tcW w:w="985" w:type="dxa"/>
            <w:tcBorders>
              <w:tl2br w:val="single" w:color="auto" w:sz="4" w:space="0"/>
              <w:tr2bl w:val="nil"/>
            </w:tcBorders>
            <w:vAlign w:val="center"/>
          </w:tcPr>
          <w:p>
            <w:pPr>
              <w:spacing w:line="360" w:lineRule="exact"/>
              <w:jc w:val="right"/>
              <w:rPr>
                <w:b/>
                <w:color w:val="000000"/>
                <w:sz w:val="24"/>
                <w:szCs w:val="24"/>
              </w:rPr>
            </w:pPr>
            <w:r>
              <w:rPr>
                <w:b/>
                <w:color w:val="000000"/>
                <w:sz w:val="24"/>
                <w:szCs w:val="24"/>
              </w:rPr>
              <w:t>内容</w:t>
            </w:r>
          </w:p>
          <w:p>
            <w:pPr>
              <w:spacing w:line="360" w:lineRule="exact"/>
              <w:ind w:left="-21" w:leftChars="-10" w:right="482"/>
              <w:jc w:val="left"/>
              <w:rPr>
                <w:b/>
                <w:color w:val="000000"/>
                <w:sz w:val="24"/>
                <w:szCs w:val="24"/>
              </w:rPr>
            </w:pPr>
            <w:r>
              <w:rPr>
                <w:b/>
                <w:color w:val="000000"/>
                <w:sz w:val="24"/>
                <w:szCs w:val="24"/>
              </w:rPr>
              <w:t>类型</w:t>
            </w:r>
          </w:p>
        </w:tc>
        <w:tc>
          <w:tcPr>
            <w:tcW w:w="1420" w:type="dxa"/>
            <w:tcBorders>
              <w:tl2br w:val="nil"/>
              <w:tr2bl w:val="nil"/>
            </w:tcBorders>
            <w:vAlign w:val="center"/>
          </w:tcPr>
          <w:p>
            <w:pPr>
              <w:spacing w:line="360" w:lineRule="exact"/>
              <w:jc w:val="center"/>
              <w:rPr>
                <w:b/>
                <w:color w:val="000000"/>
                <w:sz w:val="28"/>
                <w:szCs w:val="28"/>
              </w:rPr>
            </w:pPr>
            <w:r>
              <w:rPr>
                <w:b/>
                <w:color w:val="000000"/>
                <w:sz w:val="28"/>
                <w:szCs w:val="28"/>
              </w:rPr>
              <w:t>排放源</w:t>
            </w:r>
          </w:p>
          <w:p>
            <w:pPr>
              <w:spacing w:line="360" w:lineRule="exact"/>
              <w:jc w:val="center"/>
              <w:rPr>
                <w:b/>
                <w:color w:val="000000"/>
                <w:sz w:val="28"/>
                <w:szCs w:val="28"/>
              </w:rPr>
            </w:pPr>
            <w:r>
              <w:rPr>
                <w:b/>
                <w:color w:val="000000"/>
                <w:sz w:val="28"/>
                <w:szCs w:val="28"/>
              </w:rPr>
              <w:t>（编号）</w:t>
            </w:r>
          </w:p>
        </w:tc>
        <w:tc>
          <w:tcPr>
            <w:tcW w:w="1276" w:type="dxa"/>
            <w:tcBorders>
              <w:tl2br w:val="nil"/>
              <w:tr2bl w:val="nil"/>
            </w:tcBorders>
            <w:vAlign w:val="center"/>
          </w:tcPr>
          <w:p>
            <w:pPr>
              <w:spacing w:line="360" w:lineRule="exact"/>
              <w:jc w:val="center"/>
              <w:rPr>
                <w:b/>
                <w:color w:val="000000"/>
                <w:sz w:val="28"/>
                <w:szCs w:val="28"/>
              </w:rPr>
            </w:pPr>
            <w:r>
              <w:rPr>
                <w:b/>
                <w:color w:val="000000"/>
                <w:sz w:val="28"/>
                <w:szCs w:val="28"/>
              </w:rPr>
              <w:t>污染物</w:t>
            </w:r>
          </w:p>
          <w:p>
            <w:pPr>
              <w:spacing w:line="360" w:lineRule="exact"/>
              <w:jc w:val="center"/>
              <w:rPr>
                <w:b/>
                <w:color w:val="000000"/>
                <w:sz w:val="28"/>
                <w:szCs w:val="28"/>
              </w:rPr>
            </w:pPr>
            <w:r>
              <w:rPr>
                <w:b/>
                <w:color w:val="000000"/>
                <w:sz w:val="28"/>
                <w:szCs w:val="28"/>
              </w:rPr>
              <w:t>名称</w:t>
            </w:r>
          </w:p>
        </w:tc>
        <w:tc>
          <w:tcPr>
            <w:tcW w:w="1844" w:type="dxa"/>
            <w:tcBorders>
              <w:tl2br w:val="nil"/>
              <w:tr2bl w:val="nil"/>
            </w:tcBorders>
            <w:vAlign w:val="center"/>
          </w:tcPr>
          <w:p>
            <w:pPr>
              <w:spacing w:line="360" w:lineRule="exact"/>
              <w:jc w:val="center"/>
              <w:rPr>
                <w:b/>
                <w:color w:val="000000"/>
                <w:sz w:val="28"/>
                <w:szCs w:val="28"/>
              </w:rPr>
            </w:pPr>
            <w:r>
              <w:rPr>
                <w:b/>
                <w:color w:val="000000"/>
                <w:sz w:val="28"/>
                <w:szCs w:val="28"/>
              </w:rPr>
              <w:t>防治措施</w:t>
            </w:r>
          </w:p>
        </w:tc>
        <w:tc>
          <w:tcPr>
            <w:tcW w:w="2791" w:type="dxa"/>
            <w:tcBorders>
              <w:tl2br w:val="nil"/>
              <w:tr2bl w:val="nil"/>
            </w:tcBorders>
            <w:vAlign w:val="center"/>
          </w:tcPr>
          <w:p>
            <w:pPr>
              <w:spacing w:line="360" w:lineRule="exact"/>
              <w:jc w:val="center"/>
              <w:rPr>
                <w:b/>
                <w:color w:val="000000"/>
                <w:sz w:val="28"/>
                <w:szCs w:val="28"/>
              </w:rPr>
            </w:pPr>
            <w:r>
              <w:rPr>
                <w:b/>
                <w:color w:val="000000"/>
                <w:sz w:val="28"/>
                <w:szCs w:val="28"/>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114" w:hRule="atLeast"/>
          <w:jc w:val="center"/>
        </w:trPr>
        <w:tc>
          <w:tcPr>
            <w:tcW w:w="985" w:type="dxa"/>
            <w:vMerge w:val="restart"/>
            <w:tcBorders>
              <w:tl2br w:val="nil"/>
              <w:tr2bl w:val="nil"/>
            </w:tcBorders>
            <w:vAlign w:val="center"/>
          </w:tcPr>
          <w:p>
            <w:pPr>
              <w:spacing w:line="360" w:lineRule="exact"/>
              <w:jc w:val="center"/>
              <w:rPr>
                <w:b/>
                <w:color w:val="000000"/>
                <w:sz w:val="28"/>
                <w:szCs w:val="28"/>
              </w:rPr>
            </w:pPr>
            <w:r>
              <w:rPr>
                <w:rFonts w:hint="eastAsia"/>
                <w:b/>
                <w:color w:val="000000"/>
                <w:sz w:val="28"/>
                <w:szCs w:val="28"/>
              </w:rPr>
              <w:t>大气</w:t>
            </w:r>
            <w:r>
              <w:rPr>
                <w:b/>
                <w:color w:val="000000"/>
                <w:sz w:val="28"/>
                <w:szCs w:val="28"/>
              </w:rPr>
              <w:t>污染物</w:t>
            </w:r>
          </w:p>
        </w:tc>
        <w:tc>
          <w:tcPr>
            <w:tcW w:w="1420" w:type="dxa"/>
            <w:vMerge w:val="restart"/>
            <w:tcBorders>
              <w:tl2br w:val="nil"/>
              <w:tr2bl w:val="nil"/>
            </w:tcBorders>
            <w:vAlign w:val="center"/>
          </w:tcPr>
          <w:p>
            <w:pPr>
              <w:jc w:val="center"/>
              <w:rPr>
                <w:bCs/>
                <w:kern w:val="0"/>
                <w:sz w:val="24"/>
                <w:szCs w:val="24"/>
              </w:rPr>
            </w:pPr>
            <w:r>
              <w:rPr>
                <w:rFonts w:hint="eastAsia"/>
                <w:bCs/>
                <w:sz w:val="24"/>
                <w:szCs w:val="24"/>
                <w:lang w:val="en-US" w:eastAsia="zh-CN"/>
              </w:rPr>
              <w:t>污水处理系统各单元</w:t>
            </w:r>
            <w:r>
              <w:rPr>
                <w:sz w:val="24"/>
                <w:szCs w:val="24"/>
              </w:rPr>
              <w:t>恶臭</w:t>
            </w:r>
          </w:p>
        </w:tc>
        <w:tc>
          <w:tcPr>
            <w:tcW w:w="1276" w:type="dxa"/>
            <w:tcBorders>
              <w:tl2br w:val="nil"/>
              <w:tr2bl w:val="nil"/>
            </w:tcBorders>
            <w:vAlign w:val="center"/>
          </w:tcPr>
          <w:p>
            <w:pPr>
              <w:jc w:val="center"/>
              <w:rPr>
                <w:bCs/>
                <w:sz w:val="24"/>
                <w:szCs w:val="24"/>
              </w:rPr>
            </w:pPr>
            <w:r>
              <w:rPr>
                <w:bCs/>
                <w:sz w:val="24"/>
                <w:szCs w:val="24"/>
              </w:rPr>
              <w:t>氨</w:t>
            </w:r>
          </w:p>
        </w:tc>
        <w:tc>
          <w:tcPr>
            <w:tcW w:w="1844" w:type="dxa"/>
            <w:vMerge w:val="restart"/>
            <w:tcBorders>
              <w:tl2br w:val="nil"/>
              <w:tr2bl w:val="nil"/>
            </w:tcBorders>
            <w:vAlign w:val="center"/>
          </w:tcPr>
          <w:p>
            <w:pPr>
              <w:jc w:val="center"/>
              <w:rPr>
                <w:sz w:val="24"/>
                <w:szCs w:val="24"/>
              </w:rPr>
            </w:pPr>
            <w:r>
              <w:rPr>
                <w:rFonts w:hint="eastAsia"/>
                <w:sz w:val="24"/>
                <w:szCs w:val="24"/>
              </w:rPr>
              <w:t>加盖</w:t>
            </w:r>
            <w:r>
              <w:rPr>
                <w:sz w:val="24"/>
                <w:szCs w:val="24"/>
              </w:rPr>
              <w:t>密闭</w:t>
            </w:r>
            <w:r>
              <w:rPr>
                <w:rFonts w:hint="eastAsia"/>
                <w:sz w:val="24"/>
                <w:szCs w:val="24"/>
              </w:rPr>
              <w:t>或</w:t>
            </w:r>
            <w:r>
              <w:rPr>
                <w:sz w:val="24"/>
                <w:szCs w:val="24"/>
              </w:rPr>
              <w:t>封闭</w:t>
            </w:r>
            <w:r>
              <w:rPr>
                <w:rFonts w:hint="eastAsia"/>
                <w:sz w:val="24"/>
                <w:szCs w:val="24"/>
              </w:rPr>
              <w:t>+臭气</w:t>
            </w:r>
            <w:r>
              <w:rPr>
                <w:sz w:val="24"/>
                <w:szCs w:val="24"/>
              </w:rPr>
              <w:t>处理系统</w:t>
            </w:r>
            <w:r>
              <w:rPr>
                <w:rFonts w:hint="eastAsia"/>
                <w:sz w:val="24"/>
                <w:szCs w:val="24"/>
              </w:rPr>
              <w:t>+</w:t>
            </w:r>
            <w:r>
              <w:rPr>
                <w:sz w:val="24"/>
                <w:szCs w:val="24"/>
              </w:rPr>
              <w:t>15m高排气筒</w:t>
            </w:r>
          </w:p>
        </w:tc>
        <w:tc>
          <w:tcPr>
            <w:tcW w:w="2791" w:type="dxa"/>
            <w:vMerge w:val="restart"/>
            <w:tcBorders>
              <w:tl2br w:val="nil"/>
              <w:tr2bl w:val="nil"/>
            </w:tcBorders>
            <w:vAlign w:val="center"/>
          </w:tcPr>
          <w:p>
            <w:pPr>
              <w:jc w:val="center"/>
              <w:rPr>
                <w:sz w:val="24"/>
                <w:szCs w:val="24"/>
              </w:rPr>
            </w:pPr>
            <w:r>
              <w:rPr>
                <w:sz w:val="24"/>
                <w:szCs w:val="24"/>
              </w:rPr>
              <w:t>《恶臭污染物排放标准》（GB14554-93）表2标准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112" w:hRule="atLeast"/>
          <w:jc w:val="center"/>
        </w:trPr>
        <w:tc>
          <w:tcPr>
            <w:tcW w:w="985" w:type="dxa"/>
            <w:vMerge w:val="continue"/>
            <w:tcBorders>
              <w:tl2br w:val="nil"/>
              <w:tr2bl w:val="nil"/>
            </w:tcBorders>
            <w:vAlign w:val="center"/>
          </w:tcPr>
          <w:p>
            <w:pPr>
              <w:spacing w:line="360" w:lineRule="exact"/>
              <w:jc w:val="center"/>
              <w:rPr>
                <w:b/>
                <w:color w:val="000000"/>
                <w:sz w:val="28"/>
                <w:szCs w:val="28"/>
              </w:rPr>
            </w:pPr>
          </w:p>
        </w:tc>
        <w:tc>
          <w:tcPr>
            <w:tcW w:w="1420" w:type="dxa"/>
            <w:vMerge w:val="continue"/>
            <w:tcBorders>
              <w:tl2br w:val="nil"/>
              <w:tr2bl w:val="nil"/>
            </w:tcBorders>
            <w:vAlign w:val="center"/>
          </w:tcPr>
          <w:p>
            <w:pPr>
              <w:jc w:val="center"/>
              <w:rPr>
                <w:bCs/>
                <w:kern w:val="0"/>
                <w:sz w:val="24"/>
                <w:szCs w:val="24"/>
              </w:rPr>
            </w:pPr>
          </w:p>
        </w:tc>
        <w:tc>
          <w:tcPr>
            <w:tcW w:w="1276" w:type="dxa"/>
            <w:tcBorders>
              <w:tl2br w:val="nil"/>
              <w:tr2bl w:val="nil"/>
            </w:tcBorders>
            <w:vAlign w:val="center"/>
          </w:tcPr>
          <w:p>
            <w:pPr>
              <w:jc w:val="center"/>
              <w:rPr>
                <w:bCs/>
                <w:sz w:val="24"/>
                <w:szCs w:val="24"/>
              </w:rPr>
            </w:pPr>
            <w:r>
              <w:rPr>
                <w:bCs/>
                <w:sz w:val="24"/>
                <w:szCs w:val="24"/>
              </w:rPr>
              <w:t>硫化氢</w:t>
            </w:r>
          </w:p>
        </w:tc>
        <w:tc>
          <w:tcPr>
            <w:tcW w:w="1844" w:type="dxa"/>
            <w:vMerge w:val="continue"/>
            <w:tcBorders>
              <w:tl2br w:val="nil"/>
              <w:tr2bl w:val="nil"/>
            </w:tcBorders>
            <w:vAlign w:val="center"/>
          </w:tcPr>
          <w:p>
            <w:pPr>
              <w:jc w:val="center"/>
              <w:rPr>
                <w:sz w:val="24"/>
                <w:szCs w:val="24"/>
              </w:rPr>
            </w:pPr>
          </w:p>
        </w:tc>
        <w:tc>
          <w:tcPr>
            <w:tcW w:w="2791" w:type="dxa"/>
            <w:vMerge w:val="continue"/>
            <w:tcBorders>
              <w:tl2br w:val="nil"/>
              <w:tr2bl w:val="nil"/>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312" w:hRule="atLeast"/>
          <w:jc w:val="center"/>
        </w:trPr>
        <w:tc>
          <w:tcPr>
            <w:tcW w:w="985" w:type="dxa"/>
            <w:vMerge w:val="continue"/>
            <w:tcBorders>
              <w:tl2br w:val="nil"/>
              <w:tr2bl w:val="nil"/>
            </w:tcBorders>
            <w:vAlign w:val="center"/>
          </w:tcPr>
          <w:p>
            <w:pPr>
              <w:spacing w:line="360" w:lineRule="exact"/>
              <w:jc w:val="center"/>
              <w:rPr>
                <w:b/>
                <w:color w:val="000000"/>
                <w:sz w:val="28"/>
                <w:szCs w:val="28"/>
              </w:rPr>
            </w:pPr>
          </w:p>
        </w:tc>
        <w:tc>
          <w:tcPr>
            <w:tcW w:w="1420" w:type="dxa"/>
            <w:vMerge w:val="continue"/>
            <w:tcBorders>
              <w:tl2br w:val="nil"/>
              <w:tr2bl w:val="nil"/>
            </w:tcBorders>
            <w:vAlign w:val="center"/>
          </w:tcPr>
          <w:p>
            <w:pPr>
              <w:jc w:val="center"/>
              <w:rPr>
                <w:bCs/>
                <w:kern w:val="0"/>
                <w:sz w:val="24"/>
                <w:szCs w:val="24"/>
              </w:rPr>
            </w:pPr>
          </w:p>
        </w:tc>
        <w:tc>
          <w:tcPr>
            <w:tcW w:w="1276" w:type="dxa"/>
            <w:tcBorders>
              <w:tl2br w:val="nil"/>
              <w:tr2bl w:val="nil"/>
            </w:tcBorders>
            <w:vAlign w:val="center"/>
          </w:tcPr>
          <w:p>
            <w:pPr>
              <w:jc w:val="center"/>
              <w:rPr>
                <w:bCs/>
                <w:sz w:val="24"/>
                <w:szCs w:val="24"/>
              </w:rPr>
            </w:pPr>
            <w:r>
              <w:rPr>
                <w:bCs/>
                <w:sz w:val="24"/>
                <w:szCs w:val="24"/>
              </w:rPr>
              <w:t>臭气浓度</w:t>
            </w:r>
          </w:p>
        </w:tc>
        <w:tc>
          <w:tcPr>
            <w:tcW w:w="1844" w:type="dxa"/>
            <w:vMerge w:val="continue"/>
            <w:tcBorders>
              <w:tl2br w:val="nil"/>
              <w:tr2bl w:val="nil"/>
            </w:tcBorders>
            <w:vAlign w:val="center"/>
          </w:tcPr>
          <w:p>
            <w:pPr>
              <w:jc w:val="center"/>
              <w:rPr>
                <w:sz w:val="24"/>
                <w:szCs w:val="24"/>
              </w:rPr>
            </w:pPr>
          </w:p>
        </w:tc>
        <w:tc>
          <w:tcPr>
            <w:tcW w:w="2791" w:type="dxa"/>
            <w:vMerge w:val="continue"/>
            <w:tcBorders>
              <w:tl2br w:val="nil"/>
              <w:tr2bl w:val="nil"/>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407" w:hRule="atLeast"/>
          <w:jc w:val="center"/>
        </w:trPr>
        <w:tc>
          <w:tcPr>
            <w:tcW w:w="985" w:type="dxa"/>
            <w:vMerge w:val="continue"/>
            <w:tcBorders>
              <w:tl2br w:val="nil"/>
              <w:tr2bl w:val="nil"/>
            </w:tcBorders>
            <w:vAlign w:val="center"/>
          </w:tcPr>
          <w:p>
            <w:pPr>
              <w:spacing w:line="360" w:lineRule="exact"/>
              <w:jc w:val="center"/>
              <w:rPr>
                <w:b/>
                <w:color w:val="000000"/>
                <w:sz w:val="28"/>
                <w:szCs w:val="28"/>
              </w:rPr>
            </w:pPr>
          </w:p>
        </w:tc>
        <w:tc>
          <w:tcPr>
            <w:tcW w:w="1420" w:type="dxa"/>
            <w:vMerge w:val="restart"/>
            <w:tcBorders>
              <w:tl2br w:val="nil"/>
              <w:tr2bl w:val="nil"/>
            </w:tcBorders>
            <w:vAlign w:val="center"/>
          </w:tcPr>
          <w:p>
            <w:pPr>
              <w:jc w:val="center"/>
              <w:rPr>
                <w:bCs/>
                <w:sz w:val="24"/>
                <w:szCs w:val="24"/>
              </w:rPr>
            </w:pPr>
            <w:r>
              <w:rPr>
                <w:rFonts w:hint="eastAsia"/>
                <w:bCs/>
                <w:kern w:val="0"/>
                <w:sz w:val="24"/>
                <w:szCs w:val="24"/>
              </w:rPr>
              <w:t>厂界</w:t>
            </w:r>
            <w:r>
              <w:rPr>
                <w:bCs/>
                <w:kern w:val="0"/>
                <w:sz w:val="24"/>
                <w:szCs w:val="24"/>
              </w:rPr>
              <w:t>无组织废气</w:t>
            </w:r>
          </w:p>
        </w:tc>
        <w:tc>
          <w:tcPr>
            <w:tcW w:w="1276" w:type="dxa"/>
            <w:tcBorders>
              <w:tl2br w:val="nil"/>
              <w:tr2bl w:val="nil"/>
            </w:tcBorders>
            <w:vAlign w:val="center"/>
          </w:tcPr>
          <w:p>
            <w:pPr>
              <w:jc w:val="center"/>
              <w:rPr>
                <w:bCs/>
                <w:sz w:val="24"/>
                <w:szCs w:val="24"/>
              </w:rPr>
            </w:pPr>
            <w:r>
              <w:rPr>
                <w:bCs/>
                <w:sz w:val="24"/>
                <w:szCs w:val="24"/>
              </w:rPr>
              <w:t>氨</w:t>
            </w:r>
          </w:p>
        </w:tc>
        <w:tc>
          <w:tcPr>
            <w:tcW w:w="1844" w:type="dxa"/>
            <w:vMerge w:val="restart"/>
            <w:tcBorders>
              <w:tl2br w:val="nil"/>
              <w:tr2bl w:val="nil"/>
            </w:tcBorders>
            <w:vAlign w:val="center"/>
          </w:tcPr>
          <w:p>
            <w:pPr>
              <w:jc w:val="center"/>
              <w:rPr>
                <w:bCs/>
                <w:sz w:val="24"/>
                <w:szCs w:val="24"/>
              </w:rPr>
            </w:pPr>
            <w:r>
              <w:rPr>
                <w:rFonts w:hint="eastAsia"/>
                <w:sz w:val="24"/>
                <w:szCs w:val="24"/>
              </w:rPr>
              <w:t>对</w:t>
            </w:r>
            <w:r>
              <w:rPr>
                <w:sz w:val="24"/>
                <w:szCs w:val="24"/>
              </w:rPr>
              <w:t>厂区绿化、</w:t>
            </w:r>
            <w:r>
              <w:rPr>
                <w:rFonts w:hint="eastAsia"/>
                <w:sz w:val="24"/>
                <w:szCs w:val="24"/>
              </w:rPr>
              <w:t>厂界</w:t>
            </w:r>
            <w:r>
              <w:rPr>
                <w:sz w:val="24"/>
                <w:szCs w:val="24"/>
              </w:rPr>
              <w:t>外设置绿化带减少无组织臭气浓度</w:t>
            </w:r>
          </w:p>
        </w:tc>
        <w:tc>
          <w:tcPr>
            <w:tcW w:w="2791" w:type="dxa"/>
            <w:vMerge w:val="restart"/>
            <w:tcBorders>
              <w:tl2br w:val="nil"/>
              <w:tr2bl w:val="nil"/>
            </w:tcBorders>
            <w:vAlign w:val="center"/>
          </w:tcPr>
          <w:p>
            <w:pPr>
              <w:jc w:val="center"/>
              <w:rPr>
                <w:bCs/>
                <w:sz w:val="24"/>
                <w:szCs w:val="24"/>
              </w:rPr>
            </w:pPr>
            <w:r>
              <w:rPr>
                <w:sz w:val="24"/>
                <w:szCs w:val="24"/>
              </w:rPr>
              <w:t>《城镇污水处理厂污染物排放标准》（GB18918-2002）表4厂界（防护带边缘）废气排放最高允许浓度二级</w:t>
            </w:r>
            <w:r>
              <w:rPr>
                <w:rFonts w:hint="eastAsia"/>
                <w:sz w:val="24"/>
                <w:szCs w:val="24"/>
              </w:rPr>
              <w:t>标准限值</w:t>
            </w:r>
            <w:r>
              <w:rPr>
                <w:kern w:val="0"/>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407" w:hRule="atLeast"/>
          <w:jc w:val="center"/>
        </w:trPr>
        <w:tc>
          <w:tcPr>
            <w:tcW w:w="985" w:type="dxa"/>
            <w:vMerge w:val="continue"/>
            <w:tcBorders>
              <w:tl2br w:val="nil"/>
              <w:tr2bl w:val="nil"/>
            </w:tcBorders>
            <w:vAlign w:val="center"/>
          </w:tcPr>
          <w:p>
            <w:pPr>
              <w:spacing w:line="360" w:lineRule="exact"/>
              <w:jc w:val="center"/>
              <w:rPr>
                <w:b/>
                <w:color w:val="000000"/>
                <w:sz w:val="28"/>
                <w:szCs w:val="28"/>
              </w:rPr>
            </w:pPr>
          </w:p>
        </w:tc>
        <w:tc>
          <w:tcPr>
            <w:tcW w:w="1420" w:type="dxa"/>
            <w:vMerge w:val="continue"/>
            <w:tcBorders>
              <w:tl2br w:val="nil"/>
              <w:tr2bl w:val="nil"/>
            </w:tcBorders>
            <w:vAlign w:val="center"/>
          </w:tcPr>
          <w:p>
            <w:pPr>
              <w:jc w:val="center"/>
              <w:rPr>
                <w:bCs/>
                <w:sz w:val="24"/>
                <w:szCs w:val="24"/>
              </w:rPr>
            </w:pPr>
          </w:p>
        </w:tc>
        <w:tc>
          <w:tcPr>
            <w:tcW w:w="1276" w:type="dxa"/>
            <w:tcBorders>
              <w:tl2br w:val="nil"/>
              <w:tr2bl w:val="nil"/>
            </w:tcBorders>
            <w:vAlign w:val="center"/>
          </w:tcPr>
          <w:p>
            <w:pPr>
              <w:jc w:val="center"/>
              <w:rPr>
                <w:bCs/>
                <w:sz w:val="24"/>
                <w:szCs w:val="24"/>
              </w:rPr>
            </w:pPr>
            <w:r>
              <w:rPr>
                <w:bCs/>
                <w:sz w:val="24"/>
                <w:szCs w:val="24"/>
              </w:rPr>
              <w:t>硫化氢</w:t>
            </w:r>
          </w:p>
        </w:tc>
        <w:tc>
          <w:tcPr>
            <w:tcW w:w="1844" w:type="dxa"/>
            <w:vMerge w:val="continue"/>
            <w:tcBorders>
              <w:tl2br w:val="nil"/>
              <w:tr2bl w:val="nil"/>
            </w:tcBorders>
            <w:vAlign w:val="center"/>
          </w:tcPr>
          <w:p>
            <w:pPr>
              <w:jc w:val="center"/>
              <w:rPr>
                <w:bCs/>
                <w:sz w:val="24"/>
                <w:szCs w:val="24"/>
              </w:rPr>
            </w:pPr>
          </w:p>
        </w:tc>
        <w:tc>
          <w:tcPr>
            <w:tcW w:w="2791" w:type="dxa"/>
            <w:vMerge w:val="continue"/>
            <w:tcBorders>
              <w:tl2br w:val="nil"/>
              <w:tr2bl w:val="nil"/>
            </w:tcBorders>
            <w:vAlign w:val="center"/>
          </w:tcPr>
          <w:p>
            <w:pPr>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1048" w:hRule="atLeast"/>
          <w:jc w:val="center"/>
        </w:trPr>
        <w:tc>
          <w:tcPr>
            <w:tcW w:w="985" w:type="dxa"/>
            <w:vMerge w:val="continue"/>
            <w:tcBorders>
              <w:tl2br w:val="nil"/>
              <w:tr2bl w:val="nil"/>
            </w:tcBorders>
            <w:vAlign w:val="center"/>
          </w:tcPr>
          <w:p>
            <w:pPr>
              <w:spacing w:line="360" w:lineRule="exact"/>
              <w:jc w:val="center"/>
              <w:rPr>
                <w:b/>
                <w:color w:val="000000"/>
                <w:sz w:val="28"/>
                <w:szCs w:val="28"/>
              </w:rPr>
            </w:pPr>
          </w:p>
        </w:tc>
        <w:tc>
          <w:tcPr>
            <w:tcW w:w="1420" w:type="dxa"/>
            <w:vMerge w:val="continue"/>
            <w:tcBorders>
              <w:tl2br w:val="nil"/>
              <w:tr2bl w:val="nil"/>
            </w:tcBorders>
            <w:vAlign w:val="center"/>
          </w:tcPr>
          <w:p>
            <w:pPr>
              <w:jc w:val="center"/>
              <w:rPr>
                <w:bCs/>
                <w:sz w:val="24"/>
                <w:szCs w:val="24"/>
              </w:rPr>
            </w:pPr>
          </w:p>
        </w:tc>
        <w:tc>
          <w:tcPr>
            <w:tcW w:w="1276" w:type="dxa"/>
            <w:tcBorders>
              <w:tl2br w:val="nil"/>
              <w:tr2bl w:val="nil"/>
            </w:tcBorders>
            <w:vAlign w:val="center"/>
          </w:tcPr>
          <w:p>
            <w:pPr>
              <w:jc w:val="center"/>
              <w:rPr>
                <w:bCs/>
                <w:sz w:val="24"/>
                <w:szCs w:val="24"/>
              </w:rPr>
            </w:pPr>
            <w:r>
              <w:rPr>
                <w:bCs/>
                <w:sz w:val="24"/>
                <w:szCs w:val="24"/>
              </w:rPr>
              <w:t>臭气浓度</w:t>
            </w:r>
          </w:p>
        </w:tc>
        <w:tc>
          <w:tcPr>
            <w:tcW w:w="1844" w:type="dxa"/>
            <w:vMerge w:val="continue"/>
            <w:tcBorders>
              <w:tl2br w:val="nil"/>
              <w:tr2bl w:val="nil"/>
            </w:tcBorders>
            <w:vAlign w:val="center"/>
          </w:tcPr>
          <w:p>
            <w:pPr>
              <w:jc w:val="center"/>
              <w:rPr>
                <w:bCs/>
                <w:sz w:val="24"/>
                <w:szCs w:val="24"/>
              </w:rPr>
            </w:pPr>
          </w:p>
        </w:tc>
        <w:tc>
          <w:tcPr>
            <w:tcW w:w="2791" w:type="dxa"/>
            <w:vMerge w:val="continue"/>
            <w:tcBorders>
              <w:tl2br w:val="nil"/>
              <w:tr2bl w:val="nil"/>
            </w:tcBorders>
            <w:vAlign w:val="center"/>
          </w:tcPr>
          <w:p>
            <w:pPr>
              <w:jc w:val="center"/>
              <w:rPr>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1486" w:hRule="atLeast"/>
          <w:jc w:val="center"/>
        </w:trPr>
        <w:tc>
          <w:tcPr>
            <w:tcW w:w="985" w:type="dxa"/>
            <w:tcBorders>
              <w:tl2br w:val="nil"/>
              <w:tr2bl w:val="nil"/>
            </w:tcBorders>
            <w:vAlign w:val="center"/>
          </w:tcPr>
          <w:p>
            <w:pPr>
              <w:spacing w:line="360" w:lineRule="exact"/>
              <w:jc w:val="center"/>
              <w:rPr>
                <w:b/>
                <w:color w:val="000000"/>
                <w:sz w:val="28"/>
                <w:szCs w:val="28"/>
              </w:rPr>
            </w:pPr>
            <w:r>
              <w:rPr>
                <w:b/>
                <w:color w:val="000000"/>
                <w:sz w:val="28"/>
                <w:szCs w:val="28"/>
              </w:rPr>
              <w:t>水污</w:t>
            </w:r>
          </w:p>
          <w:p>
            <w:pPr>
              <w:spacing w:line="360" w:lineRule="exact"/>
              <w:jc w:val="center"/>
              <w:rPr>
                <w:b/>
                <w:color w:val="000000"/>
                <w:sz w:val="28"/>
                <w:szCs w:val="28"/>
              </w:rPr>
            </w:pPr>
            <w:r>
              <w:rPr>
                <w:b/>
                <w:color w:val="000000"/>
                <w:sz w:val="28"/>
                <w:szCs w:val="28"/>
              </w:rPr>
              <w:t>染物</w:t>
            </w:r>
          </w:p>
        </w:tc>
        <w:tc>
          <w:tcPr>
            <w:tcW w:w="1420" w:type="dxa"/>
            <w:tcBorders>
              <w:tl2br w:val="nil"/>
              <w:tr2bl w:val="nil"/>
            </w:tcBorders>
            <w:vAlign w:val="center"/>
          </w:tcPr>
          <w:p>
            <w:pPr>
              <w:pStyle w:val="93"/>
              <w:rPr>
                <w:sz w:val="24"/>
                <w:szCs w:val="24"/>
              </w:rPr>
            </w:pPr>
            <w:r>
              <w:rPr>
                <w:sz w:val="24"/>
                <w:szCs w:val="24"/>
              </w:rPr>
              <w:t>企业综合</w:t>
            </w:r>
          </w:p>
          <w:p>
            <w:pPr>
              <w:pStyle w:val="93"/>
              <w:rPr>
                <w:bCs/>
                <w:color w:val="000000"/>
                <w:sz w:val="24"/>
                <w:szCs w:val="24"/>
              </w:rPr>
            </w:pPr>
            <w:r>
              <w:rPr>
                <w:sz w:val="24"/>
                <w:szCs w:val="24"/>
              </w:rPr>
              <w:t>废水</w:t>
            </w:r>
          </w:p>
        </w:tc>
        <w:tc>
          <w:tcPr>
            <w:tcW w:w="1276" w:type="dxa"/>
            <w:tcBorders>
              <w:tl2br w:val="nil"/>
              <w:tr2bl w:val="nil"/>
            </w:tcBorders>
            <w:vAlign w:val="center"/>
          </w:tcPr>
          <w:p>
            <w:pPr>
              <w:pStyle w:val="93"/>
              <w:rPr>
                <w:sz w:val="24"/>
                <w:szCs w:val="24"/>
              </w:rPr>
            </w:pPr>
            <w:r>
              <w:rPr>
                <w:sz w:val="24"/>
                <w:szCs w:val="24"/>
              </w:rPr>
              <w:t>pH</w:t>
            </w:r>
          </w:p>
          <w:p>
            <w:pPr>
              <w:pStyle w:val="93"/>
              <w:rPr>
                <w:sz w:val="24"/>
                <w:szCs w:val="24"/>
              </w:rPr>
            </w:pPr>
            <w:r>
              <w:rPr>
                <w:sz w:val="24"/>
                <w:szCs w:val="24"/>
              </w:rPr>
              <w:t>BOD</w:t>
            </w:r>
            <w:r>
              <w:rPr>
                <w:sz w:val="24"/>
                <w:szCs w:val="24"/>
                <w:vertAlign w:val="subscript"/>
              </w:rPr>
              <w:t>5</w:t>
            </w:r>
          </w:p>
          <w:p>
            <w:pPr>
              <w:pStyle w:val="93"/>
              <w:rPr>
                <w:sz w:val="24"/>
                <w:szCs w:val="24"/>
              </w:rPr>
            </w:pPr>
            <w:r>
              <w:rPr>
                <w:sz w:val="24"/>
                <w:szCs w:val="24"/>
              </w:rPr>
              <w:t>COD</w:t>
            </w:r>
          </w:p>
          <w:p>
            <w:pPr>
              <w:pStyle w:val="93"/>
              <w:rPr>
                <w:sz w:val="24"/>
                <w:szCs w:val="24"/>
              </w:rPr>
            </w:pPr>
            <w:r>
              <w:rPr>
                <w:sz w:val="24"/>
                <w:szCs w:val="24"/>
              </w:rPr>
              <w:t>SS</w:t>
            </w:r>
          </w:p>
          <w:p>
            <w:pPr>
              <w:pStyle w:val="93"/>
              <w:rPr>
                <w:sz w:val="24"/>
                <w:szCs w:val="24"/>
              </w:rPr>
            </w:pPr>
            <w:r>
              <w:rPr>
                <w:sz w:val="24"/>
                <w:szCs w:val="24"/>
              </w:rPr>
              <w:t>NH</w:t>
            </w:r>
            <w:r>
              <w:rPr>
                <w:sz w:val="24"/>
                <w:szCs w:val="24"/>
                <w:vertAlign w:val="subscript"/>
              </w:rPr>
              <w:t>3</w:t>
            </w:r>
            <w:r>
              <w:rPr>
                <w:sz w:val="24"/>
                <w:szCs w:val="24"/>
              </w:rPr>
              <w:t>-N</w:t>
            </w:r>
          </w:p>
          <w:p>
            <w:pPr>
              <w:pStyle w:val="93"/>
              <w:rPr>
                <w:sz w:val="24"/>
                <w:szCs w:val="24"/>
              </w:rPr>
            </w:pPr>
            <w:r>
              <w:rPr>
                <w:sz w:val="24"/>
                <w:szCs w:val="24"/>
              </w:rPr>
              <w:t>TN</w:t>
            </w:r>
          </w:p>
          <w:p>
            <w:pPr>
              <w:pStyle w:val="93"/>
              <w:rPr>
                <w:sz w:val="24"/>
                <w:szCs w:val="24"/>
              </w:rPr>
            </w:pPr>
            <w:r>
              <w:rPr>
                <w:sz w:val="24"/>
                <w:szCs w:val="24"/>
              </w:rPr>
              <w:t>TP</w:t>
            </w:r>
          </w:p>
          <w:p>
            <w:pPr>
              <w:pStyle w:val="93"/>
              <w:rPr>
                <w:sz w:val="24"/>
                <w:szCs w:val="24"/>
              </w:rPr>
            </w:pPr>
          </w:p>
        </w:tc>
        <w:tc>
          <w:tcPr>
            <w:tcW w:w="1844" w:type="dxa"/>
            <w:tcBorders>
              <w:tl2br w:val="nil"/>
              <w:tr2bl w:val="nil"/>
            </w:tcBorders>
            <w:vAlign w:val="center"/>
          </w:tcPr>
          <w:p>
            <w:pPr>
              <w:pStyle w:val="93"/>
              <w:rPr>
                <w:sz w:val="24"/>
                <w:szCs w:val="24"/>
              </w:rPr>
            </w:pPr>
            <w:r>
              <w:rPr>
                <w:rFonts w:hint="eastAsia"/>
                <w:sz w:val="24"/>
                <w:szCs w:val="24"/>
              </w:rPr>
              <w:t>采用</w:t>
            </w:r>
            <w:r>
              <w:rPr>
                <w:sz w:val="24"/>
                <w:szCs w:val="24"/>
              </w:rPr>
              <w:t>“</w:t>
            </w:r>
            <w:r>
              <w:rPr>
                <w:rFonts w:hint="eastAsia"/>
                <w:sz w:val="24"/>
                <w:szCs w:val="24"/>
                <w:lang w:eastAsia="zh-CN"/>
              </w:rPr>
              <w:t>预处理+好氧+除磷+粉末C吸附</w:t>
            </w:r>
            <w:r>
              <w:rPr>
                <w:sz w:val="24"/>
                <w:szCs w:val="24"/>
              </w:rPr>
              <w:t>”</w:t>
            </w:r>
            <w:r>
              <w:rPr>
                <w:rFonts w:hint="eastAsia"/>
                <w:sz w:val="24"/>
                <w:szCs w:val="24"/>
              </w:rPr>
              <w:t>处理</w:t>
            </w:r>
            <w:r>
              <w:rPr>
                <w:sz w:val="24"/>
                <w:szCs w:val="24"/>
              </w:rPr>
              <w:t>工艺</w:t>
            </w:r>
          </w:p>
        </w:tc>
        <w:tc>
          <w:tcPr>
            <w:tcW w:w="2791" w:type="dxa"/>
            <w:tcBorders>
              <w:tl2br w:val="nil"/>
              <w:tr2bl w:val="nil"/>
            </w:tcBorders>
            <w:vAlign w:val="center"/>
          </w:tcPr>
          <w:p>
            <w:pPr>
              <w:pStyle w:val="43"/>
              <w:spacing w:before="0" w:beforeAutospacing="0" w:after="0" w:afterAutospacing="0" w:line="360" w:lineRule="exact"/>
              <w:jc w:val="center"/>
              <w:rPr>
                <w:rFonts w:ascii="Times New Roman" w:hAnsi="Times New Roman"/>
                <w:bCs/>
                <w:color w:val="000000"/>
              </w:rPr>
            </w:pPr>
            <w:r>
              <w:rPr>
                <w:rFonts w:ascii="Times New Roman" w:hAnsi="Times New Roman"/>
                <w:highlight w:val="none"/>
              </w:rPr>
              <w:t>满足</w:t>
            </w:r>
            <w:r>
              <w:rPr>
                <w:rFonts w:hint="default" w:ascii="Times New Roman" w:hAnsi="Times New Roman" w:eastAsia="宋体" w:cs="Times New Roman"/>
                <w:color w:val="auto"/>
                <w:sz w:val="24"/>
                <w:szCs w:val="24"/>
                <w:highlight w:val="none"/>
                <w:lang w:val="en-US" w:eastAsia="zh-CN"/>
              </w:rPr>
              <w:t>《黑</w:t>
            </w:r>
            <w:r>
              <w:rPr>
                <w:rFonts w:hint="default" w:ascii="Times New Roman" w:hAnsi="Times New Roman" w:eastAsia="宋体" w:cs="Times New Roman"/>
                <w:color w:val="auto"/>
                <w:sz w:val="24"/>
                <w:szCs w:val="24"/>
                <w:lang w:val="en-US" w:eastAsia="zh-CN"/>
              </w:rPr>
              <w:t>龙港及运东流域水污染物排放标准》（DB13/2797 -2018）表1重点控制区排放限值</w:t>
            </w:r>
            <w:r>
              <w:rPr>
                <w:rFonts w:ascii="Times New Roman" w:hAnsi="Times New Roman"/>
                <w:szCs w:val="21"/>
              </w:rPr>
              <w:t>，同时满足</w:t>
            </w:r>
            <w:r>
              <w:rPr>
                <w:rFonts w:ascii="Times New Roman" w:hAnsi="Times New Roman"/>
              </w:rPr>
              <w:t>《地表水环境质量标准》（GB3838-2002）表1中</w:t>
            </w:r>
            <w:r>
              <w:rPr>
                <w:rFonts w:hint="eastAsia" w:cs="宋体"/>
              </w:rPr>
              <w:t>Ⅳ</w:t>
            </w:r>
            <w:r>
              <w:rPr>
                <w:rFonts w:ascii="Times New Roman" w:hAnsi="Times New Roman"/>
              </w:rPr>
              <w:t>类标准</w:t>
            </w:r>
            <w:r>
              <w:rPr>
                <w:rFonts w:hint="eastAsia" w:ascii="Times New Roman" w:hAnsi="Times New Roman"/>
                <w:szCs w:val="21"/>
              </w:rPr>
              <w:t>（除</w:t>
            </w:r>
            <w:r>
              <w:rPr>
                <w:rFonts w:ascii="Times New Roman" w:hAnsi="Times New Roman"/>
                <w:szCs w:val="21"/>
              </w:rPr>
              <w:t>总氮外</w:t>
            </w: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90" w:hRule="atLeast"/>
          <w:jc w:val="center"/>
        </w:trPr>
        <w:tc>
          <w:tcPr>
            <w:tcW w:w="985" w:type="dxa"/>
            <w:vMerge w:val="restart"/>
            <w:tcBorders>
              <w:bottom w:val="single" w:color="auto" w:sz="4" w:space="0"/>
              <w:tl2br w:val="nil"/>
              <w:tr2bl w:val="nil"/>
            </w:tcBorders>
            <w:vAlign w:val="center"/>
          </w:tcPr>
          <w:p>
            <w:pPr>
              <w:spacing w:line="360" w:lineRule="exact"/>
              <w:jc w:val="center"/>
              <w:rPr>
                <w:b/>
                <w:color w:val="000000"/>
                <w:sz w:val="28"/>
                <w:szCs w:val="28"/>
              </w:rPr>
            </w:pPr>
            <w:r>
              <w:rPr>
                <w:b/>
                <w:color w:val="000000"/>
                <w:sz w:val="28"/>
                <w:szCs w:val="28"/>
              </w:rPr>
              <w:t>固体</w:t>
            </w:r>
          </w:p>
          <w:p>
            <w:pPr>
              <w:spacing w:line="360" w:lineRule="exact"/>
              <w:jc w:val="center"/>
              <w:rPr>
                <w:b/>
                <w:color w:val="000000"/>
                <w:sz w:val="28"/>
                <w:szCs w:val="28"/>
              </w:rPr>
            </w:pPr>
            <w:r>
              <w:rPr>
                <w:b/>
                <w:color w:val="000000"/>
                <w:sz w:val="28"/>
                <w:szCs w:val="28"/>
              </w:rPr>
              <w:t>废物</w:t>
            </w:r>
          </w:p>
        </w:tc>
        <w:tc>
          <w:tcPr>
            <w:tcW w:w="1420" w:type="dxa"/>
            <w:tcBorders>
              <w:bottom w:val="single" w:color="auto" w:sz="4" w:space="0"/>
              <w:tl2br w:val="nil"/>
              <w:tr2bl w:val="nil"/>
            </w:tcBorders>
            <w:vAlign w:val="center"/>
          </w:tcPr>
          <w:p>
            <w:pPr>
              <w:jc w:val="center"/>
              <w:rPr>
                <w:bCs/>
                <w:sz w:val="24"/>
                <w:szCs w:val="24"/>
              </w:rPr>
            </w:pPr>
            <w:r>
              <w:rPr>
                <w:rFonts w:hint="eastAsia"/>
                <w:bCs/>
                <w:sz w:val="24"/>
                <w:szCs w:val="24"/>
              </w:rPr>
              <w:t>格栅</w:t>
            </w:r>
            <w:r>
              <w:rPr>
                <w:bCs/>
                <w:sz w:val="24"/>
                <w:szCs w:val="24"/>
              </w:rPr>
              <w:t>池</w:t>
            </w:r>
          </w:p>
        </w:tc>
        <w:tc>
          <w:tcPr>
            <w:tcW w:w="1276" w:type="dxa"/>
            <w:tcBorders>
              <w:bottom w:val="single" w:color="auto" w:sz="4" w:space="0"/>
              <w:tl2br w:val="nil"/>
              <w:tr2bl w:val="nil"/>
            </w:tcBorders>
            <w:vAlign w:val="center"/>
          </w:tcPr>
          <w:p>
            <w:pPr>
              <w:jc w:val="center"/>
              <w:rPr>
                <w:bCs/>
                <w:sz w:val="24"/>
                <w:szCs w:val="24"/>
              </w:rPr>
            </w:pPr>
            <w:r>
              <w:rPr>
                <w:rFonts w:hint="eastAsia"/>
                <w:bCs/>
                <w:sz w:val="24"/>
                <w:szCs w:val="24"/>
              </w:rPr>
              <w:t>栅渣</w:t>
            </w:r>
          </w:p>
        </w:tc>
        <w:tc>
          <w:tcPr>
            <w:tcW w:w="1844" w:type="dxa"/>
            <w:vMerge w:val="restart"/>
            <w:tcBorders>
              <w:tl2br w:val="nil"/>
              <w:tr2bl w:val="nil"/>
            </w:tcBorders>
            <w:vAlign w:val="center"/>
          </w:tcPr>
          <w:p>
            <w:pPr>
              <w:jc w:val="center"/>
              <w:rPr>
                <w:bCs/>
                <w:sz w:val="24"/>
                <w:szCs w:val="24"/>
              </w:rPr>
            </w:pPr>
            <w:r>
              <w:rPr>
                <w:rFonts w:hint="eastAsia"/>
                <w:bCs/>
                <w:sz w:val="24"/>
                <w:szCs w:val="24"/>
                <w:lang w:val="en-US" w:eastAsia="zh-CN"/>
              </w:rPr>
              <w:t>外售生物肥厂作堆肥原料</w:t>
            </w:r>
          </w:p>
        </w:tc>
        <w:tc>
          <w:tcPr>
            <w:tcW w:w="2791" w:type="dxa"/>
            <w:vMerge w:val="restart"/>
            <w:tcBorders>
              <w:bottom w:val="single" w:color="auto" w:sz="4" w:space="0"/>
              <w:tl2br w:val="nil"/>
              <w:tr2bl w:val="nil"/>
            </w:tcBorders>
            <w:vAlign w:val="center"/>
          </w:tcPr>
          <w:p>
            <w:pPr>
              <w:pStyle w:val="43"/>
              <w:spacing w:before="0" w:beforeAutospacing="0" w:after="0" w:afterAutospacing="0" w:line="360" w:lineRule="exact"/>
              <w:jc w:val="center"/>
              <w:rPr>
                <w:rFonts w:ascii="Times New Roman" w:hAnsi="Times New Roman"/>
                <w:bCs/>
              </w:rPr>
            </w:pPr>
            <w:r>
              <w:rPr>
                <w:rFonts w:hint="eastAsia" w:ascii="Times New Roman" w:hAnsi="Times New Roman"/>
                <w:bCs/>
              </w:rPr>
              <w:t>全部</w:t>
            </w:r>
            <w:r>
              <w:rPr>
                <w:rFonts w:ascii="Times New Roman" w:hAnsi="Times New Roman"/>
                <w:bCs/>
              </w:rPr>
              <w:t>妥善</w:t>
            </w:r>
            <w:r>
              <w:rPr>
                <w:rFonts w:hint="eastAsia" w:ascii="Times New Roman" w:hAnsi="Times New Roman"/>
                <w:bCs/>
              </w:rPr>
              <w:t>处置</w:t>
            </w:r>
            <w:r>
              <w:rPr>
                <w:rFonts w:ascii="Times New Roman" w:hAnsi="Times New Roman"/>
                <w:bCs/>
              </w:rPr>
              <w:t>不外排，不会对环境产生明显影响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182" w:hRule="atLeast"/>
          <w:jc w:val="center"/>
        </w:trPr>
        <w:tc>
          <w:tcPr>
            <w:tcW w:w="985" w:type="dxa"/>
            <w:vMerge w:val="continue"/>
            <w:tcBorders>
              <w:bottom w:val="single" w:color="auto" w:sz="4" w:space="0"/>
              <w:tl2br w:val="nil"/>
              <w:tr2bl w:val="nil"/>
            </w:tcBorders>
            <w:vAlign w:val="center"/>
          </w:tcPr>
          <w:p>
            <w:pPr>
              <w:spacing w:line="360" w:lineRule="exact"/>
              <w:jc w:val="center"/>
              <w:rPr>
                <w:b/>
                <w:color w:val="000000"/>
                <w:sz w:val="28"/>
                <w:szCs w:val="28"/>
              </w:rPr>
            </w:pPr>
          </w:p>
        </w:tc>
        <w:tc>
          <w:tcPr>
            <w:tcW w:w="1420" w:type="dxa"/>
            <w:tcBorders>
              <w:bottom w:val="single" w:color="auto" w:sz="4" w:space="0"/>
              <w:tl2br w:val="nil"/>
              <w:tr2bl w:val="nil"/>
            </w:tcBorders>
            <w:vAlign w:val="center"/>
          </w:tcPr>
          <w:p>
            <w:pPr>
              <w:jc w:val="center"/>
              <w:rPr>
                <w:rFonts w:hint="default" w:eastAsia="宋体"/>
                <w:bCs/>
                <w:sz w:val="24"/>
                <w:szCs w:val="24"/>
                <w:lang w:val="en-US" w:eastAsia="zh-CN"/>
              </w:rPr>
            </w:pPr>
            <w:r>
              <w:rPr>
                <w:rFonts w:hint="eastAsia"/>
                <w:bCs/>
                <w:sz w:val="24"/>
                <w:szCs w:val="24"/>
                <w:lang w:val="en-US" w:eastAsia="zh-CN"/>
              </w:rPr>
              <w:t>气浮装置</w:t>
            </w:r>
          </w:p>
        </w:tc>
        <w:tc>
          <w:tcPr>
            <w:tcW w:w="1276" w:type="dxa"/>
            <w:tcBorders>
              <w:bottom w:val="single" w:color="auto" w:sz="4" w:space="0"/>
              <w:tl2br w:val="nil"/>
              <w:tr2bl w:val="nil"/>
            </w:tcBorders>
            <w:vAlign w:val="center"/>
          </w:tcPr>
          <w:p>
            <w:pPr>
              <w:jc w:val="center"/>
              <w:rPr>
                <w:rFonts w:hint="eastAsia" w:eastAsia="宋体"/>
                <w:bCs/>
                <w:sz w:val="24"/>
                <w:szCs w:val="24"/>
                <w:lang w:eastAsia="zh-CN"/>
              </w:rPr>
            </w:pPr>
            <w:r>
              <w:rPr>
                <w:rFonts w:hint="eastAsia"/>
                <w:bCs/>
                <w:sz w:val="24"/>
                <w:szCs w:val="24"/>
                <w:lang w:val="en-US" w:eastAsia="zh-CN"/>
              </w:rPr>
              <w:t>浮渣</w:t>
            </w:r>
          </w:p>
        </w:tc>
        <w:tc>
          <w:tcPr>
            <w:tcW w:w="1844" w:type="dxa"/>
            <w:vMerge w:val="continue"/>
            <w:tcBorders>
              <w:tl2br w:val="nil"/>
              <w:tr2bl w:val="nil"/>
            </w:tcBorders>
            <w:vAlign w:val="center"/>
          </w:tcPr>
          <w:p>
            <w:pPr>
              <w:jc w:val="center"/>
              <w:rPr>
                <w:bCs/>
                <w:sz w:val="24"/>
                <w:szCs w:val="24"/>
              </w:rPr>
            </w:pPr>
          </w:p>
        </w:tc>
        <w:tc>
          <w:tcPr>
            <w:tcW w:w="2791" w:type="dxa"/>
            <w:vMerge w:val="continue"/>
            <w:tcBorders>
              <w:bottom w:val="single" w:color="auto" w:sz="4" w:space="0"/>
              <w:tl2br w:val="nil"/>
              <w:tr2bl w:val="nil"/>
            </w:tcBorders>
            <w:vAlign w:val="center"/>
          </w:tcPr>
          <w:p>
            <w:pPr>
              <w:pStyle w:val="43"/>
              <w:spacing w:before="0" w:beforeAutospacing="0" w:after="0" w:afterAutospacing="0" w:line="360" w:lineRule="exact"/>
              <w:jc w:val="center"/>
              <w:rPr>
                <w:rFonts w:ascii="Times New Roman" w:hAnsi="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142" w:hRule="atLeast"/>
          <w:jc w:val="center"/>
        </w:trPr>
        <w:tc>
          <w:tcPr>
            <w:tcW w:w="985" w:type="dxa"/>
            <w:vMerge w:val="continue"/>
            <w:tcBorders>
              <w:bottom w:val="single" w:color="auto" w:sz="4" w:space="0"/>
              <w:tl2br w:val="nil"/>
              <w:tr2bl w:val="nil"/>
            </w:tcBorders>
            <w:vAlign w:val="center"/>
          </w:tcPr>
          <w:p>
            <w:pPr>
              <w:spacing w:line="360" w:lineRule="exact"/>
              <w:jc w:val="center"/>
              <w:rPr>
                <w:b/>
                <w:color w:val="000000"/>
                <w:sz w:val="28"/>
                <w:szCs w:val="28"/>
              </w:rPr>
            </w:pPr>
          </w:p>
        </w:tc>
        <w:tc>
          <w:tcPr>
            <w:tcW w:w="1420" w:type="dxa"/>
            <w:tcBorders>
              <w:tl2br w:val="nil"/>
              <w:tr2bl w:val="nil"/>
            </w:tcBorders>
            <w:vAlign w:val="center"/>
          </w:tcPr>
          <w:p>
            <w:pPr>
              <w:jc w:val="center"/>
              <w:rPr>
                <w:bCs/>
                <w:sz w:val="24"/>
                <w:szCs w:val="24"/>
              </w:rPr>
            </w:pPr>
            <w:r>
              <w:rPr>
                <w:rFonts w:hint="eastAsia"/>
                <w:bCs/>
                <w:sz w:val="24"/>
                <w:szCs w:val="24"/>
              </w:rPr>
              <w:t>污水</w:t>
            </w:r>
            <w:r>
              <w:rPr>
                <w:bCs/>
                <w:sz w:val="24"/>
                <w:szCs w:val="24"/>
              </w:rPr>
              <w:t>处理</w:t>
            </w:r>
          </w:p>
          <w:p>
            <w:pPr>
              <w:jc w:val="center"/>
              <w:rPr>
                <w:bCs/>
                <w:sz w:val="24"/>
                <w:szCs w:val="24"/>
              </w:rPr>
            </w:pPr>
            <w:r>
              <w:rPr>
                <w:bCs/>
                <w:sz w:val="24"/>
                <w:szCs w:val="24"/>
              </w:rPr>
              <w:t>系统</w:t>
            </w:r>
          </w:p>
        </w:tc>
        <w:tc>
          <w:tcPr>
            <w:tcW w:w="1276" w:type="dxa"/>
            <w:tcBorders>
              <w:tl2br w:val="nil"/>
              <w:tr2bl w:val="nil"/>
            </w:tcBorders>
            <w:vAlign w:val="center"/>
          </w:tcPr>
          <w:p>
            <w:pPr>
              <w:jc w:val="center"/>
              <w:rPr>
                <w:bCs/>
                <w:sz w:val="24"/>
                <w:szCs w:val="24"/>
              </w:rPr>
            </w:pPr>
            <w:r>
              <w:rPr>
                <w:bCs/>
                <w:sz w:val="24"/>
                <w:szCs w:val="24"/>
              </w:rPr>
              <w:t>污泥</w:t>
            </w:r>
          </w:p>
        </w:tc>
        <w:tc>
          <w:tcPr>
            <w:tcW w:w="1844" w:type="dxa"/>
            <w:vMerge w:val="continue"/>
            <w:tcBorders>
              <w:tl2br w:val="nil"/>
              <w:tr2bl w:val="nil"/>
            </w:tcBorders>
            <w:vAlign w:val="center"/>
          </w:tcPr>
          <w:p>
            <w:pPr>
              <w:jc w:val="center"/>
              <w:rPr>
                <w:bCs/>
                <w:sz w:val="24"/>
                <w:szCs w:val="24"/>
              </w:rPr>
            </w:pPr>
          </w:p>
        </w:tc>
        <w:tc>
          <w:tcPr>
            <w:tcW w:w="2791" w:type="dxa"/>
            <w:vMerge w:val="continue"/>
            <w:tcBorders>
              <w:bottom w:val="single" w:color="auto" w:sz="4" w:space="0"/>
              <w:tl2br w:val="nil"/>
              <w:tr2bl w:val="nil"/>
            </w:tcBorders>
            <w:vAlign w:val="center"/>
          </w:tcPr>
          <w:p>
            <w:pPr>
              <w:pStyle w:val="43"/>
              <w:spacing w:before="0" w:beforeAutospacing="0" w:after="0" w:afterAutospacing="0" w:line="360" w:lineRule="exact"/>
              <w:jc w:val="center"/>
              <w:rPr>
                <w:rFonts w:ascii="Times New Roman" w:hAnsi="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2022" w:hRule="atLeast"/>
          <w:jc w:val="center"/>
        </w:trPr>
        <w:tc>
          <w:tcPr>
            <w:tcW w:w="985" w:type="dxa"/>
            <w:tcBorders>
              <w:tl2br w:val="nil"/>
              <w:tr2bl w:val="nil"/>
            </w:tcBorders>
            <w:vAlign w:val="center"/>
          </w:tcPr>
          <w:p>
            <w:pPr>
              <w:spacing w:line="360" w:lineRule="exact"/>
              <w:jc w:val="center"/>
              <w:rPr>
                <w:b/>
                <w:color w:val="000000"/>
                <w:sz w:val="28"/>
                <w:szCs w:val="28"/>
              </w:rPr>
            </w:pPr>
            <w:r>
              <w:rPr>
                <w:b/>
                <w:color w:val="000000"/>
                <w:sz w:val="28"/>
                <w:szCs w:val="28"/>
              </w:rPr>
              <w:t>噪</w:t>
            </w:r>
          </w:p>
          <w:p>
            <w:pPr>
              <w:spacing w:line="360" w:lineRule="exact"/>
              <w:jc w:val="center"/>
              <w:rPr>
                <w:b/>
                <w:color w:val="000000"/>
                <w:sz w:val="28"/>
                <w:szCs w:val="28"/>
              </w:rPr>
            </w:pPr>
            <w:r>
              <w:rPr>
                <w:b/>
                <w:color w:val="000000"/>
                <w:sz w:val="28"/>
                <w:szCs w:val="28"/>
              </w:rPr>
              <w:t>声</w:t>
            </w:r>
          </w:p>
        </w:tc>
        <w:tc>
          <w:tcPr>
            <w:tcW w:w="7331" w:type="dxa"/>
            <w:gridSpan w:val="4"/>
            <w:tcBorders>
              <w:tl2br w:val="nil"/>
              <w:tr2bl w:val="nil"/>
            </w:tcBorders>
            <w:vAlign w:val="center"/>
          </w:tcPr>
          <w:p>
            <w:pPr>
              <w:spacing w:line="360" w:lineRule="auto"/>
              <w:ind w:firstLine="480" w:firstLineChars="200"/>
              <w:rPr>
                <w:sz w:val="24"/>
                <w:szCs w:val="24"/>
              </w:rPr>
            </w:pPr>
            <w:r>
              <w:rPr>
                <w:bCs/>
                <w:sz w:val="24"/>
                <w:szCs w:val="24"/>
              </w:rPr>
              <w:t>项目运营期噪声污染源主要为</w:t>
            </w:r>
            <w:r>
              <w:rPr>
                <w:rFonts w:hint="eastAsia"/>
                <w:bCs/>
                <w:sz w:val="24"/>
                <w:szCs w:val="24"/>
              </w:rPr>
              <w:t>各种泵类</w:t>
            </w:r>
            <w:r>
              <w:rPr>
                <w:bCs/>
                <w:sz w:val="24"/>
                <w:szCs w:val="24"/>
              </w:rPr>
              <w:t>、风机</w:t>
            </w:r>
            <w:r>
              <w:rPr>
                <w:sz w:val="24"/>
                <w:szCs w:val="24"/>
              </w:rPr>
              <w:t>等设备，噪声源强在65</w:t>
            </w:r>
            <w:r>
              <w:rPr>
                <w:sz w:val="24"/>
                <w:szCs w:val="24"/>
                <w:vertAlign w:val="superscript"/>
              </w:rPr>
              <w:t>~</w:t>
            </w:r>
            <w:r>
              <w:rPr>
                <w:sz w:val="24"/>
                <w:szCs w:val="24"/>
              </w:rPr>
              <w:t>90dB（A）之间，项目对各主要噪声设备采取低噪声设备、隔声减振等措施。采取上述措施可减噪15</w:t>
            </w:r>
            <w:r>
              <w:rPr>
                <w:sz w:val="24"/>
                <w:szCs w:val="24"/>
                <w:vertAlign w:val="superscript"/>
              </w:rPr>
              <w:t>~</w:t>
            </w:r>
            <w:r>
              <w:rPr>
                <w:sz w:val="24"/>
                <w:szCs w:val="24"/>
              </w:rPr>
              <w:t>30 dB（A），再通过距离衰减，厂界噪声可满足《工业企业厂界环境噪声排放标准》（GB12348-2008）中2类标准。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531" w:hRule="atLeast"/>
          <w:jc w:val="center"/>
        </w:trPr>
        <w:tc>
          <w:tcPr>
            <w:tcW w:w="985" w:type="dxa"/>
            <w:tcBorders>
              <w:tl2br w:val="nil"/>
              <w:tr2bl w:val="nil"/>
            </w:tcBorders>
            <w:vAlign w:val="center"/>
          </w:tcPr>
          <w:p>
            <w:pPr>
              <w:spacing w:line="360" w:lineRule="exact"/>
              <w:jc w:val="center"/>
              <w:rPr>
                <w:b/>
                <w:color w:val="000000"/>
                <w:sz w:val="28"/>
                <w:szCs w:val="28"/>
              </w:rPr>
            </w:pPr>
            <w:r>
              <w:rPr>
                <w:b/>
                <w:color w:val="000000"/>
                <w:sz w:val="28"/>
                <w:szCs w:val="28"/>
              </w:rPr>
              <w:t>其他</w:t>
            </w:r>
          </w:p>
        </w:tc>
        <w:tc>
          <w:tcPr>
            <w:tcW w:w="7331" w:type="dxa"/>
            <w:gridSpan w:val="4"/>
            <w:tcBorders>
              <w:tl2br w:val="nil"/>
              <w:tr2bl w:val="nil"/>
            </w:tcBorders>
            <w:vAlign w:val="center"/>
          </w:tcPr>
          <w:p>
            <w:pPr>
              <w:pStyle w:val="43"/>
              <w:spacing w:before="0" w:beforeAutospacing="0" w:after="0" w:afterAutospacing="0" w:line="360" w:lineRule="exact"/>
              <w:ind w:firstLine="480" w:firstLineChars="200"/>
              <w:jc w:val="center"/>
              <w:rPr>
                <w:rFonts w:ascii="Times New Roman" w:hAnsi="Times New Roman"/>
                <w:bCs/>
                <w:color w:val="000000"/>
              </w:rPr>
            </w:pPr>
            <w:r>
              <w:rPr>
                <w:rFonts w:ascii="Times New Roman" w:hAnsi="Times New Roman"/>
                <w:bCs/>
                <w:color w:val="00000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298" w:type="dxa"/>
          <w:trHeight w:val="1792" w:hRule="atLeast"/>
          <w:jc w:val="center"/>
        </w:trPr>
        <w:tc>
          <w:tcPr>
            <w:tcW w:w="8316" w:type="dxa"/>
            <w:gridSpan w:val="5"/>
            <w:tcBorders>
              <w:tl2br w:val="nil"/>
              <w:tr2bl w:val="nil"/>
            </w:tcBorders>
            <w:vAlign w:val="center"/>
          </w:tcPr>
          <w:p>
            <w:pPr>
              <w:spacing w:line="360" w:lineRule="exact"/>
              <w:rPr>
                <w:b/>
                <w:bCs/>
                <w:color w:val="000000"/>
                <w:sz w:val="28"/>
              </w:rPr>
            </w:pPr>
            <w:r>
              <w:rPr>
                <w:b/>
                <w:bCs/>
                <w:color w:val="000000"/>
                <w:sz w:val="28"/>
              </w:rPr>
              <w:t>生态保护措施及预期效果</w:t>
            </w:r>
          </w:p>
          <w:p>
            <w:pPr>
              <w:pStyle w:val="43"/>
              <w:spacing w:before="0" w:beforeAutospacing="0" w:after="0" w:afterAutospacing="0" w:line="360" w:lineRule="exact"/>
              <w:ind w:firstLine="480" w:firstLineChars="200"/>
              <w:jc w:val="center"/>
              <w:rPr>
                <w:rFonts w:ascii="Times New Roman" w:hAnsi="Times New Roman"/>
                <w:color w:val="000000"/>
              </w:rPr>
            </w:pPr>
            <w:r>
              <w:rPr>
                <w:rFonts w:ascii="Times New Roman" w:hAnsi="Times New Roman"/>
                <w:color w:val="000000"/>
              </w:rPr>
              <w:t>本项目在厂区周围种植绿化带，具有美化环境、净化空气、降噪的作用。</w:t>
            </w:r>
          </w:p>
          <w:p>
            <w:pPr>
              <w:pStyle w:val="43"/>
              <w:spacing w:before="0" w:beforeAutospacing="0" w:after="0" w:afterAutospacing="0" w:line="360" w:lineRule="exact"/>
              <w:ind w:firstLine="480" w:firstLineChars="200"/>
              <w:jc w:val="center"/>
              <w:rPr>
                <w:rFonts w:ascii="Times New Roman" w:hAnsi="Times New Roman"/>
                <w:color w:val="000000"/>
              </w:rPr>
            </w:pPr>
          </w:p>
          <w:p>
            <w:pPr>
              <w:pStyle w:val="43"/>
              <w:spacing w:before="0" w:beforeAutospacing="0" w:after="0" w:afterAutospacing="0" w:line="360" w:lineRule="exact"/>
              <w:ind w:firstLine="480" w:firstLineChars="200"/>
              <w:jc w:val="center"/>
              <w:rPr>
                <w:rFonts w:ascii="Times New Roman" w:hAnsi="Times New Roman"/>
                <w:color w:val="000000"/>
              </w:rPr>
            </w:pPr>
          </w:p>
          <w:p>
            <w:pPr>
              <w:pStyle w:val="43"/>
              <w:spacing w:before="0" w:beforeAutospacing="0" w:after="0" w:afterAutospacing="0" w:line="36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614" w:type="dxa"/>
            <w:gridSpan w:val="6"/>
            <w:shd w:val="clear" w:color="auto" w:fill="auto"/>
          </w:tcPr>
          <w:p>
            <w:pPr>
              <w:widowControl/>
              <w:jc w:val="left"/>
              <w:rPr>
                <w:b/>
                <w:kern w:val="0"/>
                <w:sz w:val="28"/>
                <w:szCs w:val="28"/>
              </w:rPr>
            </w:pPr>
            <w:r>
              <w:rPr>
                <w:b/>
                <w:kern w:val="0"/>
                <w:sz w:val="28"/>
                <w:szCs w:val="28"/>
              </w:rPr>
              <w:t>项目竣工环境保护验收内容</w:t>
            </w:r>
          </w:p>
          <w:p>
            <w:pPr>
              <w:pStyle w:val="88"/>
              <w:rPr>
                <w:sz w:val="24"/>
                <w:szCs w:val="24"/>
              </w:rPr>
            </w:pPr>
            <w:r>
              <w:rPr>
                <w:sz w:val="24"/>
                <w:szCs w:val="24"/>
              </w:rPr>
              <w:t>表43  建设项目环境保护“三同时”验收一览表</w:t>
            </w:r>
          </w:p>
          <w:tbl>
            <w:tblPr>
              <w:tblStyle w:val="48"/>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327"/>
              <w:gridCol w:w="1424"/>
              <w:gridCol w:w="4"/>
              <w:gridCol w:w="501"/>
              <w:gridCol w:w="657"/>
              <w:gridCol w:w="1853"/>
              <w:gridCol w:w="21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63"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类别</w:t>
                  </w:r>
                </w:p>
              </w:tc>
              <w:tc>
                <w:tcPr>
                  <w:tcW w:w="800"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污染源名称</w:t>
                  </w:r>
                </w:p>
              </w:tc>
              <w:tc>
                <w:tcPr>
                  <w:tcW w:w="861" w:type="pct"/>
                  <w:gridSpan w:val="2"/>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环保措施</w:t>
                  </w:r>
                </w:p>
              </w:tc>
              <w:tc>
                <w:tcPr>
                  <w:tcW w:w="312"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台套</w:t>
                  </w:r>
                </w:p>
              </w:tc>
              <w:tc>
                <w:tcPr>
                  <w:tcW w:w="400"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投资</w:t>
                  </w:r>
                </w:p>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万元</w:t>
                  </w:r>
                </w:p>
              </w:tc>
              <w:tc>
                <w:tcPr>
                  <w:tcW w:w="1053"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治理</w:t>
                  </w:r>
                </w:p>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效果</w:t>
                  </w:r>
                </w:p>
              </w:tc>
              <w:tc>
                <w:tcPr>
                  <w:tcW w:w="1307"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验收标准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4" w:hRule="atLeast"/>
              </w:trPr>
              <w:tc>
                <w:tcPr>
                  <w:tcW w:w="263" w:type="pct"/>
                  <w:vMerge w:val="restar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废气</w:t>
                  </w:r>
                </w:p>
              </w:tc>
              <w:tc>
                <w:tcPr>
                  <w:tcW w:w="800"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lang w:val="en-US" w:eastAsia="zh-CN"/>
                    </w:rPr>
                    <w:t>污水处理系统</w:t>
                  </w:r>
                  <w:r>
                    <w:rPr>
                      <w:rFonts w:hint="default" w:ascii="Times New Roman" w:hAnsi="Times New Roman" w:eastAsia="宋体" w:cs="Times New Roman"/>
                      <w:color w:val="auto"/>
                      <w:sz w:val="21"/>
                      <w:szCs w:val="21"/>
                    </w:rPr>
                    <w:t>恶臭</w:t>
                  </w:r>
                </w:p>
              </w:tc>
              <w:tc>
                <w:tcPr>
                  <w:tcW w:w="861" w:type="pct"/>
                  <w:gridSpan w:val="2"/>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color w:val="auto"/>
                      <w:sz w:val="21"/>
                      <w:szCs w:val="21"/>
                    </w:rPr>
                    <w:t>经</w:t>
                  </w:r>
                  <w:r>
                    <w:rPr>
                      <w:rFonts w:hint="default" w:ascii="Times New Roman" w:hAnsi="Times New Roman" w:eastAsia="宋体" w:cs="Times New Roman"/>
                      <w:color w:val="auto"/>
                      <w:sz w:val="21"/>
                      <w:szCs w:val="21"/>
                      <w:lang w:val="en-US" w:eastAsia="zh-CN"/>
                    </w:rPr>
                    <w:t>生物除臭+光氧设备+活性炭吸附装置处理</w:t>
                  </w:r>
                  <w:r>
                    <w:rPr>
                      <w:rFonts w:hint="default" w:ascii="Times New Roman" w:hAnsi="Times New Roman" w:eastAsia="宋体" w:cs="Times New Roman"/>
                      <w:color w:val="auto"/>
                      <w:sz w:val="21"/>
                      <w:szCs w:val="21"/>
                    </w:rPr>
                    <w:t>，再经15m高排气筒排放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依托现有</w:t>
                  </w:r>
                  <w:r>
                    <w:rPr>
                      <w:rFonts w:hint="default" w:ascii="Times New Roman" w:hAnsi="Times New Roman" w:eastAsia="宋体" w:cs="Times New Roman"/>
                      <w:color w:val="auto"/>
                      <w:sz w:val="21"/>
                      <w:szCs w:val="21"/>
                      <w:lang w:eastAsia="zh-CN"/>
                    </w:rPr>
                    <w:t>）</w:t>
                  </w:r>
                </w:p>
              </w:tc>
              <w:tc>
                <w:tcPr>
                  <w:tcW w:w="312"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w:t>
                  </w:r>
                </w:p>
              </w:tc>
              <w:tc>
                <w:tcPr>
                  <w:tcW w:w="400" w:type="pct"/>
                  <w:vMerge w:val="restar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val="en-US" w:eastAsia="zh-CN"/>
                    </w:rPr>
                    <w:t>1</w:t>
                  </w:r>
                </w:p>
              </w:tc>
              <w:tc>
                <w:tcPr>
                  <w:tcW w:w="1053" w:type="pc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氨≤4.9kg/h</w:t>
                  </w:r>
                </w:p>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硫化氢≤0.33kg/h</w:t>
                  </w:r>
                </w:p>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臭气浓度≤2000（无量纲）</w:t>
                  </w:r>
                </w:p>
              </w:tc>
              <w:tc>
                <w:tcPr>
                  <w:tcW w:w="1307"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《恶臭污染物排放标准》（GB14554-93）表2标准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63" w:type="pct"/>
                  <w:vMerge w:val="continue"/>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p>
              </w:tc>
              <w:tc>
                <w:tcPr>
                  <w:tcW w:w="800"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厂界无组织</w:t>
                  </w:r>
                </w:p>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废气</w:t>
                  </w:r>
                </w:p>
              </w:tc>
              <w:tc>
                <w:tcPr>
                  <w:tcW w:w="861" w:type="pct"/>
                  <w:gridSpan w:val="2"/>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加强厂区绿化</w:t>
                  </w:r>
                </w:p>
              </w:tc>
              <w:tc>
                <w:tcPr>
                  <w:tcW w:w="312"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w:t>
                  </w:r>
                </w:p>
              </w:tc>
              <w:tc>
                <w:tcPr>
                  <w:tcW w:w="400" w:type="pct"/>
                  <w:vMerge w:val="continue"/>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p>
              </w:tc>
              <w:tc>
                <w:tcPr>
                  <w:tcW w:w="1053" w:type="pc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氨≤1.5mg/m</w:t>
                  </w:r>
                  <w:r>
                    <w:rPr>
                      <w:rFonts w:hint="default" w:ascii="Times New Roman" w:hAnsi="Times New Roman" w:eastAsia="宋体" w:cs="Times New Roman"/>
                      <w:color w:val="auto"/>
                      <w:sz w:val="21"/>
                      <w:szCs w:val="21"/>
                      <w:vertAlign w:val="superscript"/>
                    </w:rPr>
                    <w:t>3</w:t>
                  </w:r>
                </w:p>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硫化氢≤0.06 mg/m</w:t>
                  </w:r>
                  <w:r>
                    <w:rPr>
                      <w:rFonts w:hint="default" w:ascii="Times New Roman" w:hAnsi="Times New Roman" w:eastAsia="宋体" w:cs="Times New Roman"/>
                      <w:color w:val="auto"/>
                      <w:sz w:val="21"/>
                      <w:szCs w:val="21"/>
                      <w:vertAlign w:val="superscript"/>
                    </w:rPr>
                    <w:t>3</w:t>
                  </w:r>
                </w:p>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臭气浓度≤20（无量纲）</w:t>
                  </w:r>
                </w:p>
              </w:tc>
              <w:tc>
                <w:tcPr>
                  <w:tcW w:w="1307"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《城镇污水处理厂污染物排放标准》（GB18918-2002）表4厂界（防护带边缘）废气排放最高允许浓度二级标准限值</w:t>
                  </w:r>
                  <w:r>
                    <w:rPr>
                      <w:rFonts w:hint="default" w:ascii="Times New Roman" w:hAnsi="Times New Roman" w:eastAsia="宋体" w:cs="Times New Roman"/>
                      <w:color w:val="auto"/>
                      <w:kern w:val="0"/>
                      <w:sz w:val="21"/>
                      <w:szCs w:val="21"/>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63" w:type="pct"/>
                  <w:vMerge w:val="restar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废水</w:t>
                  </w:r>
                </w:p>
              </w:tc>
              <w:tc>
                <w:tcPr>
                  <w:tcW w:w="800"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pacing w:val="2"/>
                      <w:sz w:val="21"/>
                      <w:szCs w:val="21"/>
                    </w:rPr>
                    <w:t>企业综合废水</w:t>
                  </w:r>
                </w:p>
              </w:tc>
              <w:tc>
                <w:tcPr>
                  <w:tcW w:w="861" w:type="pct"/>
                  <w:gridSpan w:val="2"/>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设计废水处理规模为</w:t>
                  </w:r>
                  <w:r>
                    <w:rPr>
                      <w:rFonts w:hint="default" w:ascii="Times New Roman" w:hAnsi="Times New Roman" w:eastAsia="宋体" w:cs="Times New Roman"/>
                      <w:color w:val="auto"/>
                      <w:sz w:val="21"/>
                      <w:szCs w:val="21"/>
                      <w:lang w:val="en-US" w:eastAsia="zh-CN"/>
                    </w:rPr>
                    <w:t>2500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/d，采用“</w:t>
                  </w:r>
                  <w:r>
                    <w:rPr>
                      <w:rFonts w:hint="default" w:ascii="Times New Roman" w:hAnsi="Times New Roman" w:eastAsia="宋体" w:cs="Times New Roman"/>
                      <w:color w:val="auto"/>
                      <w:sz w:val="21"/>
                      <w:szCs w:val="21"/>
                      <w:lang w:eastAsia="zh-CN"/>
                    </w:rPr>
                    <w:t>预处理+好氧+除磷+粉末C吸附</w:t>
                  </w:r>
                  <w:r>
                    <w:rPr>
                      <w:rFonts w:hint="default" w:ascii="Times New Roman" w:hAnsi="Times New Roman" w:eastAsia="宋体" w:cs="Times New Roman"/>
                      <w:color w:val="auto"/>
                      <w:sz w:val="21"/>
                      <w:szCs w:val="21"/>
                    </w:rPr>
                    <w:t>”处理工艺</w:t>
                  </w:r>
                </w:p>
              </w:tc>
              <w:tc>
                <w:tcPr>
                  <w:tcW w:w="312" w:type="pct"/>
                  <w:vMerge w:val="restar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w:t>
                  </w:r>
                </w:p>
              </w:tc>
              <w:tc>
                <w:tcPr>
                  <w:tcW w:w="400" w:type="pct"/>
                  <w:vMerge w:val="restar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269</w:t>
                  </w:r>
                </w:p>
              </w:tc>
              <w:tc>
                <w:tcPr>
                  <w:tcW w:w="1053" w:type="pct"/>
                  <w:vMerge w:val="restar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pH6~9</w:t>
                  </w:r>
                </w:p>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COD≤30mg/L、BOD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≤6mg/L、SS≤5mg/L、NH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-N≤1.5mg/L、TN≤15mg/L、TP≤0.3mg/L</w:t>
                  </w:r>
                </w:p>
              </w:tc>
              <w:tc>
                <w:tcPr>
                  <w:tcW w:w="1307" w:type="pct"/>
                  <w:vMerge w:val="restart"/>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w:t>
                  </w:r>
                  <w:r>
                    <w:rPr>
                      <w:rFonts w:hint="default" w:ascii="Times New Roman" w:hAnsi="Times New Roman" w:eastAsia="宋体" w:cs="Times New Roman"/>
                      <w:color w:val="auto"/>
                      <w:sz w:val="21"/>
                      <w:szCs w:val="21"/>
                      <w:lang w:val="en-US" w:eastAsia="zh-CN"/>
                    </w:rPr>
                    <w:t>《黑龙港及运东流域水污染物排放标准》（DB13/2797 -2018）表1重点控制区排放限值</w:t>
                  </w:r>
                  <w:r>
                    <w:rPr>
                      <w:rFonts w:hint="default" w:ascii="Times New Roman" w:hAnsi="Times New Roman" w:eastAsia="宋体" w:cs="Times New Roman"/>
                      <w:color w:val="auto"/>
                      <w:sz w:val="21"/>
                      <w:szCs w:val="21"/>
                    </w:rPr>
                    <w:t>，同时满足《地表水环境质量标准》（GB3838-2002）表1中Ⅳ类标准（总氮除外）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63" w:type="pct"/>
                  <w:vMerge w:val="continue"/>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p>
              </w:tc>
              <w:tc>
                <w:tcPr>
                  <w:tcW w:w="800" w:type="pct"/>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0"/>
                      <w:sz w:val="21"/>
                      <w:szCs w:val="21"/>
                    </w:rPr>
                    <w:t>在线监测系统</w:t>
                  </w:r>
                </w:p>
              </w:tc>
              <w:tc>
                <w:tcPr>
                  <w:tcW w:w="861" w:type="pct"/>
                  <w:gridSpan w:val="2"/>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设置规范化排污口，安装COD、氨氮、总氮、总磷在线监测装置</w:t>
                  </w:r>
                </w:p>
              </w:tc>
              <w:tc>
                <w:tcPr>
                  <w:tcW w:w="312" w:type="pct"/>
                  <w:vMerge w:val="continue"/>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p>
              </w:tc>
              <w:tc>
                <w:tcPr>
                  <w:tcW w:w="400" w:type="pct"/>
                  <w:vMerge w:val="continue"/>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p>
              </w:tc>
              <w:tc>
                <w:tcPr>
                  <w:tcW w:w="1053" w:type="pct"/>
                  <w:vMerge w:val="continue"/>
                  <w:tcBorders>
                    <w:tl2br w:val="nil"/>
                    <w:tr2bl w:val="nil"/>
                  </w:tcBorders>
                  <w:vAlign w:val="center"/>
                </w:tcPr>
                <w:p>
                  <w:pPr>
                    <w:pStyle w:val="97"/>
                    <w:widowControl w:val="0"/>
                    <w:rPr>
                      <w:rFonts w:hint="default" w:ascii="Times New Roman" w:hAnsi="Times New Roman" w:eastAsia="宋体" w:cs="Times New Roman"/>
                      <w:color w:val="auto"/>
                      <w:sz w:val="21"/>
                      <w:szCs w:val="21"/>
                    </w:rPr>
                  </w:pPr>
                </w:p>
              </w:tc>
              <w:tc>
                <w:tcPr>
                  <w:tcW w:w="1307" w:type="pct"/>
                  <w:vMerge w:val="continue"/>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63" w:type="pc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噪声</w:t>
                  </w:r>
                </w:p>
              </w:tc>
              <w:tc>
                <w:tcPr>
                  <w:tcW w:w="800" w:type="pc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w:t>
                  </w:r>
                </w:p>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858" w:type="pc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基础减振、厂房隔声</w:t>
                  </w:r>
                </w:p>
              </w:tc>
              <w:tc>
                <w:tcPr>
                  <w:tcW w:w="315" w:type="pct"/>
                  <w:gridSpan w:val="2"/>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400" w:type="pc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53" w:type="pc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0"/>
                      <w:sz w:val="21"/>
                      <w:szCs w:val="21"/>
                    </w:rPr>
                    <w:t>昼间</w:t>
                  </w:r>
                  <w:r>
                    <w:rPr>
                      <w:rFonts w:hint="default" w:ascii="Times New Roman" w:hAnsi="Times New Roman" w:eastAsia="宋体" w:cs="Times New Roman"/>
                      <w:color w:val="auto"/>
                      <w:sz w:val="21"/>
                      <w:szCs w:val="21"/>
                    </w:rPr>
                    <w:t>≤60dB(A)</w:t>
                  </w:r>
                </w:p>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夜间≤50dB(A)</w:t>
                  </w:r>
                </w:p>
              </w:tc>
              <w:tc>
                <w:tcPr>
                  <w:tcW w:w="1307" w:type="pc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厂界噪声执行《工业企业厂界环境噪声排放标准》（GB12348-2008）2类标准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63" w:type="pct"/>
                  <w:vMerge w:val="restart"/>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固废</w:t>
                  </w:r>
                </w:p>
              </w:tc>
              <w:tc>
                <w:tcPr>
                  <w:tcW w:w="800" w:type="pc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格栅池产生的栅渣</w:t>
                  </w:r>
                </w:p>
              </w:tc>
              <w:tc>
                <w:tcPr>
                  <w:tcW w:w="858" w:type="pct"/>
                  <w:vMerge w:val="restar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外售生物肥厂作堆肥原料</w:t>
                  </w:r>
                </w:p>
              </w:tc>
              <w:tc>
                <w:tcPr>
                  <w:tcW w:w="315" w:type="pct"/>
                  <w:gridSpan w:val="2"/>
                  <w:vMerge w:val="restart"/>
                  <w:tcBorders>
                    <w:tl2br w:val="nil"/>
                    <w:tr2bl w:val="nil"/>
                  </w:tcBorders>
                  <w:vAlign w:val="center"/>
                </w:tcPr>
                <w:p>
                  <w:pPr>
                    <w:pStyle w:val="97"/>
                    <w:widowControl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400" w:type="pct"/>
                  <w:vMerge w:val="restar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c>
                <w:tcPr>
                  <w:tcW w:w="2361" w:type="pct"/>
                  <w:gridSpan w:val="2"/>
                  <w:vMerge w:val="restar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全部合理处置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63" w:type="pct"/>
                  <w:vMerge w:val="continue"/>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p>
              </w:tc>
              <w:tc>
                <w:tcPr>
                  <w:tcW w:w="800" w:type="pct"/>
                  <w:tcBorders>
                    <w:tl2br w:val="nil"/>
                    <w:tr2bl w:val="nil"/>
                  </w:tcBorders>
                  <w:vAlign w:val="center"/>
                </w:tcPr>
                <w:p>
                  <w:pPr>
                    <w:pStyle w:val="97"/>
                    <w:widowControl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气浮装置产生的浮渣</w:t>
                  </w:r>
                </w:p>
              </w:tc>
              <w:tc>
                <w:tcPr>
                  <w:tcW w:w="858" w:type="pct"/>
                  <w:vMerge w:val="continue"/>
                  <w:tcBorders>
                    <w:tl2br w:val="nil"/>
                    <w:tr2bl w:val="nil"/>
                  </w:tcBorders>
                  <w:vAlign w:val="center"/>
                </w:tcPr>
                <w:p>
                  <w:pPr>
                    <w:pStyle w:val="97"/>
                    <w:widowControl w:val="0"/>
                    <w:rPr>
                      <w:rFonts w:hint="default" w:ascii="Times New Roman" w:hAnsi="Times New Roman" w:eastAsia="宋体" w:cs="Times New Roman"/>
                      <w:color w:val="auto"/>
                      <w:sz w:val="21"/>
                      <w:szCs w:val="21"/>
                    </w:rPr>
                  </w:pPr>
                </w:p>
              </w:tc>
              <w:tc>
                <w:tcPr>
                  <w:tcW w:w="315" w:type="pct"/>
                  <w:gridSpan w:val="2"/>
                  <w:vMerge w:val="continue"/>
                  <w:tcBorders>
                    <w:tl2br w:val="nil"/>
                    <w:tr2bl w:val="nil"/>
                  </w:tcBorders>
                  <w:vAlign w:val="center"/>
                </w:tcPr>
                <w:p>
                  <w:pPr>
                    <w:pStyle w:val="97"/>
                    <w:widowControl w:val="0"/>
                    <w:rPr>
                      <w:rFonts w:hint="default" w:ascii="Times New Roman" w:hAnsi="Times New Roman" w:eastAsia="宋体" w:cs="Times New Roman"/>
                      <w:bCs/>
                      <w:color w:val="auto"/>
                      <w:sz w:val="21"/>
                      <w:szCs w:val="21"/>
                    </w:rPr>
                  </w:pPr>
                </w:p>
              </w:tc>
              <w:tc>
                <w:tcPr>
                  <w:tcW w:w="400" w:type="pct"/>
                  <w:vMerge w:val="continue"/>
                  <w:tcBorders>
                    <w:tl2br w:val="nil"/>
                    <w:tr2bl w:val="nil"/>
                  </w:tcBorders>
                  <w:vAlign w:val="center"/>
                </w:tcPr>
                <w:p>
                  <w:pPr>
                    <w:pStyle w:val="97"/>
                    <w:widowControl w:val="0"/>
                    <w:rPr>
                      <w:rFonts w:hint="default" w:ascii="Times New Roman" w:hAnsi="Times New Roman" w:eastAsia="宋体" w:cs="Times New Roman"/>
                      <w:color w:val="auto"/>
                      <w:sz w:val="21"/>
                      <w:szCs w:val="21"/>
                    </w:rPr>
                  </w:pPr>
                </w:p>
              </w:tc>
              <w:tc>
                <w:tcPr>
                  <w:tcW w:w="2361" w:type="pct"/>
                  <w:gridSpan w:val="2"/>
                  <w:vMerge w:val="continue"/>
                  <w:tcBorders>
                    <w:tl2br w:val="nil"/>
                    <w:tr2bl w:val="nil"/>
                  </w:tcBorders>
                  <w:vAlign w:val="center"/>
                </w:tcPr>
                <w:p>
                  <w:pPr>
                    <w:pStyle w:val="97"/>
                    <w:widowControl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63" w:type="pct"/>
                  <w:vMerge w:val="continue"/>
                  <w:tcBorders>
                    <w:tl2br w:val="nil"/>
                    <w:tr2bl w:val="nil"/>
                  </w:tcBorders>
                  <w:vAlign w:val="center"/>
                </w:tcPr>
                <w:p>
                  <w:pPr>
                    <w:spacing w:line="240" w:lineRule="atLeast"/>
                    <w:jc w:val="center"/>
                    <w:rPr>
                      <w:rFonts w:hint="default" w:ascii="Times New Roman" w:hAnsi="Times New Roman" w:eastAsia="宋体" w:cs="Times New Roman"/>
                      <w:bCs/>
                      <w:color w:val="auto"/>
                      <w:kern w:val="0"/>
                      <w:sz w:val="21"/>
                      <w:szCs w:val="21"/>
                    </w:rPr>
                  </w:pPr>
                </w:p>
              </w:tc>
              <w:tc>
                <w:tcPr>
                  <w:tcW w:w="800" w:type="pct"/>
                  <w:tcBorders>
                    <w:tl2br w:val="nil"/>
                    <w:tr2bl w:val="nil"/>
                  </w:tcBorders>
                  <w:vAlign w:val="center"/>
                </w:tcPr>
                <w:p>
                  <w:pPr>
                    <w:pStyle w:val="97"/>
                    <w:widowControl w:val="0"/>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污泥处理系统产生的污泥</w:t>
                  </w:r>
                </w:p>
              </w:tc>
              <w:tc>
                <w:tcPr>
                  <w:tcW w:w="858" w:type="pct"/>
                  <w:vMerge w:val="continue"/>
                  <w:tcBorders>
                    <w:tl2br w:val="nil"/>
                    <w:tr2bl w:val="nil"/>
                  </w:tcBorders>
                  <w:vAlign w:val="center"/>
                </w:tcPr>
                <w:p>
                  <w:pPr>
                    <w:pStyle w:val="97"/>
                    <w:widowControl w:val="0"/>
                    <w:rPr>
                      <w:rFonts w:hint="default" w:ascii="Times New Roman" w:hAnsi="Times New Roman" w:eastAsia="宋体" w:cs="Times New Roman"/>
                      <w:color w:val="auto"/>
                      <w:sz w:val="21"/>
                      <w:szCs w:val="21"/>
                    </w:rPr>
                  </w:pPr>
                </w:p>
              </w:tc>
              <w:tc>
                <w:tcPr>
                  <w:tcW w:w="315" w:type="pct"/>
                  <w:gridSpan w:val="2"/>
                  <w:vMerge w:val="continue"/>
                  <w:tcBorders>
                    <w:tl2br w:val="nil"/>
                    <w:tr2bl w:val="nil"/>
                  </w:tcBorders>
                  <w:vAlign w:val="center"/>
                </w:tcPr>
                <w:p>
                  <w:pPr>
                    <w:pStyle w:val="97"/>
                    <w:widowControl w:val="0"/>
                    <w:rPr>
                      <w:rFonts w:hint="default" w:ascii="Times New Roman" w:hAnsi="Times New Roman" w:eastAsia="宋体" w:cs="Times New Roman"/>
                      <w:bCs/>
                      <w:color w:val="auto"/>
                      <w:sz w:val="21"/>
                      <w:szCs w:val="21"/>
                    </w:rPr>
                  </w:pPr>
                </w:p>
              </w:tc>
              <w:tc>
                <w:tcPr>
                  <w:tcW w:w="400" w:type="pct"/>
                  <w:vMerge w:val="continue"/>
                  <w:tcBorders>
                    <w:tl2br w:val="nil"/>
                    <w:tr2bl w:val="nil"/>
                  </w:tcBorders>
                  <w:vAlign w:val="center"/>
                </w:tcPr>
                <w:p>
                  <w:pPr>
                    <w:pStyle w:val="97"/>
                    <w:widowControl w:val="0"/>
                    <w:rPr>
                      <w:rFonts w:hint="default" w:ascii="Times New Roman" w:hAnsi="Times New Roman" w:eastAsia="宋体" w:cs="Times New Roman"/>
                      <w:color w:val="auto"/>
                      <w:sz w:val="21"/>
                      <w:szCs w:val="21"/>
                    </w:rPr>
                  </w:pPr>
                </w:p>
              </w:tc>
              <w:tc>
                <w:tcPr>
                  <w:tcW w:w="2361" w:type="pct"/>
                  <w:gridSpan w:val="2"/>
                  <w:vMerge w:val="continue"/>
                  <w:tcBorders>
                    <w:tl2br w:val="nil"/>
                    <w:tr2bl w:val="nil"/>
                  </w:tcBorders>
                  <w:vAlign w:val="center"/>
                </w:tcPr>
                <w:p>
                  <w:pPr>
                    <w:pStyle w:val="97"/>
                    <w:widowControl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238" w:type="pct"/>
                  <w:gridSpan w:val="5"/>
                  <w:tcBorders>
                    <w:tl2br w:val="nil"/>
                    <w:tr2bl w:val="nil"/>
                  </w:tcBorders>
                  <w:vAlign w:val="center"/>
                </w:tcPr>
                <w:p>
                  <w:pPr>
                    <w:pStyle w:val="97"/>
                    <w:widowControl w:val="0"/>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合计</w:t>
                  </w:r>
                </w:p>
              </w:tc>
              <w:tc>
                <w:tcPr>
                  <w:tcW w:w="400" w:type="pct"/>
                  <w:tcBorders>
                    <w:tl2br w:val="nil"/>
                    <w:tr2bl w:val="nil"/>
                  </w:tcBorders>
                  <w:vAlign w:val="center"/>
                </w:tcPr>
                <w:p>
                  <w:pPr>
                    <w:pStyle w:val="97"/>
                    <w:widowControl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2361" w:type="pct"/>
                  <w:gridSpan w:val="2"/>
                  <w:tcBorders>
                    <w:tl2br w:val="nil"/>
                    <w:tr2bl w:val="nil"/>
                  </w:tcBorders>
                  <w:vAlign w:val="center"/>
                </w:tcPr>
                <w:p>
                  <w:pPr>
                    <w:pStyle w:val="97"/>
                    <w:widowControl w:val="0"/>
                    <w:rPr>
                      <w:rFonts w:hint="default" w:ascii="Times New Roman" w:hAnsi="Times New Roman" w:eastAsia="宋体" w:cs="Times New Roman"/>
                      <w:color w:val="auto"/>
                      <w:sz w:val="21"/>
                      <w:szCs w:val="21"/>
                    </w:rPr>
                  </w:pPr>
                </w:p>
              </w:tc>
            </w:tr>
          </w:tbl>
          <w:p>
            <w:pPr>
              <w:spacing w:line="240" w:lineRule="atLeast"/>
              <w:rPr>
                <w:b/>
                <w:bCs/>
                <w:color w:val="000000"/>
                <w:kern w:val="0"/>
                <w:sz w:val="32"/>
                <w:vertAlign w:val="superscript"/>
              </w:rPr>
            </w:pPr>
          </w:p>
        </w:tc>
      </w:tr>
    </w:tbl>
    <w:p>
      <w:pPr>
        <w:outlineLvl w:val="0"/>
        <w:rPr>
          <w:b/>
          <w:bCs/>
          <w:color w:val="000000"/>
          <w:sz w:val="32"/>
        </w:rPr>
      </w:pPr>
      <w:r>
        <w:rPr>
          <w:b/>
          <w:bCs/>
          <w:color w:val="000000"/>
          <w:sz w:val="32"/>
        </w:rPr>
        <w:t>结论与建议</w:t>
      </w:r>
    </w:p>
    <w:tbl>
      <w:tblPr>
        <w:tblStyle w:val="47"/>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4" w:hRule="atLeast"/>
          <w:jc w:val="center"/>
        </w:trPr>
        <w:tc>
          <w:tcPr>
            <w:tcW w:w="8316" w:type="dxa"/>
          </w:tcPr>
          <w:p>
            <w:pPr>
              <w:spacing w:line="440" w:lineRule="exact"/>
              <w:rPr>
                <w:b/>
                <w:bCs/>
                <w:color w:val="000000"/>
                <w:sz w:val="28"/>
                <w:szCs w:val="28"/>
              </w:rPr>
            </w:pPr>
            <w:r>
              <w:rPr>
                <w:b/>
                <w:bCs/>
                <w:color w:val="000000"/>
                <w:sz w:val="28"/>
                <w:szCs w:val="28"/>
              </w:rPr>
              <w:t>一、结论</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1、工程概况</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(1)项目概况</w:t>
            </w:r>
          </w:p>
          <w:p>
            <w:pPr>
              <w:spacing w:line="360" w:lineRule="auto"/>
              <w:ind w:firstLine="480" w:firstLineChars="200"/>
              <w:rPr>
                <w:bCs/>
                <w:color w:val="000000"/>
                <w:sz w:val="24"/>
                <w:szCs w:val="24"/>
              </w:rPr>
            </w:pPr>
            <w:r>
              <w:rPr>
                <w:bCs/>
                <w:color w:val="000000"/>
                <w:sz w:val="24"/>
                <w:szCs w:val="24"/>
              </w:rPr>
              <w:t>项目名称：</w:t>
            </w:r>
            <w:r>
              <w:rPr>
                <w:rFonts w:hint="eastAsia"/>
                <w:sz w:val="24"/>
                <w:szCs w:val="24"/>
                <w:lang w:eastAsia="zh-CN"/>
              </w:rPr>
              <w:t>威县乐牛乳业有限公司厂区配套设施污水处理站提标改造项目</w:t>
            </w:r>
            <w:r>
              <w:rPr>
                <w:color w:val="000000"/>
                <w:sz w:val="24"/>
              </w:rPr>
              <w:t>；</w:t>
            </w:r>
          </w:p>
          <w:p>
            <w:pPr>
              <w:spacing w:line="360" w:lineRule="auto"/>
              <w:ind w:firstLine="480" w:firstLineChars="200"/>
              <w:rPr>
                <w:bCs/>
                <w:color w:val="000000"/>
                <w:sz w:val="24"/>
                <w:szCs w:val="24"/>
              </w:rPr>
            </w:pPr>
            <w:r>
              <w:rPr>
                <w:bCs/>
                <w:color w:val="000000"/>
                <w:sz w:val="24"/>
                <w:szCs w:val="24"/>
              </w:rPr>
              <w:t>建设性质：</w:t>
            </w:r>
            <w:r>
              <w:rPr>
                <w:rFonts w:hint="eastAsia"/>
                <w:bCs/>
                <w:color w:val="000000"/>
                <w:sz w:val="24"/>
                <w:szCs w:val="24"/>
              </w:rPr>
              <w:t>技改</w:t>
            </w:r>
            <w:r>
              <w:rPr>
                <w:bCs/>
                <w:color w:val="000000"/>
                <w:sz w:val="24"/>
                <w:szCs w:val="24"/>
              </w:rPr>
              <w:t>；</w:t>
            </w:r>
          </w:p>
          <w:p>
            <w:pPr>
              <w:spacing w:line="360" w:lineRule="auto"/>
              <w:ind w:firstLine="480" w:firstLineChars="200"/>
              <w:rPr>
                <w:sz w:val="24"/>
                <w:szCs w:val="24"/>
              </w:rPr>
            </w:pPr>
            <w:r>
              <w:rPr>
                <w:bCs/>
                <w:color w:val="000000"/>
                <w:sz w:val="24"/>
                <w:szCs w:val="24"/>
              </w:rPr>
              <w:t>建设单位：</w:t>
            </w:r>
            <w:r>
              <w:rPr>
                <w:rFonts w:hint="eastAsia"/>
                <w:sz w:val="24"/>
                <w:szCs w:val="24"/>
                <w:lang w:eastAsia="zh-CN"/>
              </w:rPr>
              <w:t>威县乐牛乳业有限公司</w:t>
            </w:r>
            <w:r>
              <w:rPr>
                <w:sz w:val="24"/>
                <w:szCs w:val="24"/>
              </w:rPr>
              <w:t>；</w:t>
            </w:r>
          </w:p>
          <w:p>
            <w:pPr>
              <w:spacing w:line="360" w:lineRule="auto"/>
              <w:ind w:firstLine="480" w:firstLineChars="200"/>
              <w:rPr>
                <w:color w:val="000000"/>
                <w:sz w:val="24"/>
                <w:szCs w:val="24"/>
              </w:rPr>
            </w:pPr>
            <w:r>
              <w:rPr>
                <w:sz w:val="24"/>
                <w:szCs w:val="24"/>
              </w:rPr>
              <w:t>项目投资：</w:t>
            </w:r>
            <w:r>
              <w:rPr>
                <w:kern w:val="0"/>
                <w:sz w:val="24"/>
                <w:szCs w:val="24"/>
              </w:rPr>
              <w:t>项目总投资</w:t>
            </w:r>
            <w:r>
              <w:rPr>
                <w:rFonts w:hint="eastAsia"/>
                <w:sz w:val="24"/>
                <w:szCs w:val="24"/>
                <w:lang w:val="en-US" w:eastAsia="zh-CN"/>
              </w:rPr>
              <w:t>300</w:t>
            </w:r>
            <w:r>
              <w:rPr>
                <w:kern w:val="0"/>
                <w:sz w:val="24"/>
                <w:szCs w:val="24"/>
              </w:rPr>
              <w:t>万元，其中环保投资为</w:t>
            </w:r>
            <w:r>
              <w:rPr>
                <w:rFonts w:hint="eastAsia"/>
                <w:sz w:val="24"/>
                <w:szCs w:val="24"/>
                <w:lang w:val="en-US" w:eastAsia="zh-CN"/>
              </w:rPr>
              <w:t>300</w:t>
            </w:r>
            <w:r>
              <w:rPr>
                <w:kern w:val="0"/>
                <w:sz w:val="24"/>
                <w:szCs w:val="24"/>
              </w:rPr>
              <w:t>万元，环保投资占总投资比例为100%。</w:t>
            </w:r>
          </w:p>
          <w:p>
            <w:pPr>
              <w:pStyle w:val="43"/>
              <w:spacing w:before="0" w:beforeAutospacing="0" w:after="0" w:afterAutospacing="0" w:line="360" w:lineRule="auto"/>
              <w:ind w:firstLine="480" w:firstLineChars="200"/>
              <w:jc w:val="both"/>
              <w:rPr>
                <w:rFonts w:ascii="Times New Roman" w:hAnsi="Times New Roman"/>
                <w:color w:val="C00000"/>
              </w:rPr>
            </w:pPr>
            <w:r>
              <w:rPr>
                <w:rFonts w:ascii="Times New Roman" w:hAnsi="Times New Roman"/>
                <w:bCs/>
                <w:color w:val="000000"/>
              </w:rPr>
              <w:t>劳动定员及工作制度：</w:t>
            </w:r>
            <w:r>
              <w:rPr>
                <w:rFonts w:hint="eastAsia" w:ascii="Times New Roman" w:hAnsi="Times New Roman"/>
                <w:bCs/>
                <w:color w:val="000000"/>
              </w:rPr>
              <w:t>技改</w:t>
            </w:r>
            <w:r>
              <w:rPr>
                <w:rFonts w:hint="eastAsia" w:ascii="Times New Roman" w:hAnsi="Times New Roman"/>
                <w:bCs/>
                <w:color w:val="000000"/>
                <w:lang w:val="en-US" w:eastAsia="zh-CN"/>
              </w:rPr>
              <w:t>项目不新增劳动定员，仍为</w:t>
            </w:r>
            <w:r>
              <w:rPr>
                <w:rFonts w:hint="default" w:ascii="Times New Roman" w:hAnsi="Times New Roman" w:eastAsia="宋体" w:cs="Times New Roman"/>
                <w:color w:val="auto"/>
                <w:sz w:val="24"/>
                <w:szCs w:val="24"/>
                <w:highlight w:val="none"/>
              </w:rPr>
              <w:t>年工作日300天，</w:t>
            </w:r>
            <w:r>
              <w:rPr>
                <w:rFonts w:hint="default" w:ascii="Times New Roman" w:hAnsi="Times New Roman" w:eastAsia="宋体" w:cs="Times New Roman"/>
                <w:color w:val="auto"/>
                <w:sz w:val="24"/>
                <w:szCs w:val="24"/>
                <w:highlight w:val="none"/>
                <w:lang w:eastAsia="zh-CN"/>
              </w:rPr>
              <w:t>液</w:t>
            </w:r>
            <w:r>
              <w:rPr>
                <w:rFonts w:hint="default" w:ascii="Times New Roman" w:hAnsi="Times New Roman" w:eastAsia="宋体" w:cs="Times New Roman"/>
                <w:color w:val="auto"/>
                <w:sz w:val="24"/>
                <w:szCs w:val="24"/>
                <w:highlight w:val="none"/>
              </w:rPr>
              <w:t>体乳及乳制品生产日工作18小时，制瓶厂日工作24小时，管理人员为日班工作制，每班8小时</w:t>
            </w:r>
            <w:r>
              <w:rPr>
                <w:rFonts w:ascii="Times New Roman" w:hAnsi="Times New Roman"/>
              </w:rPr>
              <w:t>。</w:t>
            </w:r>
          </w:p>
          <w:p>
            <w:pPr>
              <w:keepNext w:val="0"/>
              <w:keepLines w:val="0"/>
              <w:pageBreakBefore w:val="0"/>
              <w:kinsoku/>
              <w:wordWrap/>
              <w:overflowPunct/>
              <w:topLinePunct w:val="0"/>
              <w:autoSpaceDE/>
              <w:autoSpaceDN/>
              <w:bidi w:val="0"/>
              <w:adjustRightInd/>
              <w:snapToGrid/>
              <w:spacing w:line="360" w:lineRule="auto"/>
              <w:ind w:firstLine="480" w:firstLineChars="200"/>
              <w:contextualSpacing/>
              <w:rPr>
                <w:sz w:val="24"/>
                <w:szCs w:val="24"/>
              </w:rPr>
            </w:pPr>
            <w:r>
              <w:rPr>
                <w:rFonts w:hint="eastAsia"/>
                <w:sz w:val="24"/>
                <w:szCs w:val="24"/>
              </w:rPr>
              <w:t>主要建设</w:t>
            </w:r>
            <w:r>
              <w:rPr>
                <w:sz w:val="24"/>
                <w:szCs w:val="24"/>
              </w:rPr>
              <w:t>内容：</w:t>
            </w:r>
            <w:r>
              <w:rPr>
                <w:rFonts w:hint="eastAsia"/>
                <w:sz w:val="24"/>
                <w:szCs w:val="24"/>
              </w:rPr>
              <w:t>本</w:t>
            </w:r>
            <w:r>
              <w:rPr>
                <w:sz w:val="24"/>
                <w:szCs w:val="24"/>
              </w:rPr>
              <w:t>技改项目</w:t>
            </w:r>
            <w:r>
              <w:rPr>
                <w:rFonts w:hint="eastAsia" w:ascii="Times New Roman" w:hAnsi="Times New Roman"/>
                <w:color w:val="auto"/>
                <w:sz w:val="24"/>
                <w:lang w:eastAsia="zh-CN"/>
              </w:rPr>
              <w:t>通过对厂区两套</w:t>
            </w:r>
            <w:r>
              <w:rPr>
                <w:rFonts w:hint="eastAsia" w:ascii="Times New Roman" w:hAnsi="Times New Roman"/>
                <w:color w:val="auto"/>
                <w:sz w:val="24"/>
                <w:lang w:val="en-US" w:eastAsia="zh-CN"/>
              </w:rPr>
              <w:t>1250m</w:t>
            </w:r>
            <w:r>
              <w:rPr>
                <w:rFonts w:hint="eastAsia" w:ascii="Times New Roman" w:hAnsi="Times New Roman"/>
                <w:color w:val="auto"/>
                <w:sz w:val="24"/>
                <w:vertAlign w:val="superscript"/>
                <w:lang w:val="en-US" w:eastAsia="zh-CN"/>
              </w:rPr>
              <w:t>3</w:t>
            </w:r>
            <w:r>
              <w:rPr>
                <w:rFonts w:hint="eastAsia" w:ascii="Times New Roman" w:hAnsi="Times New Roman"/>
                <w:color w:val="auto"/>
                <w:sz w:val="24"/>
                <w:lang w:val="en-US" w:eastAsia="zh-CN"/>
              </w:rPr>
              <w:t>/d处理规模的污水处理站通过采用加强硝化液回流降低总氮及增加除磷单元降低总磷的方式</w:t>
            </w:r>
            <w:r>
              <w:rPr>
                <w:rFonts w:hint="eastAsia" w:ascii="Times New Roman" w:hAnsi="Times New Roman"/>
                <w:color w:val="0000FF"/>
                <w:sz w:val="24"/>
                <w:lang w:val="en-US" w:eastAsia="zh-CN"/>
              </w:rPr>
              <w:t>，</w:t>
            </w:r>
            <w:r>
              <w:rPr>
                <w:rFonts w:hint="eastAsia" w:ascii="Times New Roman" w:hAnsi="Times New Roman"/>
                <w:color w:val="auto"/>
                <w:sz w:val="24"/>
                <w:lang w:val="en-US" w:eastAsia="zh-CN"/>
              </w:rPr>
              <w:t>对其进行提标改造</w:t>
            </w:r>
            <w:r>
              <w:rPr>
                <w:rFonts w:hint="eastAsia"/>
                <w:color w:val="auto"/>
                <w:sz w:val="24"/>
                <w:lang w:val="en-US" w:eastAsia="zh-CN"/>
              </w:rPr>
              <w:t>。</w:t>
            </w:r>
            <w:r>
              <w:rPr>
                <w:rFonts w:hint="eastAsia"/>
                <w:sz w:val="24"/>
                <w:szCs w:val="24"/>
                <w:lang w:eastAsia="zh-CN"/>
              </w:rPr>
              <w:t>其他内容不发生变化</w:t>
            </w:r>
            <w:r>
              <w:rPr>
                <w:rFonts w:hint="eastAsia"/>
                <w:sz w:val="24"/>
                <w:szCs w:val="24"/>
              </w:rPr>
              <w:t>，</w:t>
            </w:r>
            <w:r>
              <w:rPr>
                <w:rFonts w:hint="eastAsia"/>
                <w:sz w:val="24"/>
                <w:szCs w:val="24"/>
                <w:lang w:eastAsia="zh-CN"/>
              </w:rPr>
              <w:t>项目</w:t>
            </w:r>
            <w:r>
              <w:rPr>
                <w:rFonts w:hint="eastAsia"/>
                <w:sz w:val="24"/>
                <w:szCs w:val="24"/>
              </w:rPr>
              <w:t>不</w:t>
            </w:r>
            <w:r>
              <w:rPr>
                <w:sz w:val="24"/>
                <w:szCs w:val="24"/>
              </w:rPr>
              <w:t>新增占地，</w:t>
            </w:r>
            <w:r>
              <w:rPr>
                <w:rFonts w:hint="eastAsia"/>
                <w:sz w:val="24"/>
                <w:szCs w:val="24"/>
                <w:lang w:val="en-US" w:eastAsia="zh-CN"/>
              </w:rPr>
              <w:t>产品种类及产能均不发生变化</w:t>
            </w:r>
            <w:r>
              <w:rPr>
                <w:rFonts w:hint="eastAsia"/>
                <w:sz w:val="24"/>
                <w:szCs w:val="24"/>
              </w:rPr>
              <w:t>。</w:t>
            </w:r>
          </w:p>
          <w:p>
            <w:pPr>
              <w:keepNext w:val="0"/>
              <w:keepLines w:val="0"/>
              <w:pageBreakBefore w:val="0"/>
              <w:kinsoku/>
              <w:wordWrap/>
              <w:overflowPunct/>
              <w:topLinePunct w:val="0"/>
              <w:autoSpaceDE/>
              <w:autoSpaceDN/>
              <w:bidi w:val="0"/>
              <w:adjustRightInd/>
              <w:snapToGrid/>
              <w:spacing w:line="360" w:lineRule="auto"/>
              <w:ind w:firstLine="480" w:firstLineChars="200"/>
              <w:contextualSpacing/>
              <w:rPr>
                <w:rFonts w:hint="eastAsia" w:eastAsia="宋体"/>
                <w:sz w:val="24"/>
                <w:szCs w:val="24"/>
                <w:lang w:eastAsia="zh-CN"/>
              </w:rPr>
            </w:pPr>
            <w:r>
              <w:rPr>
                <w:rFonts w:hint="eastAsia"/>
                <w:sz w:val="24"/>
                <w:szCs w:val="24"/>
                <w:lang w:val="en-US" w:eastAsia="zh-CN"/>
              </w:rPr>
              <w:t>主要技改内容如下：</w:t>
            </w:r>
            <w:r>
              <w:rPr>
                <w:rFonts w:hint="eastAsia"/>
                <w:sz w:val="24"/>
                <w:szCs w:val="24"/>
                <w:lang w:val="en-US" w:eastAsia="zh-CN"/>
              </w:rPr>
              <w:fldChar w:fldCharType="begin"/>
            </w:r>
            <w:r>
              <w:rPr>
                <w:rFonts w:hint="eastAsia"/>
                <w:sz w:val="24"/>
                <w:szCs w:val="24"/>
                <w:lang w:val="en-US" w:eastAsia="zh-CN"/>
              </w:rPr>
              <w:instrText xml:space="preserve"> = 1 \* GB3 \* MERGEFORMAT </w:instrText>
            </w:r>
            <w:r>
              <w:rPr>
                <w:rFonts w:hint="eastAsia"/>
                <w:sz w:val="24"/>
                <w:szCs w:val="24"/>
                <w:lang w:val="en-US" w:eastAsia="zh-CN"/>
              </w:rPr>
              <w:fldChar w:fldCharType="separate"/>
            </w:r>
            <w:r>
              <w:rPr>
                <w:rFonts w:hint="eastAsia"/>
                <w:sz w:val="24"/>
                <w:szCs w:val="24"/>
              </w:rPr>
              <w:t>①</w:t>
            </w:r>
            <w:r>
              <w:rPr>
                <w:rFonts w:hint="eastAsia"/>
                <w:sz w:val="24"/>
                <w:szCs w:val="24"/>
                <w:lang w:val="en-US" w:eastAsia="zh-CN"/>
              </w:rPr>
              <w:fldChar w:fldCharType="end"/>
            </w:r>
            <w:r>
              <w:rPr>
                <w:rFonts w:hint="eastAsia"/>
                <w:sz w:val="24"/>
                <w:szCs w:val="24"/>
              </w:rPr>
              <w:t>调节池增设PH调节加药装置（酸和碱加药装置各1套）；调节池和水解酸化池内各设2套PH在线检测仪；调节池内增设两台潜水搅拌机，配合原曝气搅拌装置，使原水进行充分混合搅拌均匀，防止沉积；通过PH在线检测仪检测值控制酸碱加药泵的启停，加药期间潜水搅拌机和曝气装置同时开启；</w:t>
            </w:r>
            <w:r>
              <w:rPr>
                <w:rFonts w:hint="eastAsia"/>
                <w:sz w:val="24"/>
                <w:szCs w:val="24"/>
              </w:rPr>
              <w:fldChar w:fldCharType="begin"/>
            </w:r>
            <w:r>
              <w:rPr>
                <w:rFonts w:hint="eastAsia"/>
                <w:sz w:val="24"/>
                <w:szCs w:val="24"/>
              </w:rPr>
              <w:instrText xml:space="preserve"> = 2 \* GB3 \* MERGEFORMAT </w:instrText>
            </w:r>
            <w:r>
              <w:rPr>
                <w:rFonts w:hint="eastAsia"/>
                <w:sz w:val="24"/>
                <w:szCs w:val="24"/>
              </w:rPr>
              <w:fldChar w:fldCharType="separate"/>
            </w:r>
            <w:r>
              <w:rPr>
                <w:rFonts w:hint="eastAsia"/>
                <w:sz w:val="24"/>
                <w:szCs w:val="24"/>
              </w:rPr>
              <w:t>②</w:t>
            </w:r>
            <w:r>
              <w:rPr>
                <w:rFonts w:hint="eastAsia"/>
                <w:sz w:val="24"/>
                <w:szCs w:val="24"/>
              </w:rPr>
              <w:fldChar w:fldCharType="end"/>
            </w:r>
            <w:r>
              <w:rPr>
                <w:rFonts w:hint="eastAsia"/>
                <w:sz w:val="24"/>
                <w:szCs w:val="24"/>
              </w:rPr>
              <w:t>好氧池增设2台在线DO检测溶氧仪，与风机变频联动控制；</w:t>
            </w:r>
            <w:r>
              <w:rPr>
                <w:rFonts w:hint="eastAsia"/>
                <w:sz w:val="24"/>
                <w:szCs w:val="24"/>
              </w:rPr>
              <w:fldChar w:fldCharType="begin"/>
            </w:r>
            <w:r>
              <w:rPr>
                <w:rFonts w:hint="eastAsia"/>
                <w:sz w:val="24"/>
                <w:szCs w:val="24"/>
              </w:rPr>
              <w:instrText xml:space="preserve"> = 3 \* GB3 \* MERGEFORMAT </w:instrText>
            </w:r>
            <w:r>
              <w:rPr>
                <w:rFonts w:hint="eastAsia"/>
                <w:sz w:val="24"/>
                <w:szCs w:val="24"/>
              </w:rPr>
              <w:fldChar w:fldCharType="separate"/>
            </w:r>
            <w:r>
              <w:rPr>
                <w:rFonts w:hint="eastAsia"/>
                <w:sz w:val="24"/>
                <w:szCs w:val="24"/>
              </w:rPr>
              <w:t>③</w:t>
            </w:r>
            <w:r>
              <w:rPr>
                <w:rFonts w:hint="eastAsia"/>
                <w:sz w:val="24"/>
                <w:szCs w:val="24"/>
              </w:rPr>
              <w:fldChar w:fldCharType="end"/>
            </w:r>
            <w:r>
              <w:rPr>
                <w:rFonts w:hint="eastAsia"/>
                <w:sz w:val="24"/>
                <w:szCs w:val="24"/>
              </w:rPr>
              <w:t>增设好氧池硝化液回流泵，更有效的起到脱氮功能；</w:t>
            </w:r>
            <w:r>
              <w:rPr>
                <w:rFonts w:hint="eastAsia"/>
                <w:sz w:val="24"/>
                <w:szCs w:val="24"/>
              </w:rPr>
              <w:fldChar w:fldCharType="begin"/>
            </w:r>
            <w:r>
              <w:rPr>
                <w:rFonts w:hint="eastAsia"/>
                <w:sz w:val="24"/>
                <w:szCs w:val="24"/>
              </w:rPr>
              <w:instrText xml:space="preserve"> = 4 \* GB3 \* MERGEFORMAT </w:instrText>
            </w:r>
            <w:r>
              <w:rPr>
                <w:rFonts w:hint="eastAsia"/>
                <w:sz w:val="24"/>
                <w:szCs w:val="24"/>
              </w:rPr>
              <w:fldChar w:fldCharType="separate"/>
            </w:r>
            <w:r>
              <w:rPr>
                <w:rFonts w:hint="eastAsia"/>
                <w:sz w:val="24"/>
                <w:szCs w:val="24"/>
              </w:rPr>
              <w:t>④</w:t>
            </w:r>
            <w:r>
              <w:rPr>
                <w:rFonts w:hint="eastAsia"/>
                <w:sz w:val="24"/>
                <w:szCs w:val="24"/>
              </w:rPr>
              <w:fldChar w:fldCharType="end"/>
            </w:r>
            <w:r>
              <w:rPr>
                <w:rFonts w:hint="eastAsia"/>
                <w:sz w:val="24"/>
                <w:szCs w:val="24"/>
              </w:rPr>
              <w:t>原污水处理系统末端增设一套除磷气浮装置，配套增设提升泵、除磷加药装置、PAM-加药装置、粉末C加药装置</w:t>
            </w:r>
            <w:r>
              <w:rPr>
                <w:rFonts w:hint="eastAsia"/>
                <w:sz w:val="24"/>
                <w:szCs w:val="24"/>
                <w:lang w:eastAsia="zh-CN"/>
              </w:rPr>
              <w:t>。</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 xml:space="preserve"> (2)项目选址</w:t>
            </w:r>
          </w:p>
          <w:p>
            <w:pPr>
              <w:spacing w:line="360" w:lineRule="auto"/>
              <w:ind w:firstLine="480" w:firstLineChars="200"/>
              <w:contextualSpacing/>
              <w:rPr>
                <w:sz w:val="24"/>
              </w:rPr>
            </w:pPr>
            <w:r>
              <w:rPr>
                <w:rFonts w:hint="eastAsia"/>
                <w:kern w:val="0"/>
                <w:sz w:val="24"/>
                <w:szCs w:val="24"/>
              </w:rPr>
              <w:t>技改</w:t>
            </w:r>
            <w:r>
              <w:rPr>
                <w:kern w:val="0"/>
                <w:sz w:val="24"/>
                <w:szCs w:val="24"/>
              </w:rPr>
              <w:t>项目位于</w:t>
            </w:r>
            <w:r>
              <w:rPr>
                <w:rFonts w:hint="default" w:ascii="Times New Roman" w:hAnsi="Times New Roman" w:eastAsia="宋体" w:cs="Times New Roman"/>
                <w:color w:val="auto"/>
                <w:sz w:val="24"/>
                <w:szCs w:val="24"/>
                <w:lang w:eastAsia="zh-CN"/>
              </w:rPr>
              <w:t>河北省邢台市威县乳业园区迎宾大道6号，威县乐牛乳业有限公司厂内</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highlight w:val="none"/>
              </w:rPr>
              <w:t>厂址中心坐标</w:t>
            </w:r>
            <w:r>
              <w:rPr>
                <w:rFonts w:hint="default" w:ascii="Times New Roman" w:hAnsi="Times New Roman" w:eastAsia="宋体" w:cs="Times New Roman"/>
                <w:color w:val="auto"/>
                <w:sz w:val="24"/>
                <w:szCs w:val="24"/>
              </w:rPr>
              <w:t>为北纬37°</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46.92</w:t>
            </w:r>
            <w:r>
              <w:rPr>
                <w:rFonts w:hint="default" w:ascii="Times New Roman" w:hAnsi="Times New Roman" w:eastAsia="宋体" w:cs="Times New Roman"/>
                <w:color w:val="auto"/>
                <w:sz w:val="24"/>
                <w:szCs w:val="24"/>
              </w:rPr>
              <w:t>″、东经11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59.03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技改</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szCs w:val="24"/>
                <w:highlight w:val="none"/>
              </w:rPr>
              <w:t>南侧为</w:t>
            </w:r>
            <w:r>
              <w:rPr>
                <w:rFonts w:hint="default" w:ascii="Times New Roman" w:hAnsi="Times New Roman" w:eastAsia="宋体" w:cs="Times New Roman"/>
                <w:color w:val="auto"/>
                <w:sz w:val="24"/>
                <w:szCs w:val="24"/>
                <w:highlight w:val="none"/>
                <w:lang w:eastAsia="zh-CN"/>
              </w:rPr>
              <w:t>企业车间、东侧为企业闲置空地，西侧、北侧均为空地</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highlight w:val="none"/>
                <w:lang w:eastAsia="zh-CN"/>
              </w:rPr>
              <w:t>项目所在地西南</w:t>
            </w:r>
            <w:r>
              <w:rPr>
                <w:rFonts w:hint="default" w:ascii="Times New Roman" w:hAnsi="Times New Roman" w:eastAsia="宋体" w:cs="Times New Roman"/>
                <w:bCs/>
                <w:color w:val="auto"/>
                <w:sz w:val="24"/>
                <w:highlight w:val="none"/>
                <w:lang w:val="en-US" w:eastAsia="zh-CN"/>
              </w:rPr>
              <w:t>1560m处为后南寺庄村，西南1470m处为中南寺庄村，西南1510m处为前南寺庄村，东南1700m处为关吴村，东南1990m处为国吴村，东1900m处为薛吴村，北710m处为前寺庄村，北780m处为西寺庄村，北1090m处为东寺庄村，北1250m处为北寺庄村</w:t>
            </w:r>
            <w:r>
              <w:rPr>
                <w:snapToGrid w:val="0"/>
                <w:kern w:val="0"/>
                <w:sz w:val="24"/>
              </w:rPr>
              <w:t>。</w:t>
            </w:r>
            <w:r>
              <w:rPr>
                <w:sz w:val="24"/>
              </w:rPr>
              <w:t>项目地理位置见附图1，项目周边环境关系见附图2。</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 xml:space="preserve"> (3)项目衔接</w:t>
            </w:r>
          </w:p>
          <w:p>
            <w:pPr>
              <w:pStyle w:val="43"/>
              <w:spacing w:before="0" w:beforeAutospacing="0" w:after="0" w:afterAutospacing="0" w:line="360" w:lineRule="auto"/>
              <w:ind w:firstLine="480" w:firstLineChars="200"/>
              <w:jc w:val="both"/>
            </w:pPr>
            <w:r>
              <w:rPr>
                <w:rFonts w:hint="eastAsia" w:ascii="Times New Roman" w:hAnsi="Times New Roman"/>
                <w:bCs/>
                <w:color w:val="000000"/>
                <w:szCs w:val="20"/>
                <w:lang w:val="en-US" w:eastAsia="zh-CN"/>
              </w:rPr>
              <w:t>技改</w:t>
            </w:r>
            <w:r>
              <w:rPr>
                <w:rFonts w:ascii="Times New Roman" w:hAnsi="Times New Roman"/>
                <w:bCs/>
                <w:color w:val="000000"/>
                <w:szCs w:val="20"/>
              </w:rPr>
              <w:t>项目用水</w:t>
            </w:r>
            <w:r>
              <w:rPr>
                <w:rFonts w:hint="eastAsia" w:ascii="Times New Roman" w:hAnsi="Times New Roman"/>
                <w:bCs/>
                <w:color w:val="000000"/>
                <w:szCs w:val="20"/>
                <w:lang w:eastAsia="zh-CN"/>
              </w:rPr>
              <w:t>、</w:t>
            </w:r>
            <w:r>
              <w:rPr>
                <w:rFonts w:hint="eastAsia" w:ascii="Times New Roman" w:hAnsi="Times New Roman"/>
                <w:bCs/>
                <w:color w:val="000000"/>
                <w:szCs w:val="20"/>
                <w:lang w:val="en-US" w:eastAsia="zh-CN"/>
              </w:rPr>
              <w:t>电均依托现有工程</w:t>
            </w:r>
            <w:r>
              <w:rPr>
                <w:rFonts w:hint="eastAsia"/>
              </w:rPr>
              <w:t>。</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2、环境质量现状调查</w:t>
            </w:r>
            <w:bookmarkStart w:id="1" w:name="_GoBack"/>
            <w:bookmarkEnd w:id="1"/>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(1)环境质量现状</w:t>
            </w:r>
          </w:p>
          <w:p>
            <w:pPr>
              <w:spacing w:line="360" w:lineRule="auto"/>
              <w:ind w:firstLine="480" w:firstLineChars="200"/>
              <w:rPr>
                <w:sz w:val="24"/>
                <w:szCs w:val="24"/>
              </w:rPr>
            </w:pPr>
            <w:r>
              <w:rPr>
                <w:rFonts w:hint="eastAsia"/>
                <w:sz w:val="24"/>
                <w:szCs w:val="24"/>
              </w:rPr>
              <w:t>项目所在区域</w:t>
            </w:r>
            <w:r>
              <w:rPr>
                <w:sz w:val="24"/>
                <w:szCs w:val="24"/>
              </w:rPr>
              <w:t>NO</w:t>
            </w:r>
            <w:r>
              <w:rPr>
                <w:sz w:val="24"/>
                <w:szCs w:val="24"/>
                <w:vertAlign w:val="subscript"/>
              </w:rPr>
              <w:t>2</w:t>
            </w:r>
            <w:r>
              <w:rPr>
                <w:rFonts w:hint="eastAsia"/>
                <w:sz w:val="24"/>
                <w:szCs w:val="24"/>
              </w:rPr>
              <w:t>、</w:t>
            </w:r>
            <w:r>
              <w:rPr>
                <w:sz w:val="24"/>
                <w:szCs w:val="24"/>
              </w:rPr>
              <w:t>PM</w:t>
            </w:r>
            <w:r>
              <w:rPr>
                <w:sz w:val="24"/>
                <w:szCs w:val="24"/>
                <w:vertAlign w:val="subscript"/>
              </w:rPr>
              <w:t>10</w:t>
            </w:r>
            <w:r>
              <w:rPr>
                <w:rFonts w:hint="eastAsia"/>
                <w:sz w:val="24"/>
                <w:szCs w:val="24"/>
              </w:rPr>
              <w:t>、</w:t>
            </w:r>
            <w:r>
              <w:rPr>
                <w:sz w:val="24"/>
                <w:szCs w:val="24"/>
              </w:rPr>
              <w:t>PM</w:t>
            </w:r>
            <w:r>
              <w:rPr>
                <w:sz w:val="24"/>
                <w:szCs w:val="24"/>
                <w:vertAlign w:val="subscript"/>
              </w:rPr>
              <w:t>2.5</w:t>
            </w:r>
            <w:r>
              <w:rPr>
                <w:rFonts w:hint="eastAsia"/>
                <w:sz w:val="24"/>
                <w:szCs w:val="24"/>
              </w:rPr>
              <w:t>年均值均超过《环境空气质量标准》（</w:t>
            </w:r>
            <w:r>
              <w:rPr>
                <w:sz w:val="24"/>
                <w:szCs w:val="24"/>
              </w:rPr>
              <w:t>GB3095-2012</w:t>
            </w:r>
            <w:r>
              <w:rPr>
                <w:rFonts w:hint="eastAsia"/>
                <w:sz w:val="24"/>
                <w:szCs w:val="24"/>
              </w:rPr>
              <w:t>）及其</w:t>
            </w:r>
            <w:r>
              <w:rPr>
                <w:sz w:val="24"/>
                <w:szCs w:val="24"/>
              </w:rPr>
              <w:t>修改单</w:t>
            </w:r>
            <w:r>
              <w:rPr>
                <w:rFonts w:hint="eastAsia"/>
                <w:sz w:val="24"/>
                <w:szCs w:val="24"/>
              </w:rPr>
              <w:t>二级标准要求，项目所在区域为不达标区。随着《河北省打赢蓝天保卫战三年行动方案》、《邢台市打赢蓝天保卫战三年作战计划》等方案的实施，区域环境空气质量将得到逐步改善。</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声环境四周厂界满足《声环境质量标准》(GB3096-2008)2类区标准。</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地下水满足《地下水环境质量标准》（GB/T14848-2017）</w:t>
            </w:r>
            <w:r>
              <w:rPr>
                <w:rFonts w:hint="eastAsia" w:cs="宋体"/>
                <w:bCs/>
                <w:color w:val="000000"/>
                <w:szCs w:val="20"/>
              </w:rPr>
              <w:t>Ⅲ</w:t>
            </w:r>
            <w:r>
              <w:rPr>
                <w:rFonts w:ascii="Times New Roman" w:hAnsi="Times New Roman"/>
                <w:bCs/>
                <w:color w:val="000000"/>
                <w:szCs w:val="20"/>
              </w:rPr>
              <w:t>类标准。</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 xml:space="preserve"> (2)评价区域内无自然保护区、文物、景观及其它环境敏感点。根据项目性质及周围环境特征，将周围居民点作为声环境保护目标。</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3、采取环保措施的可行性</w:t>
            </w:r>
          </w:p>
          <w:p>
            <w:pPr>
              <w:pStyle w:val="43"/>
              <w:spacing w:before="0" w:beforeAutospacing="0" w:after="0" w:afterAutospacing="0" w:line="360" w:lineRule="auto"/>
              <w:ind w:firstLine="480" w:firstLineChars="200"/>
              <w:jc w:val="both"/>
              <w:rPr>
                <w:rFonts w:ascii="Times New Roman" w:hAnsi="Times New Roman"/>
                <w:bCs/>
                <w:color w:val="000000"/>
              </w:rPr>
            </w:pPr>
            <w:r>
              <w:rPr>
                <w:rFonts w:ascii="Times New Roman" w:hAnsi="Times New Roman"/>
                <w:bCs/>
                <w:color w:val="000000"/>
              </w:rPr>
              <w:t>(1)项目选址可行性</w:t>
            </w:r>
          </w:p>
          <w:p>
            <w:pPr>
              <w:spacing w:line="360" w:lineRule="auto"/>
              <w:ind w:firstLine="472" w:firstLineChars="200"/>
              <w:contextualSpacing/>
              <w:rPr>
                <w:bCs/>
                <w:spacing w:val="-2"/>
                <w:sz w:val="24"/>
                <w:szCs w:val="24"/>
              </w:rPr>
            </w:pPr>
            <w:r>
              <w:rPr>
                <w:rFonts w:hint="eastAsia"/>
                <w:bCs/>
                <w:spacing w:val="-2"/>
                <w:sz w:val="24"/>
                <w:szCs w:val="24"/>
              </w:rPr>
              <w:t>本项目</w:t>
            </w:r>
            <w:r>
              <w:rPr>
                <w:bCs/>
                <w:spacing w:val="-2"/>
                <w:sz w:val="24"/>
                <w:szCs w:val="24"/>
              </w:rPr>
              <w:t>为技改</w:t>
            </w:r>
            <w:r>
              <w:rPr>
                <w:rFonts w:hint="eastAsia"/>
                <w:bCs/>
                <w:spacing w:val="-2"/>
                <w:sz w:val="24"/>
                <w:szCs w:val="24"/>
              </w:rPr>
              <w:t>项目</w:t>
            </w:r>
            <w:r>
              <w:rPr>
                <w:bCs/>
                <w:spacing w:val="-2"/>
                <w:sz w:val="24"/>
                <w:szCs w:val="24"/>
              </w:rPr>
              <w:t>，在现有厂区内进行技术改造</w:t>
            </w:r>
            <w:r>
              <w:rPr>
                <w:rFonts w:hint="eastAsia"/>
                <w:bCs/>
                <w:spacing w:val="-2"/>
                <w:sz w:val="24"/>
                <w:szCs w:val="24"/>
              </w:rPr>
              <w:t>，位于</w:t>
            </w:r>
            <w:r>
              <w:rPr>
                <w:rFonts w:hint="eastAsia"/>
                <w:bCs/>
                <w:sz w:val="24"/>
                <w:szCs w:val="24"/>
                <w:lang w:eastAsia="zh-CN"/>
              </w:rPr>
              <w:t>邢台市威县洺州镇三多大街中段东侧，威县乐牛乳业有限公司厂区内</w:t>
            </w:r>
            <w:r>
              <w:rPr>
                <w:rFonts w:hint="eastAsia"/>
                <w:bCs/>
                <w:spacing w:val="-2"/>
                <w:sz w:val="24"/>
                <w:szCs w:val="24"/>
              </w:rPr>
              <w:t>。</w:t>
            </w:r>
            <w:r>
              <w:rPr>
                <w:rFonts w:hint="eastAsia"/>
                <w:snapToGrid w:val="0"/>
                <w:kern w:val="0"/>
                <w:sz w:val="24"/>
              </w:rPr>
              <w:t>厂址</w:t>
            </w:r>
            <w:r>
              <w:rPr>
                <w:snapToGrid w:val="0"/>
                <w:kern w:val="0"/>
                <w:sz w:val="24"/>
              </w:rPr>
              <w:t>附近没有文物古迹、自然景观等敏感环境目标。</w:t>
            </w:r>
            <w:r>
              <w:rPr>
                <w:rFonts w:hint="eastAsia"/>
                <w:snapToGrid w:val="0"/>
                <w:kern w:val="0"/>
                <w:sz w:val="24"/>
              </w:rPr>
              <w:t>因此</w:t>
            </w:r>
            <w:r>
              <w:rPr>
                <w:snapToGrid w:val="0"/>
                <w:kern w:val="0"/>
                <w:sz w:val="24"/>
              </w:rPr>
              <w:t>，本项目选址可行。</w:t>
            </w:r>
          </w:p>
          <w:p>
            <w:pPr>
              <w:pStyle w:val="43"/>
              <w:spacing w:before="0" w:beforeAutospacing="0" w:after="0" w:afterAutospacing="0" w:line="360" w:lineRule="auto"/>
              <w:ind w:firstLine="480" w:firstLineChars="200"/>
              <w:jc w:val="both"/>
              <w:rPr>
                <w:rFonts w:ascii="Times New Roman" w:hAnsi="Times New Roman"/>
                <w:bCs/>
                <w:color w:val="000000"/>
              </w:rPr>
            </w:pPr>
            <w:r>
              <w:rPr>
                <w:rFonts w:ascii="Times New Roman" w:hAnsi="Times New Roman"/>
                <w:bCs/>
                <w:color w:val="000000"/>
              </w:rPr>
              <w:t xml:space="preserve"> (2)环保措施的可行性</w:t>
            </w:r>
          </w:p>
          <w:p>
            <w:pPr>
              <w:spacing w:line="360" w:lineRule="auto"/>
              <w:ind w:firstLine="480" w:firstLineChars="200"/>
              <w:jc w:val="left"/>
              <w:rPr>
                <w:bCs/>
                <w:sz w:val="24"/>
                <w:szCs w:val="24"/>
              </w:rPr>
            </w:pPr>
            <w:r>
              <w:rPr>
                <w:rFonts w:hint="eastAsia" w:ascii="宋体" w:hAnsi="宋体" w:cs="宋体"/>
                <w:bCs/>
                <w:sz w:val="24"/>
                <w:szCs w:val="24"/>
              </w:rPr>
              <w:t>①</w:t>
            </w:r>
            <w:r>
              <w:rPr>
                <w:bCs/>
                <w:sz w:val="24"/>
                <w:szCs w:val="24"/>
              </w:rPr>
              <w:t>废气治理措施</w:t>
            </w:r>
          </w:p>
          <w:p>
            <w:pPr>
              <w:spacing w:line="360" w:lineRule="auto"/>
              <w:ind w:firstLine="480" w:firstLineChars="200"/>
              <w:rPr>
                <w:bCs/>
                <w:sz w:val="24"/>
                <w:szCs w:val="24"/>
              </w:rPr>
            </w:pPr>
            <w:r>
              <w:rPr>
                <w:sz w:val="24"/>
                <w:szCs w:val="24"/>
              </w:rPr>
              <w:t>本项目产生的废气为</w:t>
            </w:r>
            <w:r>
              <w:rPr>
                <w:bCs/>
                <w:sz w:val="24"/>
                <w:szCs w:val="24"/>
              </w:rPr>
              <w:t>包括有组织废气及无组织废气</w:t>
            </w:r>
            <w:r>
              <w:rPr>
                <w:rFonts w:hint="eastAsia"/>
                <w:bCs/>
                <w:sz w:val="24"/>
                <w:szCs w:val="24"/>
              </w:rPr>
              <w:t>，</w:t>
            </w:r>
            <w:r>
              <w:rPr>
                <w:bCs/>
                <w:sz w:val="24"/>
                <w:szCs w:val="24"/>
              </w:rPr>
              <w:t>有组织废气为：</w:t>
            </w:r>
            <w:r>
              <w:rPr>
                <w:rFonts w:hint="eastAsia"/>
                <w:bCs/>
                <w:sz w:val="24"/>
                <w:szCs w:val="24"/>
                <w:lang w:val="en-US" w:eastAsia="zh-CN"/>
              </w:rPr>
              <w:t>污水处理各单元</w:t>
            </w:r>
            <w:r>
              <w:rPr>
                <w:bCs/>
                <w:sz w:val="24"/>
                <w:szCs w:val="24"/>
              </w:rPr>
              <w:t>恶臭（P1）。无组织废气为污水厂散发的恶臭。</w:t>
            </w:r>
          </w:p>
          <w:p>
            <w:pPr>
              <w:spacing w:line="360" w:lineRule="auto"/>
              <w:ind w:firstLine="480" w:firstLineChars="200"/>
              <w:rPr>
                <w:sz w:val="24"/>
                <w:szCs w:val="24"/>
              </w:rPr>
            </w:pPr>
            <w:r>
              <w:rPr>
                <w:rFonts w:hint="eastAsia"/>
                <w:bCs/>
                <w:sz w:val="24"/>
                <w:szCs w:val="24"/>
                <w:lang w:val="en-US" w:eastAsia="zh-CN"/>
              </w:rPr>
              <w:t>污水处理各单元</w:t>
            </w:r>
            <w:r>
              <w:rPr>
                <w:bCs/>
                <w:sz w:val="24"/>
                <w:szCs w:val="24"/>
              </w:rPr>
              <w:t>恶臭</w:t>
            </w:r>
            <w:r>
              <w:rPr>
                <w:rFonts w:hint="eastAsia"/>
                <w:bCs/>
                <w:sz w:val="24"/>
                <w:szCs w:val="24"/>
              </w:rPr>
              <w:t>：</w:t>
            </w:r>
            <w:r>
              <w:rPr>
                <w:sz w:val="24"/>
                <w:szCs w:val="24"/>
              </w:rPr>
              <w:t>污染因子为H</w:t>
            </w:r>
            <w:r>
              <w:rPr>
                <w:sz w:val="24"/>
                <w:szCs w:val="24"/>
                <w:vertAlign w:val="subscript"/>
              </w:rPr>
              <w:t>2</w:t>
            </w:r>
            <w:r>
              <w:rPr>
                <w:sz w:val="24"/>
                <w:szCs w:val="24"/>
              </w:rPr>
              <w:t>S、NH</w:t>
            </w:r>
            <w:r>
              <w:rPr>
                <w:sz w:val="24"/>
                <w:szCs w:val="24"/>
                <w:vertAlign w:val="subscript"/>
              </w:rPr>
              <w:t>3</w:t>
            </w:r>
            <w:r>
              <w:rPr>
                <w:sz w:val="24"/>
                <w:szCs w:val="24"/>
              </w:rPr>
              <w:t>、臭气浓度</w:t>
            </w:r>
            <w:r>
              <w:rPr>
                <w:rFonts w:hint="eastAsia"/>
                <w:sz w:val="24"/>
                <w:szCs w:val="24"/>
              </w:rPr>
              <w:t>，</w:t>
            </w:r>
            <w:r>
              <w:rPr>
                <w:sz w:val="24"/>
                <w:szCs w:val="24"/>
              </w:rPr>
              <w:t>将恶臭气体收集后进入</w:t>
            </w:r>
            <w:r>
              <w:rPr>
                <w:rFonts w:hint="eastAsia"/>
                <w:sz w:val="24"/>
                <w:szCs w:val="24"/>
                <w:lang w:val="en-US" w:eastAsia="zh-CN"/>
              </w:rPr>
              <w:t>生物除臭+光氧设备+活性炭吸附装置（依托现有）</w:t>
            </w:r>
            <w:r>
              <w:rPr>
                <w:sz w:val="24"/>
                <w:szCs w:val="24"/>
              </w:rPr>
              <w:t>处理后，经15m高排气筒排放。H</w:t>
            </w:r>
            <w:r>
              <w:rPr>
                <w:sz w:val="24"/>
                <w:szCs w:val="24"/>
                <w:vertAlign w:val="subscript"/>
              </w:rPr>
              <w:t>2</w:t>
            </w:r>
            <w:r>
              <w:rPr>
                <w:sz w:val="24"/>
                <w:szCs w:val="24"/>
              </w:rPr>
              <w:t>S、NH</w:t>
            </w:r>
            <w:r>
              <w:rPr>
                <w:sz w:val="24"/>
                <w:szCs w:val="24"/>
                <w:vertAlign w:val="subscript"/>
              </w:rPr>
              <w:t>3</w:t>
            </w:r>
            <w:r>
              <w:rPr>
                <w:sz w:val="24"/>
                <w:szCs w:val="24"/>
              </w:rPr>
              <w:t>、臭气浓度满足《恶臭污染物排放标准》（GB14554-93）表2标准</w:t>
            </w:r>
            <w:r>
              <w:rPr>
                <w:rFonts w:hint="eastAsia"/>
                <w:sz w:val="24"/>
                <w:szCs w:val="24"/>
              </w:rPr>
              <w:t>。</w:t>
            </w:r>
          </w:p>
          <w:p>
            <w:pPr>
              <w:spacing w:line="360" w:lineRule="auto"/>
              <w:ind w:firstLine="480" w:firstLineChars="200"/>
              <w:rPr>
                <w:sz w:val="24"/>
                <w:szCs w:val="24"/>
              </w:rPr>
            </w:pPr>
            <w:r>
              <w:rPr>
                <w:rFonts w:hint="eastAsia"/>
                <w:sz w:val="24"/>
                <w:szCs w:val="24"/>
              </w:rPr>
              <w:t>无组织废气:</w:t>
            </w:r>
            <w:r>
              <w:rPr>
                <w:sz w:val="24"/>
                <w:szCs w:val="24"/>
              </w:rPr>
              <w:t>污染因子为H</w:t>
            </w:r>
            <w:r>
              <w:rPr>
                <w:sz w:val="24"/>
                <w:szCs w:val="24"/>
                <w:vertAlign w:val="subscript"/>
              </w:rPr>
              <w:t>2</w:t>
            </w:r>
            <w:r>
              <w:rPr>
                <w:sz w:val="24"/>
                <w:szCs w:val="24"/>
              </w:rPr>
              <w:t>S、NH</w:t>
            </w:r>
            <w:r>
              <w:rPr>
                <w:sz w:val="24"/>
                <w:szCs w:val="24"/>
                <w:vertAlign w:val="subscript"/>
              </w:rPr>
              <w:t>3</w:t>
            </w:r>
            <w:r>
              <w:rPr>
                <w:sz w:val="24"/>
                <w:szCs w:val="24"/>
              </w:rPr>
              <w:t>、臭气浓度</w:t>
            </w:r>
            <w:r>
              <w:rPr>
                <w:rFonts w:hint="eastAsia"/>
                <w:sz w:val="24"/>
                <w:szCs w:val="24"/>
              </w:rPr>
              <w:t>，加强</w:t>
            </w:r>
            <w:r>
              <w:rPr>
                <w:sz w:val="24"/>
                <w:szCs w:val="24"/>
              </w:rPr>
              <w:t>厂区绿化，</w:t>
            </w:r>
            <w:r>
              <w:rPr>
                <w:rFonts w:hint="eastAsia"/>
                <w:sz w:val="24"/>
                <w:szCs w:val="24"/>
              </w:rPr>
              <w:t>厂界</w:t>
            </w:r>
            <w:r>
              <w:rPr>
                <w:sz w:val="24"/>
                <w:szCs w:val="24"/>
              </w:rPr>
              <w:t>无</w:t>
            </w:r>
            <w:r>
              <w:rPr>
                <w:rFonts w:hint="eastAsia"/>
                <w:sz w:val="24"/>
                <w:szCs w:val="24"/>
              </w:rPr>
              <w:t>组织</w:t>
            </w:r>
            <w:r>
              <w:rPr>
                <w:sz w:val="24"/>
                <w:szCs w:val="24"/>
              </w:rPr>
              <w:t>废气中各污染物满足《城镇污水处理厂污染物排放标准》（GB18918-2002）表4厂界（防护带边缘）废气排放最高允许浓度二级</w:t>
            </w:r>
            <w:r>
              <w:rPr>
                <w:rFonts w:hint="eastAsia"/>
                <w:sz w:val="24"/>
                <w:szCs w:val="24"/>
              </w:rPr>
              <w:t>标准限值</w:t>
            </w:r>
            <w:r>
              <w:rPr>
                <w:kern w:val="0"/>
                <w:sz w:val="24"/>
                <w:szCs w:val="24"/>
              </w:rPr>
              <w:t>要求</w:t>
            </w:r>
            <w:r>
              <w:rPr>
                <w:sz w:val="24"/>
                <w:szCs w:val="24"/>
              </w:rPr>
              <w:t>（氨≤1.5mg/m</w:t>
            </w:r>
            <w:r>
              <w:rPr>
                <w:sz w:val="24"/>
                <w:szCs w:val="24"/>
                <w:vertAlign w:val="superscript"/>
              </w:rPr>
              <w:t>3</w:t>
            </w:r>
            <w:r>
              <w:rPr>
                <w:sz w:val="24"/>
                <w:szCs w:val="24"/>
              </w:rPr>
              <w:t>、硫化氢≤0.06mg/m</w:t>
            </w:r>
            <w:r>
              <w:rPr>
                <w:sz w:val="24"/>
                <w:szCs w:val="24"/>
                <w:vertAlign w:val="superscript"/>
              </w:rPr>
              <w:t>3</w:t>
            </w:r>
            <w:r>
              <w:rPr>
                <w:sz w:val="24"/>
                <w:szCs w:val="24"/>
              </w:rPr>
              <w:t>、臭气浓度≤20（无量纲））。</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hint="eastAsia" w:cs="宋体"/>
                <w:bCs/>
                <w:color w:val="000000"/>
                <w:szCs w:val="20"/>
              </w:rPr>
              <w:t>②</w:t>
            </w:r>
            <w:r>
              <w:rPr>
                <w:rFonts w:ascii="Times New Roman" w:hAnsi="Times New Roman"/>
                <w:bCs/>
                <w:color w:val="000000"/>
                <w:szCs w:val="20"/>
              </w:rPr>
              <w:t>废水治理措施</w:t>
            </w:r>
          </w:p>
          <w:p>
            <w:pPr>
              <w:pStyle w:val="43"/>
              <w:spacing w:before="0" w:beforeAutospacing="0" w:after="0" w:afterAutospacing="0" w:line="360" w:lineRule="auto"/>
              <w:ind w:firstLine="480" w:firstLineChars="200"/>
              <w:jc w:val="both"/>
              <w:rPr>
                <w:rFonts w:hint="eastAsia"/>
              </w:rPr>
            </w:pPr>
            <w:r>
              <w:rPr>
                <w:rFonts w:hint="eastAsia" w:ascii="Times New Roman" w:hAnsi="Times New Roman"/>
              </w:rPr>
              <w:t>本技改项目</w:t>
            </w:r>
            <w:r>
              <w:rPr>
                <w:rFonts w:ascii="Times New Roman" w:hAnsi="Times New Roman"/>
              </w:rPr>
              <w:t>污水处理规模</w:t>
            </w:r>
            <w:r>
              <w:rPr>
                <w:rFonts w:hint="eastAsia" w:ascii="Times New Roman" w:hAnsi="Times New Roman"/>
              </w:rPr>
              <w:t>仍</w:t>
            </w:r>
            <w:r>
              <w:rPr>
                <w:rFonts w:ascii="Times New Roman" w:hAnsi="Times New Roman"/>
              </w:rPr>
              <w:t>为</w:t>
            </w:r>
            <w:r>
              <w:rPr>
                <w:rFonts w:hint="eastAsia" w:ascii="Times New Roman" w:hAnsi="Times New Roman"/>
                <w:lang w:val="en-US" w:eastAsia="zh-CN"/>
              </w:rPr>
              <w:t>2500</w:t>
            </w:r>
            <w:r>
              <w:rPr>
                <w:rFonts w:ascii="Times New Roman" w:hAnsi="Times New Roman"/>
              </w:rPr>
              <w:t>m</w:t>
            </w:r>
            <w:r>
              <w:rPr>
                <w:rFonts w:ascii="Times New Roman" w:hAnsi="Times New Roman"/>
                <w:vertAlign w:val="superscript"/>
              </w:rPr>
              <w:t>3</w:t>
            </w:r>
            <w:r>
              <w:rPr>
                <w:rFonts w:ascii="Times New Roman" w:hAnsi="Times New Roman"/>
              </w:rPr>
              <w:t>/d</w:t>
            </w:r>
            <w:r>
              <w:rPr>
                <w:rFonts w:hint="eastAsia" w:ascii="Times New Roman" w:hAnsi="Times New Roman"/>
              </w:rPr>
              <w:t>，</w:t>
            </w:r>
            <w:r>
              <w:rPr>
                <w:rFonts w:ascii="Times New Roman" w:hAnsi="Times New Roman"/>
              </w:rPr>
              <w:t>采用</w:t>
            </w:r>
            <w:r>
              <w:t>“</w:t>
            </w:r>
            <w:r>
              <w:rPr>
                <w:rFonts w:hint="eastAsia"/>
                <w:lang w:eastAsia="zh-CN"/>
              </w:rPr>
              <w:t>预处理+好氧+除磷+粉末C吸附</w:t>
            </w:r>
            <w:r>
              <w:t>”</w:t>
            </w:r>
            <w:r>
              <w:rPr>
                <w:rFonts w:hint="eastAsia"/>
              </w:rPr>
              <w:t>处理工艺，本次技改项目采用加强硝化液回流降低总氮及增加除磷单元降低总磷的方式。</w:t>
            </w:r>
          </w:p>
          <w:p>
            <w:pPr>
              <w:pStyle w:val="95"/>
              <w:jc w:val="both"/>
            </w:pPr>
            <w:r>
              <w:rPr>
                <w:rFonts w:hint="eastAsia"/>
              </w:rPr>
              <w:t>经处理后</w:t>
            </w:r>
            <w:r>
              <w:t>的出水水质为COD≤30mg/L</w:t>
            </w:r>
            <w:r>
              <w:rPr>
                <w:rFonts w:hint="eastAsia"/>
              </w:rPr>
              <w:t>、BOD</w:t>
            </w:r>
            <w:r>
              <w:rPr>
                <w:rFonts w:hint="eastAsia"/>
                <w:vertAlign w:val="subscript"/>
              </w:rPr>
              <w:t>5</w:t>
            </w:r>
            <w:r>
              <w:t>≤6mg/L</w:t>
            </w:r>
            <w:r>
              <w:rPr>
                <w:rFonts w:hint="eastAsia"/>
              </w:rPr>
              <w:t>、SS</w:t>
            </w:r>
            <w:r>
              <w:t>≤5mg/L</w:t>
            </w:r>
            <w:r>
              <w:rPr>
                <w:rFonts w:hint="eastAsia"/>
              </w:rPr>
              <w:t>、NH</w:t>
            </w:r>
            <w:r>
              <w:rPr>
                <w:rFonts w:hint="eastAsia"/>
                <w:vertAlign w:val="subscript"/>
              </w:rPr>
              <w:t>3</w:t>
            </w:r>
            <w:r>
              <w:rPr>
                <w:rFonts w:hint="eastAsia"/>
              </w:rPr>
              <w:t>-N</w:t>
            </w:r>
            <w:r>
              <w:t>≤1.5mg/L</w:t>
            </w:r>
            <w:r>
              <w:rPr>
                <w:rFonts w:hint="eastAsia"/>
              </w:rPr>
              <w:t>、TN</w:t>
            </w:r>
            <w:r>
              <w:t>≤15mg/L</w:t>
            </w:r>
            <w:r>
              <w:rPr>
                <w:rFonts w:hint="eastAsia"/>
              </w:rPr>
              <w:t>、TP</w:t>
            </w:r>
            <w:r>
              <w:t>≤0.3mg/L</w:t>
            </w:r>
            <w:r>
              <w:rPr>
                <w:rFonts w:hint="eastAsia"/>
              </w:rPr>
              <w:t>，</w:t>
            </w:r>
            <w:r>
              <w:t>满足</w:t>
            </w:r>
            <w:r>
              <w:rPr>
                <w:rFonts w:hint="default"/>
                <w:lang w:val="en-US" w:eastAsia="zh-CN"/>
              </w:rPr>
              <w:t>《黑龙港及运东流域水污染物排放标准》（DB13/2797 -2018）表1重点控制区排放限值</w:t>
            </w:r>
            <w:r>
              <w:rPr>
                <w:rFonts w:hint="eastAsia"/>
                <w:szCs w:val="21"/>
              </w:rPr>
              <w:t>，</w:t>
            </w:r>
            <w:r>
              <w:rPr>
                <w:szCs w:val="21"/>
              </w:rPr>
              <w:t>同时满足</w:t>
            </w:r>
            <w:r>
              <w:t>《</w:t>
            </w:r>
            <w:r>
              <w:rPr>
                <w:rFonts w:hint="eastAsia"/>
              </w:rPr>
              <w:t>地表水环境</w:t>
            </w:r>
            <w:r>
              <w:t>质量标准》</w:t>
            </w:r>
            <w:r>
              <w:rPr>
                <w:rFonts w:hint="eastAsia"/>
              </w:rPr>
              <w:t>（GB</w:t>
            </w:r>
            <w:r>
              <w:t>3838-2002</w:t>
            </w:r>
            <w:r>
              <w:rPr>
                <w:rFonts w:hint="eastAsia"/>
              </w:rPr>
              <w:t>）表1中Ⅳ类标准</w:t>
            </w:r>
            <w:r>
              <w:rPr>
                <w:rFonts w:hint="eastAsia"/>
                <w:szCs w:val="21"/>
              </w:rPr>
              <w:t>（除</w:t>
            </w:r>
            <w:r>
              <w:rPr>
                <w:szCs w:val="21"/>
              </w:rPr>
              <w:t>总氮外</w:t>
            </w:r>
            <w:r>
              <w:rPr>
                <w:rFonts w:hint="eastAsia"/>
                <w:szCs w:val="21"/>
              </w:rPr>
              <w:t>）</w:t>
            </w:r>
            <w:r>
              <w:rPr>
                <w:bCs/>
              </w:rPr>
              <w:t>。</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hint="eastAsia" w:cs="宋体"/>
                <w:bCs/>
                <w:color w:val="000000"/>
                <w:szCs w:val="20"/>
              </w:rPr>
              <w:t>③</w:t>
            </w:r>
            <w:r>
              <w:rPr>
                <w:rFonts w:ascii="Times New Roman" w:hAnsi="Times New Roman"/>
                <w:bCs/>
                <w:color w:val="000000"/>
                <w:szCs w:val="20"/>
              </w:rPr>
              <w:t>噪声治理措施</w:t>
            </w:r>
          </w:p>
          <w:p>
            <w:pPr>
              <w:spacing w:line="360" w:lineRule="auto"/>
              <w:ind w:firstLine="480" w:firstLineChars="200"/>
              <w:rPr>
                <w:sz w:val="24"/>
              </w:rPr>
            </w:pPr>
            <w:r>
              <w:rPr>
                <w:bCs/>
                <w:sz w:val="24"/>
                <w:szCs w:val="24"/>
              </w:rPr>
              <w:t>该项目噪声污染源主要为</w:t>
            </w:r>
            <w:r>
              <w:rPr>
                <w:rFonts w:hint="eastAsia"/>
                <w:bCs/>
                <w:sz w:val="24"/>
                <w:szCs w:val="24"/>
              </w:rPr>
              <w:t>各泵类</w:t>
            </w:r>
            <w:r>
              <w:rPr>
                <w:bCs/>
                <w:sz w:val="24"/>
                <w:szCs w:val="24"/>
              </w:rPr>
              <w:t>、风机</w:t>
            </w:r>
            <w:r>
              <w:rPr>
                <w:sz w:val="24"/>
                <w:szCs w:val="24"/>
              </w:rPr>
              <w:t>等设备，噪声源强在65</w:t>
            </w:r>
            <w:r>
              <w:rPr>
                <w:sz w:val="24"/>
                <w:szCs w:val="24"/>
                <w:vertAlign w:val="superscript"/>
              </w:rPr>
              <w:t>~</w:t>
            </w:r>
            <w:r>
              <w:rPr>
                <w:sz w:val="24"/>
                <w:szCs w:val="24"/>
              </w:rPr>
              <w:t>90dB（A）之间，</w:t>
            </w:r>
            <w:r>
              <w:rPr>
                <w:sz w:val="24"/>
              </w:rPr>
              <w:t>项目对各主要噪声设备</w:t>
            </w:r>
            <w:r>
              <w:rPr>
                <w:sz w:val="24"/>
                <w:szCs w:val="24"/>
              </w:rPr>
              <w:t>采取低噪声设备、隔声减振等措施。</w:t>
            </w:r>
            <w:r>
              <w:rPr>
                <w:sz w:val="24"/>
              </w:rPr>
              <w:t>采取上述措施</w:t>
            </w:r>
            <w:r>
              <w:rPr>
                <w:sz w:val="24"/>
                <w:szCs w:val="24"/>
              </w:rPr>
              <w:t>可减噪15</w:t>
            </w:r>
            <w:r>
              <w:rPr>
                <w:sz w:val="24"/>
                <w:szCs w:val="24"/>
                <w:vertAlign w:val="superscript"/>
              </w:rPr>
              <w:t>~</w:t>
            </w:r>
            <w:r>
              <w:rPr>
                <w:sz w:val="24"/>
                <w:szCs w:val="24"/>
              </w:rPr>
              <w:t>30dB（A），再通过距离衰减，四周厂界噪声可满足《工业企业厂界环境噪声排放标准》（GB12348-2008）中2</w:t>
            </w:r>
            <w:r>
              <w:rPr>
                <w:rFonts w:hint="eastAsia"/>
                <w:sz w:val="24"/>
                <w:szCs w:val="24"/>
              </w:rPr>
              <w:t>类</w:t>
            </w:r>
            <w:r>
              <w:rPr>
                <w:sz w:val="24"/>
                <w:szCs w:val="24"/>
              </w:rPr>
              <w:t>标准。不会</w:t>
            </w:r>
            <w:r>
              <w:rPr>
                <w:sz w:val="24"/>
              </w:rPr>
              <w:t>对其环境产生明显影响。</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hint="eastAsia" w:cs="宋体"/>
                <w:bCs/>
                <w:color w:val="000000"/>
                <w:szCs w:val="20"/>
              </w:rPr>
              <w:t>④</w:t>
            </w:r>
            <w:r>
              <w:rPr>
                <w:rFonts w:ascii="Times New Roman" w:hAnsi="Times New Roman"/>
                <w:bCs/>
                <w:color w:val="000000"/>
                <w:szCs w:val="20"/>
              </w:rPr>
              <w:t>固废治理措施</w:t>
            </w:r>
          </w:p>
          <w:p>
            <w:pPr>
              <w:pStyle w:val="95"/>
            </w:pPr>
            <w:r>
              <w:rPr>
                <w:rFonts w:hint="eastAsia"/>
              </w:rPr>
              <w:t>项目</w:t>
            </w:r>
            <w:r>
              <w:t>产生的固体废物主要为</w:t>
            </w:r>
            <w:r>
              <w:rPr>
                <w:rFonts w:hint="eastAsia"/>
              </w:rPr>
              <w:t>格栅</w:t>
            </w:r>
            <w:r>
              <w:t>过滤产生的</w:t>
            </w:r>
            <w:r>
              <w:rPr>
                <w:rFonts w:hint="eastAsia"/>
              </w:rPr>
              <w:t>栅渣</w:t>
            </w:r>
            <w:r>
              <w:t>、</w:t>
            </w:r>
            <w:r>
              <w:rPr>
                <w:rFonts w:hint="eastAsia"/>
                <w:lang w:val="en-US" w:eastAsia="zh-CN"/>
              </w:rPr>
              <w:t>气浮装置产生的浮渣</w:t>
            </w:r>
            <w:r>
              <w:t>、</w:t>
            </w:r>
            <w:r>
              <w:rPr>
                <w:rFonts w:hint="eastAsia"/>
              </w:rPr>
              <w:t>污泥</w:t>
            </w:r>
            <w:r>
              <w:t>处理系统</w:t>
            </w:r>
            <w:r>
              <w:rPr>
                <w:rFonts w:hint="eastAsia"/>
              </w:rPr>
              <w:t>产生</w:t>
            </w:r>
            <w:r>
              <w:t>的污泥。</w:t>
            </w:r>
            <w:r>
              <w:rPr>
                <w:szCs w:val="21"/>
              </w:rPr>
              <w:t>格栅产生的栅渣以及</w:t>
            </w:r>
            <w:r>
              <w:rPr>
                <w:rFonts w:hint="eastAsia"/>
                <w:lang w:val="en-US" w:eastAsia="zh-CN"/>
              </w:rPr>
              <w:t>气浮装置产生的浮渣</w:t>
            </w:r>
            <w:r>
              <w:rPr>
                <w:rFonts w:hint="eastAsia"/>
                <w:szCs w:val="21"/>
                <w:lang w:eastAsia="zh-CN"/>
              </w:rPr>
              <w:t>、</w:t>
            </w:r>
            <w:r>
              <w:t>污泥</w:t>
            </w:r>
            <w:r>
              <w:rPr>
                <w:rFonts w:hint="eastAsia"/>
                <w:lang w:val="en-US" w:eastAsia="zh-CN"/>
              </w:rPr>
              <w:t>均外售生物肥厂作堆肥原料</w:t>
            </w:r>
            <w:r>
              <w:rPr>
                <w:rFonts w:hint="eastAsia"/>
                <w:szCs w:val="21"/>
              </w:rPr>
              <w:t>。</w:t>
            </w:r>
          </w:p>
          <w:p>
            <w:pPr>
              <w:spacing w:line="360" w:lineRule="auto"/>
              <w:ind w:firstLine="480" w:firstLineChars="200"/>
              <w:rPr>
                <w:sz w:val="24"/>
                <w:szCs w:val="24"/>
              </w:rPr>
            </w:pPr>
            <w:r>
              <w:rPr>
                <w:rFonts w:hint="eastAsia"/>
                <w:sz w:val="24"/>
                <w:szCs w:val="24"/>
              </w:rPr>
              <w:t>因此</w:t>
            </w:r>
            <w:r>
              <w:rPr>
                <w:sz w:val="24"/>
                <w:szCs w:val="24"/>
              </w:rPr>
              <w:t>，本项目运营期间产生的固体废物全部妥善处置。不会对环境造成明显影响。</w:t>
            </w:r>
          </w:p>
          <w:p>
            <w:pPr>
              <w:pStyle w:val="43"/>
              <w:spacing w:before="0" w:beforeAutospacing="0" w:after="0" w:afterAutospacing="0" w:line="360" w:lineRule="auto"/>
              <w:ind w:firstLine="480" w:firstLineChars="200"/>
              <w:jc w:val="both"/>
              <w:rPr>
                <w:rFonts w:ascii="Times New Roman" w:hAnsi="Times New Roman"/>
                <w:bCs/>
                <w:szCs w:val="20"/>
              </w:rPr>
            </w:pPr>
            <w:r>
              <w:rPr>
                <w:rFonts w:ascii="Times New Roman" w:hAnsi="Times New Roman"/>
                <w:bCs/>
                <w:color w:val="000000"/>
                <w:szCs w:val="20"/>
              </w:rPr>
              <w:t>4、</w:t>
            </w:r>
            <w:r>
              <w:rPr>
                <w:rFonts w:ascii="Times New Roman" w:hAnsi="Times New Roman"/>
                <w:bCs/>
                <w:szCs w:val="20"/>
              </w:rPr>
              <w:t>总量控制</w:t>
            </w:r>
          </w:p>
          <w:p>
            <w:pPr>
              <w:spacing w:line="360" w:lineRule="auto"/>
              <w:ind w:firstLine="480" w:firstLineChars="200"/>
              <w:rPr>
                <w:sz w:val="24"/>
                <w:szCs w:val="24"/>
                <w:lang w:val="en-GB"/>
              </w:rPr>
            </w:pPr>
            <w:r>
              <w:rPr>
                <w:rFonts w:hint="eastAsia"/>
                <w:sz w:val="24"/>
                <w:lang w:val="en-GB"/>
              </w:rPr>
              <w:t>根据企业排污许可证可知，企业现有工程污染物排污许可总量控制指标为：</w:t>
            </w:r>
            <w:r>
              <w:rPr>
                <w:rFonts w:hint="default" w:ascii="Times New Roman" w:hAnsi="Times New Roman" w:cs="Times New Roman"/>
                <w:sz w:val="24"/>
                <w:szCs w:val="24"/>
                <w:lang w:val="en-GB"/>
              </w:rPr>
              <w:t>SO</w:t>
            </w:r>
            <w:r>
              <w:rPr>
                <w:rFonts w:hint="default" w:ascii="Times New Roman" w:hAnsi="Times New Roman" w:cs="Times New Roman"/>
                <w:sz w:val="24"/>
                <w:szCs w:val="24"/>
                <w:vertAlign w:val="subscript"/>
                <w:lang w:val="en-GB"/>
              </w:rPr>
              <w:t>2</w:t>
            </w:r>
            <w:r>
              <w:rPr>
                <w:rFonts w:hint="default" w:ascii="Times New Roman" w:hAnsi="Times New Roman" w:cs="Times New Roman"/>
                <w:sz w:val="24"/>
                <w:szCs w:val="24"/>
                <w:vertAlign w:val="baseline"/>
                <w:lang w:val="en-US" w:eastAsia="zh-CN"/>
              </w:rPr>
              <w:t>3.532</w:t>
            </w:r>
            <w:r>
              <w:rPr>
                <w:rFonts w:hint="default" w:ascii="Times New Roman" w:hAnsi="Times New Roman" w:cs="Times New Roman"/>
                <w:sz w:val="24"/>
                <w:szCs w:val="24"/>
                <w:lang w:val="en-GB"/>
              </w:rPr>
              <w:t>t/a、NO</w:t>
            </w:r>
            <w:r>
              <w:rPr>
                <w:rFonts w:hint="default" w:ascii="Times New Roman" w:hAnsi="Times New Roman" w:cs="Times New Roman"/>
                <w:sz w:val="24"/>
                <w:szCs w:val="24"/>
                <w:vertAlign w:val="subscript"/>
                <w:lang w:val="en-GB"/>
              </w:rPr>
              <w:t>X</w:t>
            </w:r>
            <w:r>
              <w:rPr>
                <w:rFonts w:hint="default" w:ascii="Times New Roman" w:hAnsi="Times New Roman" w:cs="Times New Roman"/>
                <w:sz w:val="24"/>
                <w:szCs w:val="24"/>
                <w:lang w:val="en-US" w:eastAsia="zh-CN"/>
              </w:rPr>
              <w:t>10.596</w:t>
            </w:r>
            <w:r>
              <w:rPr>
                <w:rFonts w:hint="default" w:ascii="Times New Roman" w:hAnsi="Times New Roman" w:cs="Times New Roman"/>
                <w:sz w:val="24"/>
                <w:szCs w:val="24"/>
                <w:lang w:val="en-GB"/>
              </w:rPr>
              <w:t>t/a、</w:t>
            </w:r>
            <w:r>
              <w:rPr>
                <w:rFonts w:hint="default" w:ascii="Times New Roman" w:hAnsi="Times New Roman" w:cs="Times New Roman"/>
                <w:sz w:val="24"/>
                <w:szCs w:val="24"/>
                <w:lang w:val="en-US" w:eastAsia="zh-CN"/>
              </w:rPr>
              <w:t>烟尘1.143t/a、</w:t>
            </w:r>
            <w:r>
              <w:rPr>
                <w:rFonts w:hint="default" w:ascii="Times New Roman" w:hAnsi="Times New Roman" w:cs="Times New Roman"/>
                <w:sz w:val="24"/>
                <w:szCs w:val="24"/>
              </w:rPr>
              <w:t xml:space="preserve">COD </w:t>
            </w:r>
            <w:r>
              <w:rPr>
                <w:rFonts w:hint="default" w:ascii="Times New Roman" w:hAnsi="Times New Roman" w:cs="Times New Roman"/>
                <w:sz w:val="24"/>
                <w:szCs w:val="24"/>
                <w:lang w:val="en-US" w:eastAsia="zh-CN"/>
              </w:rPr>
              <w:t>21.663</w:t>
            </w:r>
            <w:r>
              <w:rPr>
                <w:rFonts w:hint="default" w:ascii="Times New Roman" w:hAnsi="Times New Roman" w:cs="Times New Roman"/>
                <w:sz w:val="24"/>
                <w:szCs w:val="24"/>
              </w:rPr>
              <w:t>t/a、NH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 xml:space="preserve">-N </w:t>
            </w:r>
            <w:r>
              <w:rPr>
                <w:rFonts w:hint="default" w:ascii="Times New Roman" w:hAnsi="Times New Roman" w:cs="Times New Roman"/>
                <w:sz w:val="24"/>
                <w:szCs w:val="24"/>
                <w:lang w:val="en-US" w:eastAsia="zh-CN"/>
              </w:rPr>
              <w:t>2.167</w:t>
            </w:r>
            <w:r>
              <w:rPr>
                <w:rFonts w:hint="default" w:ascii="Times New Roman" w:hAnsi="Times New Roman" w:cs="Times New Roman"/>
                <w:sz w:val="24"/>
                <w:szCs w:val="24"/>
              </w:rPr>
              <w:t>t/a</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TP0.173t/a、TN6.499t/a</w:t>
            </w:r>
            <w:r>
              <w:rPr>
                <w:rFonts w:hint="eastAsia"/>
                <w:sz w:val="24"/>
                <w:szCs w:val="24"/>
                <w:lang w:val="en-GB"/>
              </w:rPr>
              <w:t>。</w:t>
            </w:r>
          </w:p>
          <w:p>
            <w:pPr>
              <w:spacing w:line="360" w:lineRule="auto"/>
              <w:ind w:firstLine="480" w:firstLineChars="200"/>
              <w:rPr>
                <w:sz w:val="24"/>
                <w:szCs w:val="24"/>
                <w:lang w:val="en-GB"/>
              </w:rPr>
            </w:pPr>
            <w:r>
              <w:rPr>
                <w:rFonts w:hint="eastAsia"/>
                <w:sz w:val="24"/>
                <w:lang w:val="en-GB"/>
              </w:rPr>
              <w:t>本项目为对污水处理厂进行升级技术改造，增加废水处理效率，</w:t>
            </w:r>
            <w:r>
              <w:rPr>
                <w:rFonts w:hint="eastAsia"/>
                <w:sz w:val="24"/>
                <w:szCs w:val="24"/>
              </w:rPr>
              <w:t>项目</w:t>
            </w:r>
            <w:r>
              <w:rPr>
                <w:sz w:val="24"/>
                <w:szCs w:val="24"/>
              </w:rPr>
              <w:t>建成后，建议</w:t>
            </w:r>
            <w:r>
              <w:rPr>
                <w:rFonts w:hint="eastAsia"/>
                <w:sz w:val="24"/>
                <w:szCs w:val="24"/>
              </w:rPr>
              <w:t>企业</w:t>
            </w:r>
            <w:r>
              <w:rPr>
                <w:sz w:val="24"/>
                <w:szCs w:val="24"/>
              </w:rPr>
              <w:t>总量控制指标为SO</w:t>
            </w:r>
            <w:r>
              <w:rPr>
                <w:sz w:val="24"/>
                <w:szCs w:val="24"/>
                <w:vertAlign w:val="subscript"/>
              </w:rPr>
              <w:t>2</w:t>
            </w:r>
            <w:r>
              <w:rPr>
                <w:sz w:val="24"/>
                <w:szCs w:val="24"/>
              </w:rPr>
              <w:t>0t/a、NO</w:t>
            </w:r>
            <w:r>
              <w:rPr>
                <w:sz w:val="24"/>
                <w:szCs w:val="24"/>
                <w:vertAlign w:val="subscript"/>
              </w:rPr>
              <w:t>X</w:t>
            </w:r>
            <w:r>
              <w:rPr>
                <w:sz w:val="24"/>
                <w:szCs w:val="24"/>
              </w:rPr>
              <w:t>0t/a、VOCs0t/a</w:t>
            </w:r>
            <w:r>
              <w:rPr>
                <w:rFonts w:hint="eastAsia"/>
                <w:sz w:val="24"/>
                <w:szCs w:val="24"/>
              </w:rPr>
              <w:t>、COD</w:t>
            </w:r>
            <w:r>
              <w:rPr>
                <w:rFonts w:hint="eastAsia"/>
                <w:sz w:val="24"/>
                <w:szCs w:val="24"/>
                <w:lang w:val="en-US" w:eastAsia="zh-CN"/>
              </w:rPr>
              <w:t>12.998</w:t>
            </w:r>
            <w:r>
              <w:rPr>
                <w:sz w:val="24"/>
                <w:szCs w:val="24"/>
              </w:rPr>
              <w:t>t/a、</w:t>
            </w:r>
            <w:r>
              <w:rPr>
                <w:rFonts w:hint="eastAsia"/>
                <w:sz w:val="24"/>
                <w:szCs w:val="24"/>
              </w:rPr>
              <w:t>NH</w:t>
            </w:r>
            <w:r>
              <w:rPr>
                <w:rFonts w:hint="eastAsia"/>
                <w:sz w:val="24"/>
                <w:szCs w:val="24"/>
                <w:vertAlign w:val="subscript"/>
              </w:rPr>
              <w:t>3</w:t>
            </w:r>
            <w:r>
              <w:rPr>
                <w:rFonts w:hint="eastAsia"/>
                <w:sz w:val="24"/>
                <w:szCs w:val="24"/>
              </w:rPr>
              <w:t>-N</w:t>
            </w:r>
            <w:r>
              <w:rPr>
                <w:rFonts w:hint="eastAsia"/>
                <w:sz w:val="24"/>
                <w:szCs w:val="24"/>
                <w:lang w:val="en-US" w:eastAsia="zh-CN"/>
              </w:rPr>
              <w:t>0.650</w:t>
            </w:r>
            <w:r>
              <w:rPr>
                <w:sz w:val="24"/>
                <w:szCs w:val="24"/>
              </w:rPr>
              <w:t>t/a</w:t>
            </w:r>
            <w:r>
              <w:rPr>
                <w:rFonts w:hint="eastAsia"/>
                <w:sz w:val="24"/>
                <w:szCs w:val="24"/>
                <w:lang w:eastAsia="zh-CN"/>
              </w:rPr>
              <w:t>、</w:t>
            </w:r>
            <w:r>
              <w:rPr>
                <w:rFonts w:hint="eastAsia"/>
                <w:sz w:val="24"/>
                <w:szCs w:val="24"/>
                <w:lang w:val="en-US" w:eastAsia="zh-CN"/>
              </w:rPr>
              <w:t>TP0.130t/a、TN</w:t>
            </w:r>
            <w:r>
              <w:rPr>
                <w:rFonts w:hint="default" w:ascii="Times New Roman" w:hAnsi="Times New Roman" w:cs="Times New Roman"/>
                <w:sz w:val="24"/>
                <w:szCs w:val="24"/>
                <w:lang w:val="en-US" w:eastAsia="zh-CN"/>
              </w:rPr>
              <w:t>6.499t/a</w:t>
            </w:r>
            <w:r>
              <w:rPr>
                <w:rFonts w:hint="eastAsia"/>
                <w:sz w:val="24"/>
                <w:szCs w:val="24"/>
              </w:rPr>
              <w:t>，满足核定的</w:t>
            </w:r>
            <w:r>
              <w:rPr>
                <w:sz w:val="24"/>
                <w:szCs w:val="24"/>
              </w:rPr>
              <w:t>总量控制指标</w:t>
            </w:r>
            <w:r>
              <w:rPr>
                <w:rFonts w:hint="eastAsia"/>
                <w:sz w:val="24"/>
                <w:lang w:val="en-GB"/>
              </w:rPr>
              <w:t>：</w:t>
            </w:r>
            <w:r>
              <w:rPr>
                <w:rFonts w:hint="default" w:ascii="Times New Roman" w:hAnsi="Times New Roman" w:cs="Times New Roman"/>
                <w:sz w:val="24"/>
                <w:szCs w:val="24"/>
                <w:lang w:val="en-GB"/>
              </w:rPr>
              <w:t>SO</w:t>
            </w:r>
            <w:r>
              <w:rPr>
                <w:rFonts w:hint="default" w:ascii="Times New Roman" w:hAnsi="Times New Roman" w:cs="Times New Roman"/>
                <w:sz w:val="24"/>
                <w:szCs w:val="24"/>
                <w:vertAlign w:val="subscript"/>
                <w:lang w:val="en-GB"/>
              </w:rPr>
              <w:t>2</w:t>
            </w:r>
            <w:r>
              <w:rPr>
                <w:rFonts w:hint="default" w:ascii="Times New Roman" w:hAnsi="Times New Roman" w:cs="Times New Roman"/>
                <w:sz w:val="24"/>
                <w:szCs w:val="24"/>
                <w:vertAlign w:val="baseline"/>
                <w:lang w:val="en-US" w:eastAsia="zh-CN"/>
              </w:rPr>
              <w:t>3.532</w:t>
            </w:r>
            <w:r>
              <w:rPr>
                <w:rFonts w:hint="default" w:ascii="Times New Roman" w:hAnsi="Times New Roman" w:cs="Times New Roman"/>
                <w:sz w:val="24"/>
                <w:szCs w:val="24"/>
                <w:lang w:val="en-GB"/>
              </w:rPr>
              <w:t>t/a、NO</w:t>
            </w:r>
            <w:r>
              <w:rPr>
                <w:rFonts w:hint="default" w:ascii="Times New Roman" w:hAnsi="Times New Roman" w:cs="Times New Roman"/>
                <w:sz w:val="24"/>
                <w:szCs w:val="24"/>
                <w:vertAlign w:val="subscript"/>
                <w:lang w:val="en-GB"/>
              </w:rPr>
              <w:t>X</w:t>
            </w:r>
            <w:r>
              <w:rPr>
                <w:rFonts w:hint="default" w:ascii="Times New Roman" w:hAnsi="Times New Roman" w:cs="Times New Roman"/>
                <w:sz w:val="24"/>
                <w:szCs w:val="24"/>
                <w:lang w:val="en-US" w:eastAsia="zh-CN"/>
              </w:rPr>
              <w:t>10.596</w:t>
            </w:r>
            <w:r>
              <w:rPr>
                <w:rFonts w:hint="default" w:ascii="Times New Roman" w:hAnsi="Times New Roman" w:cs="Times New Roman"/>
                <w:sz w:val="24"/>
                <w:szCs w:val="24"/>
                <w:lang w:val="en-GB"/>
              </w:rPr>
              <w:t>t/a、</w:t>
            </w:r>
            <w:r>
              <w:rPr>
                <w:rFonts w:hint="default" w:ascii="Times New Roman" w:hAnsi="Times New Roman" w:cs="Times New Roman"/>
                <w:sz w:val="24"/>
                <w:szCs w:val="24"/>
                <w:lang w:val="en-US" w:eastAsia="zh-CN"/>
              </w:rPr>
              <w:t>烟尘1.143t/a、</w:t>
            </w:r>
            <w:r>
              <w:rPr>
                <w:rFonts w:hint="default" w:ascii="Times New Roman" w:hAnsi="Times New Roman" w:cs="Times New Roman"/>
                <w:sz w:val="24"/>
                <w:szCs w:val="24"/>
              </w:rPr>
              <w:t xml:space="preserve">COD </w:t>
            </w:r>
            <w:r>
              <w:rPr>
                <w:rFonts w:hint="default" w:ascii="Times New Roman" w:hAnsi="Times New Roman" w:cs="Times New Roman"/>
                <w:sz w:val="24"/>
                <w:szCs w:val="24"/>
                <w:lang w:val="en-US" w:eastAsia="zh-CN"/>
              </w:rPr>
              <w:t>21.663</w:t>
            </w:r>
            <w:r>
              <w:rPr>
                <w:rFonts w:hint="default" w:ascii="Times New Roman" w:hAnsi="Times New Roman" w:cs="Times New Roman"/>
                <w:sz w:val="24"/>
                <w:szCs w:val="24"/>
              </w:rPr>
              <w:t>t/a、NH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 xml:space="preserve">-N </w:t>
            </w:r>
            <w:r>
              <w:rPr>
                <w:rFonts w:hint="default" w:ascii="Times New Roman" w:hAnsi="Times New Roman" w:cs="Times New Roman"/>
                <w:sz w:val="24"/>
                <w:szCs w:val="24"/>
                <w:lang w:val="en-US" w:eastAsia="zh-CN"/>
              </w:rPr>
              <w:t>2.167</w:t>
            </w:r>
            <w:r>
              <w:rPr>
                <w:rFonts w:hint="default" w:ascii="Times New Roman" w:hAnsi="Times New Roman" w:cs="Times New Roman"/>
                <w:sz w:val="24"/>
                <w:szCs w:val="24"/>
              </w:rPr>
              <w:t>t/a</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TP0.173t/a、TN6.499t/a</w:t>
            </w:r>
            <w:r>
              <w:rPr>
                <w:sz w:val="24"/>
                <w:szCs w:val="24"/>
              </w:rPr>
              <w:t>要求。</w:t>
            </w:r>
          </w:p>
          <w:p>
            <w:pPr>
              <w:spacing w:line="360" w:lineRule="auto"/>
              <w:ind w:firstLine="480" w:firstLineChars="200"/>
              <w:textAlignment w:val="center"/>
              <w:rPr>
                <w:bCs/>
                <w:kern w:val="0"/>
                <w:sz w:val="24"/>
              </w:rPr>
            </w:pPr>
            <w:r>
              <w:rPr>
                <w:bCs/>
                <w:kern w:val="0"/>
                <w:sz w:val="24"/>
              </w:rPr>
              <w:t>5、工程可行性结论</w:t>
            </w:r>
          </w:p>
          <w:p>
            <w:pPr>
              <w:pStyle w:val="43"/>
              <w:spacing w:before="0" w:beforeAutospacing="0" w:after="0" w:afterAutospacing="0" w:line="360" w:lineRule="auto"/>
              <w:ind w:firstLine="480" w:firstLineChars="200"/>
              <w:contextualSpacing/>
              <w:jc w:val="both"/>
              <w:rPr>
                <w:rFonts w:ascii="Times New Roman" w:hAnsi="Times New Roman"/>
                <w:kern w:val="2"/>
                <w:szCs w:val="20"/>
              </w:rPr>
            </w:pPr>
            <w:r>
              <w:rPr>
                <w:rFonts w:ascii="Times New Roman" w:hAnsi="Times New Roman"/>
              </w:rPr>
              <w:t>按</w:t>
            </w:r>
            <w:r>
              <w:rPr>
                <w:rFonts w:ascii="Times New Roman" w:hAnsi="Times New Roman"/>
                <w:color w:val="000000"/>
              </w:rPr>
              <w:t>照国家《产业结构调整指导目录（2019年本）》要求，</w:t>
            </w:r>
            <w:r>
              <w:rPr>
                <w:rFonts w:ascii="Times New Roman" w:hAnsi="Times New Roman"/>
                <w:bCs/>
                <w:color w:val="000000"/>
                <w:szCs w:val="20"/>
              </w:rPr>
              <w:t>本项目属于</w:t>
            </w:r>
            <w:r>
              <w:rPr>
                <w:rFonts w:hint="eastAsia" w:ascii="Times New Roman" w:hAnsi="Times New Roman"/>
                <w:bCs/>
                <w:color w:val="000000"/>
                <w:szCs w:val="20"/>
              </w:rPr>
              <w:t>鼓励</w:t>
            </w:r>
            <w:r>
              <w:rPr>
                <w:rFonts w:ascii="Times New Roman" w:hAnsi="Times New Roman"/>
                <w:color w:val="000000"/>
              </w:rPr>
              <w:t>类项目；</w:t>
            </w:r>
            <w:r>
              <w:rPr>
                <w:rFonts w:ascii="Times New Roman" w:hAnsi="Times New Roman"/>
                <w:kern w:val="2"/>
                <w:szCs w:val="20"/>
              </w:rPr>
              <w:t>符合当前国家产业政策的要求；</w:t>
            </w:r>
            <w:r>
              <w:rPr>
                <w:rFonts w:hint="eastAsia" w:ascii="Times New Roman" w:hAnsi="Times New Roman"/>
                <w:kern w:val="2"/>
                <w:szCs w:val="20"/>
              </w:rPr>
              <w:t>选址</w:t>
            </w:r>
            <w:r>
              <w:rPr>
                <w:rFonts w:ascii="Times New Roman" w:hAnsi="Times New Roman"/>
                <w:kern w:val="2"/>
                <w:szCs w:val="20"/>
              </w:rPr>
              <w:t>可</w:t>
            </w:r>
            <w:r>
              <w:rPr>
                <w:rFonts w:hint="eastAsia" w:ascii="Times New Roman" w:hAnsi="Times New Roman"/>
                <w:kern w:val="2"/>
                <w:szCs w:val="20"/>
              </w:rPr>
              <w:t>行</w:t>
            </w:r>
            <w:r>
              <w:rPr>
                <w:rFonts w:ascii="Times New Roman" w:hAnsi="Times New Roman"/>
                <w:kern w:val="2"/>
                <w:szCs w:val="20"/>
              </w:rPr>
              <w:t>；项目可实现各类污染物达标排放，不会对周围环境产生影响。因此，本评价从环保角度认为，</w:t>
            </w:r>
            <w:r>
              <w:rPr>
                <w:rFonts w:ascii="Times New Roman" w:hAnsi="Times New Roman"/>
                <w:bCs/>
                <w:szCs w:val="20"/>
              </w:rPr>
              <w:t>项目的建设是可行的。</w:t>
            </w:r>
          </w:p>
          <w:p>
            <w:pPr>
              <w:pStyle w:val="43"/>
              <w:spacing w:before="0" w:beforeAutospacing="0" w:after="0" w:afterAutospacing="0" w:line="360" w:lineRule="auto"/>
              <w:ind w:firstLine="480" w:firstLineChars="200"/>
              <w:jc w:val="both"/>
              <w:rPr>
                <w:rFonts w:ascii="Times New Roman" w:hAnsi="Times New Roman"/>
                <w:bCs/>
                <w:color w:val="000000"/>
              </w:rPr>
            </w:pPr>
            <w:r>
              <w:rPr>
                <w:rFonts w:ascii="Times New Roman" w:hAnsi="Times New Roman"/>
                <w:bCs/>
                <w:color w:val="000000"/>
              </w:rPr>
              <w:t>二、建议</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为保护环境，确保环保设施正常运行和污染物达标排放，针对工程特点，本评价提出如下要求与建议：</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(1)搞好日常环境管理工作，加强环境保护宣传力度，提高职工的环保意识。</w:t>
            </w:r>
          </w:p>
          <w:p>
            <w:pPr>
              <w:pStyle w:val="43"/>
              <w:spacing w:before="0" w:beforeAutospacing="0" w:after="0" w:afterAutospacing="0" w:line="360" w:lineRule="auto"/>
              <w:ind w:firstLine="480" w:firstLineChars="200"/>
              <w:jc w:val="both"/>
              <w:rPr>
                <w:rFonts w:ascii="Times New Roman" w:hAnsi="Times New Roman"/>
                <w:bCs/>
                <w:color w:val="000000"/>
                <w:szCs w:val="20"/>
              </w:rPr>
            </w:pPr>
            <w:r>
              <w:rPr>
                <w:rFonts w:ascii="Times New Roman" w:hAnsi="Times New Roman"/>
                <w:bCs/>
                <w:color w:val="000000"/>
                <w:szCs w:val="20"/>
              </w:rPr>
              <w:t>(2)搞好厂区绿化工作，进一步提高厂区绿化率，最大程度减轻废气对周围环境的影响。</w:t>
            </w:r>
          </w:p>
          <w:p>
            <w:pPr>
              <w:pStyle w:val="43"/>
              <w:spacing w:before="0" w:beforeAutospacing="0" w:after="0" w:afterAutospacing="0" w:line="360" w:lineRule="auto"/>
              <w:ind w:firstLine="480" w:firstLineChars="200"/>
              <w:jc w:val="both"/>
              <w:rPr>
                <w:rFonts w:ascii="Times New Roman" w:hAnsi="Times New Roman"/>
                <w:b/>
                <w:bCs/>
                <w:color w:val="000000"/>
                <w:sz w:val="28"/>
              </w:rPr>
            </w:pPr>
            <w:r>
              <w:rPr>
                <w:rFonts w:ascii="Times New Roman" w:hAnsi="Times New Roman"/>
                <w:bCs/>
                <w:color w:val="000000"/>
                <w:szCs w:val="20"/>
              </w:rPr>
              <w:t>(3)</w:t>
            </w:r>
            <w:r>
              <w:rPr>
                <w:rFonts w:ascii="Times New Roman" w:hAnsi="Times New Roman"/>
                <w:bCs/>
                <w:color w:val="000000"/>
              </w:rPr>
              <w:t>认真执行“三同时”制度，确保各项环保措施落到实处。</w:t>
            </w:r>
          </w:p>
        </w:tc>
      </w:tr>
    </w:tbl>
    <w:p>
      <w:pPr>
        <w:sectPr>
          <w:pgSz w:w="11906" w:h="16838"/>
          <w:pgMar w:top="1440" w:right="1800" w:bottom="1440" w:left="1800" w:header="851" w:footer="992" w:gutter="0"/>
          <w:pgNumType w:fmt="decimal"/>
          <w:cols w:space="425" w:num="1"/>
          <w:docGrid w:type="lines" w:linePitch="312" w:charSpace="0"/>
        </w:sectPr>
      </w:pPr>
    </w:p>
    <w:tbl>
      <w:tblPr>
        <w:tblStyle w:val="47"/>
        <w:tblpPr w:leftFromText="180" w:rightFromText="180" w:horzAnchor="margin" w:tblpY="59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4" w:hRule="atLeast"/>
        </w:trPr>
        <w:tc>
          <w:tcPr>
            <w:tcW w:w="8296" w:type="dxa"/>
          </w:tcPr>
          <w:p>
            <w:pPr>
              <w:rPr>
                <w:b/>
                <w:bCs/>
                <w:color w:val="000000"/>
                <w:sz w:val="28"/>
              </w:rPr>
            </w:pPr>
            <w:r>
              <w:br w:type="page"/>
            </w:r>
            <w:r>
              <w:rPr>
                <w:b/>
                <w:bCs/>
                <w:color w:val="000000"/>
                <w:sz w:val="28"/>
              </w:rPr>
              <w:t xml:space="preserve">审批意见：    </w:t>
            </w: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b/>
                <w:bCs/>
                <w:color w:val="000000"/>
                <w:sz w:val="28"/>
              </w:rPr>
            </w:pPr>
          </w:p>
          <w:p>
            <w:pPr>
              <w:rPr>
                <w:color w:val="000000"/>
                <w:sz w:val="28"/>
              </w:rPr>
            </w:pPr>
            <w:r>
              <w:rPr>
                <w:b/>
                <w:bCs/>
                <w:color w:val="000000"/>
                <w:sz w:val="28"/>
              </w:rPr>
              <w:t xml:space="preserve">                                             公  章</w:t>
            </w:r>
          </w:p>
          <w:p>
            <w:pPr>
              <w:rPr>
                <w:b/>
                <w:color w:val="000000"/>
                <w:sz w:val="32"/>
              </w:rPr>
            </w:pPr>
            <w:r>
              <w:rPr>
                <w:b/>
                <w:bCs/>
                <w:color w:val="000000"/>
                <w:sz w:val="28"/>
              </w:rPr>
              <w:t xml:space="preserve">   经办人                              年     月     日</w:t>
            </w:r>
          </w:p>
          <w:p>
            <w:pPr>
              <w:rPr>
                <w:b/>
                <w:bCs/>
                <w:color w:val="000000"/>
                <w:sz w:val="28"/>
                <w:szCs w:val="28"/>
              </w:rPr>
            </w:pPr>
          </w:p>
        </w:tc>
      </w:tr>
    </w:tbl>
    <w:tbl>
      <w:tblPr>
        <w:tblStyle w:val="4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4" w:hRule="atLeast"/>
          <w:jc w:val="center"/>
        </w:trPr>
        <w:tc>
          <w:tcPr>
            <w:tcW w:w="8296" w:type="dxa"/>
          </w:tcPr>
          <w:p>
            <w:pPr>
              <w:spacing w:before="156" w:beforeLines="50" w:line="440" w:lineRule="exact"/>
              <w:jc w:val="center"/>
              <w:rPr>
                <w:b/>
                <w:bCs/>
                <w:color w:val="000000"/>
                <w:sz w:val="44"/>
                <w:szCs w:val="44"/>
              </w:rPr>
            </w:pPr>
            <w:r>
              <w:br w:type="page"/>
            </w:r>
            <w:r>
              <w:br w:type="page"/>
            </w:r>
            <w:r>
              <w:rPr>
                <w:b/>
                <w:bCs/>
                <w:color w:val="000000"/>
                <w:sz w:val="44"/>
                <w:szCs w:val="44"/>
              </w:rPr>
              <w:t>注    释</w:t>
            </w:r>
          </w:p>
          <w:p>
            <w:pPr>
              <w:spacing w:line="440" w:lineRule="exact"/>
              <w:ind w:firstLine="562" w:firstLineChars="200"/>
              <w:rPr>
                <w:b/>
                <w:bCs/>
                <w:color w:val="000000"/>
                <w:sz w:val="28"/>
                <w:szCs w:val="28"/>
              </w:rPr>
            </w:pPr>
          </w:p>
          <w:p>
            <w:pPr>
              <w:spacing w:line="480" w:lineRule="exact"/>
              <w:ind w:firstLine="562" w:firstLineChars="200"/>
              <w:rPr>
                <w:b/>
                <w:bCs/>
                <w:color w:val="000000"/>
                <w:sz w:val="28"/>
                <w:szCs w:val="28"/>
              </w:rPr>
            </w:pPr>
            <w:r>
              <w:rPr>
                <w:b/>
                <w:bCs/>
                <w:color w:val="000000"/>
                <w:sz w:val="28"/>
                <w:szCs w:val="28"/>
              </w:rPr>
              <w:t>一、本报告表应附以下附件、附图：</w:t>
            </w:r>
          </w:p>
          <w:p>
            <w:pPr>
              <w:spacing w:line="480" w:lineRule="exact"/>
              <w:ind w:firstLine="562" w:firstLineChars="200"/>
              <w:rPr>
                <w:b/>
                <w:bCs/>
                <w:color w:val="000000"/>
                <w:sz w:val="28"/>
                <w:szCs w:val="28"/>
              </w:rPr>
            </w:pPr>
            <w:r>
              <w:rPr>
                <w:b/>
                <w:bCs/>
                <w:color w:val="000000"/>
                <w:sz w:val="28"/>
                <w:szCs w:val="28"/>
              </w:rPr>
              <w:t>附件1  立项批准文件</w:t>
            </w:r>
          </w:p>
          <w:p>
            <w:pPr>
              <w:spacing w:line="480" w:lineRule="exact"/>
              <w:ind w:firstLine="562" w:firstLineChars="200"/>
              <w:rPr>
                <w:b/>
                <w:bCs/>
                <w:color w:val="000000"/>
                <w:sz w:val="28"/>
                <w:szCs w:val="28"/>
              </w:rPr>
            </w:pPr>
            <w:r>
              <w:rPr>
                <w:b/>
                <w:bCs/>
                <w:color w:val="000000"/>
                <w:sz w:val="28"/>
                <w:szCs w:val="28"/>
              </w:rPr>
              <w:t>附件2  其他与环评有关的行政管理文件</w:t>
            </w:r>
          </w:p>
          <w:p>
            <w:pPr>
              <w:spacing w:line="480" w:lineRule="exact"/>
              <w:ind w:left="571" w:leftChars="272"/>
              <w:rPr>
                <w:b/>
                <w:bCs/>
                <w:color w:val="000000"/>
                <w:sz w:val="28"/>
                <w:szCs w:val="28"/>
              </w:rPr>
            </w:pPr>
            <w:r>
              <w:rPr>
                <w:b/>
                <w:bCs/>
                <w:color w:val="000000"/>
                <w:sz w:val="28"/>
                <w:szCs w:val="28"/>
              </w:rPr>
              <w:t>附图1  项目地理位置图（应反映行政区划、水系、标明纳污口位置和地形地貌等）</w:t>
            </w:r>
          </w:p>
          <w:p>
            <w:pPr>
              <w:spacing w:line="480" w:lineRule="exact"/>
              <w:ind w:left="571" w:leftChars="272"/>
              <w:rPr>
                <w:b/>
                <w:bCs/>
                <w:color w:val="000000"/>
                <w:sz w:val="28"/>
                <w:szCs w:val="28"/>
              </w:rPr>
            </w:pPr>
            <w:r>
              <w:rPr>
                <w:b/>
                <w:bCs/>
                <w:color w:val="000000"/>
                <w:sz w:val="28"/>
                <w:szCs w:val="28"/>
              </w:rPr>
              <w:t>附图2  项目周边关系图</w:t>
            </w:r>
          </w:p>
          <w:p>
            <w:pPr>
              <w:spacing w:line="480" w:lineRule="exact"/>
              <w:ind w:firstLine="562" w:firstLineChars="200"/>
              <w:rPr>
                <w:b/>
                <w:bCs/>
                <w:color w:val="000000"/>
                <w:sz w:val="28"/>
                <w:szCs w:val="28"/>
              </w:rPr>
            </w:pPr>
            <w:r>
              <w:rPr>
                <w:b/>
                <w:bCs/>
                <w:color w:val="000000"/>
                <w:sz w:val="28"/>
                <w:szCs w:val="28"/>
              </w:rPr>
              <w:t>附图3  项目平面布置图</w:t>
            </w:r>
          </w:p>
          <w:p>
            <w:pPr>
              <w:spacing w:line="480" w:lineRule="exact"/>
              <w:ind w:firstLine="562" w:firstLineChars="200"/>
              <w:rPr>
                <w:b/>
                <w:bCs/>
                <w:color w:val="000000"/>
                <w:sz w:val="28"/>
                <w:szCs w:val="28"/>
              </w:rPr>
            </w:pPr>
          </w:p>
          <w:p>
            <w:pPr>
              <w:spacing w:line="480" w:lineRule="exact"/>
              <w:ind w:left="483" w:leftChars="230"/>
              <w:rPr>
                <w:b/>
                <w:bCs/>
                <w:color w:val="000000"/>
                <w:sz w:val="28"/>
                <w:szCs w:val="28"/>
              </w:rPr>
            </w:pPr>
            <w:r>
              <w:rPr>
                <w:b/>
                <w:bCs/>
                <w:color w:val="000000"/>
                <w:sz w:val="28"/>
                <w:szCs w:val="28"/>
              </w:rPr>
              <w:t>二、如果本报告表不能说明项目产生的污染及对环境造成的影响，应进行专项评价。根据建设项目的特点和当地环境特征，应选下列1—2项进行专项评价。</w:t>
            </w:r>
          </w:p>
          <w:p>
            <w:pPr>
              <w:spacing w:line="480" w:lineRule="exact"/>
              <w:ind w:firstLine="562" w:firstLineChars="200"/>
              <w:rPr>
                <w:b/>
                <w:bCs/>
                <w:color w:val="000000"/>
                <w:sz w:val="28"/>
                <w:szCs w:val="28"/>
              </w:rPr>
            </w:pPr>
            <w:r>
              <w:rPr>
                <w:b/>
                <w:bCs/>
                <w:color w:val="000000"/>
                <w:sz w:val="28"/>
                <w:szCs w:val="28"/>
              </w:rPr>
              <w:t>1.大气环境影响专项评价</w:t>
            </w:r>
          </w:p>
          <w:p>
            <w:pPr>
              <w:spacing w:line="480" w:lineRule="exact"/>
              <w:ind w:firstLine="562" w:firstLineChars="200"/>
              <w:rPr>
                <w:b/>
                <w:bCs/>
                <w:color w:val="000000"/>
                <w:sz w:val="28"/>
                <w:szCs w:val="28"/>
              </w:rPr>
            </w:pPr>
            <w:r>
              <w:rPr>
                <w:b/>
                <w:bCs/>
                <w:color w:val="000000"/>
                <w:sz w:val="28"/>
                <w:szCs w:val="28"/>
              </w:rPr>
              <w:t>2.水环境影响专项评价（包括地表水和地下水）</w:t>
            </w:r>
          </w:p>
          <w:p>
            <w:pPr>
              <w:spacing w:line="480" w:lineRule="exact"/>
              <w:ind w:firstLine="562" w:firstLineChars="200"/>
              <w:rPr>
                <w:b/>
                <w:bCs/>
                <w:color w:val="000000"/>
                <w:sz w:val="28"/>
                <w:szCs w:val="28"/>
              </w:rPr>
            </w:pPr>
            <w:r>
              <w:rPr>
                <w:b/>
                <w:bCs/>
                <w:color w:val="000000"/>
                <w:sz w:val="28"/>
                <w:szCs w:val="28"/>
              </w:rPr>
              <w:t>3.生态影响专项评价</w:t>
            </w:r>
          </w:p>
          <w:p>
            <w:pPr>
              <w:spacing w:line="480" w:lineRule="exact"/>
              <w:ind w:firstLine="562" w:firstLineChars="200"/>
              <w:rPr>
                <w:b/>
                <w:bCs/>
                <w:color w:val="000000"/>
                <w:sz w:val="28"/>
                <w:szCs w:val="28"/>
              </w:rPr>
            </w:pPr>
            <w:r>
              <w:rPr>
                <w:b/>
                <w:bCs/>
                <w:color w:val="000000"/>
                <w:sz w:val="28"/>
                <w:szCs w:val="28"/>
              </w:rPr>
              <w:t>4.声影响专项评价</w:t>
            </w:r>
          </w:p>
          <w:p>
            <w:pPr>
              <w:spacing w:line="480" w:lineRule="exact"/>
              <w:ind w:firstLine="562" w:firstLineChars="200"/>
              <w:rPr>
                <w:b/>
                <w:bCs/>
                <w:color w:val="000000"/>
                <w:sz w:val="28"/>
                <w:szCs w:val="28"/>
              </w:rPr>
            </w:pPr>
            <w:r>
              <w:rPr>
                <w:b/>
                <w:bCs/>
                <w:color w:val="000000"/>
                <w:sz w:val="28"/>
                <w:szCs w:val="28"/>
              </w:rPr>
              <w:t>5.土壤影响专项评价</w:t>
            </w:r>
          </w:p>
          <w:p>
            <w:pPr>
              <w:spacing w:line="480" w:lineRule="exact"/>
              <w:ind w:firstLine="562" w:firstLineChars="200"/>
              <w:rPr>
                <w:b/>
                <w:bCs/>
                <w:color w:val="000000"/>
                <w:sz w:val="28"/>
                <w:szCs w:val="28"/>
              </w:rPr>
            </w:pPr>
            <w:r>
              <w:rPr>
                <w:b/>
                <w:bCs/>
                <w:color w:val="000000"/>
                <w:sz w:val="28"/>
                <w:szCs w:val="28"/>
              </w:rPr>
              <w:t>6.固体废物影响专项评价</w:t>
            </w:r>
          </w:p>
          <w:p>
            <w:pPr>
              <w:spacing w:line="480" w:lineRule="exact"/>
              <w:ind w:left="483" w:leftChars="230"/>
              <w:rPr>
                <w:b/>
                <w:bCs/>
                <w:color w:val="000000"/>
                <w:sz w:val="28"/>
                <w:szCs w:val="28"/>
              </w:rPr>
            </w:pPr>
            <w:r>
              <w:rPr>
                <w:b/>
                <w:bCs/>
                <w:color w:val="000000"/>
                <w:sz w:val="28"/>
                <w:szCs w:val="28"/>
              </w:rPr>
              <w:t>以上专项评价未包括的可另列专项，专项评价按照《环境影响评价技术导则》中的要求进行。</w:t>
            </w:r>
          </w:p>
          <w:p>
            <w:pPr>
              <w:rPr>
                <w:b/>
                <w:color w:val="000000"/>
                <w:sz w:val="32"/>
              </w:rPr>
            </w:pPr>
          </w:p>
          <w:p>
            <w:pPr>
              <w:rPr>
                <w:b/>
                <w:color w:val="000000"/>
                <w:sz w:val="32"/>
              </w:rPr>
            </w:pPr>
          </w:p>
          <w:p>
            <w:pPr>
              <w:rPr>
                <w:b/>
                <w:color w:val="000000"/>
                <w:sz w:val="32"/>
              </w:rPr>
            </w:pPr>
          </w:p>
          <w:p>
            <w:pPr>
              <w:rPr>
                <w:b/>
                <w:color w:val="000000"/>
                <w:sz w:val="32"/>
              </w:rPr>
            </w:pPr>
          </w:p>
          <w:p>
            <w:pPr>
              <w:spacing w:line="440" w:lineRule="exact"/>
              <w:rPr>
                <w:b/>
                <w:bCs/>
                <w:color w:val="000000"/>
                <w:sz w:val="28"/>
                <w:szCs w:val="28"/>
              </w:rPr>
            </w:pPr>
          </w:p>
        </w:tc>
      </w:tr>
    </w:tbl>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Sylfaen">
    <w:panose1 w:val="010A0502050306030303"/>
    <w:charset w:val="00"/>
    <w:family w:val="roman"/>
    <w:pitch w:val="default"/>
    <w:sig w:usb0="04000687" w:usb1="00000000"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sz w:val="18"/>
      </w:rP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2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rPr>
        <w:sz w:val="18"/>
      </w:rP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p>
    <w:pPr>
      <w:pStyle w:val="2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E73CBA"/>
    <w:multiLevelType w:val="singleLevel"/>
    <w:tmpl w:val="C1E73CBA"/>
    <w:lvl w:ilvl="0" w:tentative="0">
      <w:start w:val="6"/>
      <w:numFmt w:val="decimal"/>
      <w:suff w:val="nothing"/>
      <w:lvlText w:val="（%1）"/>
      <w:lvlJc w:val="left"/>
    </w:lvl>
  </w:abstractNum>
  <w:abstractNum w:abstractNumId="1">
    <w:nsid w:val="F99AB0C9"/>
    <w:multiLevelType w:val="singleLevel"/>
    <w:tmpl w:val="F99AB0C9"/>
    <w:lvl w:ilvl="0" w:tentative="0">
      <w:start w:val="4"/>
      <w:numFmt w:val="chineseCounting"/>
      <w:suff w:val="nothing"/>
      <w:lvlText w:val="%1、"/>
      <w:lvlJc w:val="left"/>
      <w:rPr>
        <w:rFonts w:hint="eastAsia"/>
      </w:rPr>
    </w:lvl>
  </w:abstractNum>
  <w:abstractNum w:abstractNumId="2">
    <w:nsid w:val="4FCA4C51"/>
    <w:multiLevelType w:val="multilevel"/>
    <w:tmpl w:val="4FCA4C51"/>
    <w:lvl w:ilvl="0" w:tentative="0">
      <w:start w:val="1"/>
      <w:numFmt w:val="decimal"/>
      <w:pStyle w:val="174"/>
      <w:lvlText w:val="（%1）"/>
      <w:lvlJc w:val="left"/>
      <w:pPr>
        <w:tabs>
          <w:tab w:val="left" w:pos="720"/>
        </w:tabs>
        <w:ind w:left="720" w:hanging="720"/>
      </w:pPr>
      <w:rPr>
        <w:rFonts w:hint="default"/>
      </w:rPr>
    </w:lvl>
    <w:lvl w:ilvl="1" w:tentative="0">
      <w:start w:val="1"/>
      <w:numFmt w:val="lowerLetter"/>
      <w:lvlText w:val="%2)"/>
      <w:lvlJc w:val="left"/>
      <w:pPr>
        <w:tabs>
          <w:tab w:val="left" w:pos="1372"/>
        </w:tabs>
        <w:ind w:left="1372" w:hanging="420"/>
      </w:pPr>
    </w:lvl>
    <w:lvl w:ilvl="2" w:tentative="0">
      <w:start w:val="1"/>
      <w:numFmt w:val="lowerRoman"/>
      <w:lvlText w:val="%3."/>
      <w:lvlJc w:val="right"/>
      <w:pPr>
        <w:tabs>
          <w:tab w:val="left" w:pos="1792"/>
        </w:tabs>
        <w:ind w:left="1792" w:hanging="420"/>
      </w:pPr>
    </w:lvl>
    <w:lvl w:ilvl="3" w:tentative="0">
      <w:start w:val="1"/>
      <w:numFmt w:val="decimal"/>
      <w:lvlText w:val="%4."/>
      <w:lvlJc w:val="left"/>
      <w:pPr>
        <w:tabs>
          <w:tab w:val="left" w:pos="2212"/>
        </w:tabs>
        <w:ind w:left="2212" w:hanging="420"/>
      </w:pPr>
    </w:lvl>
    <w:lvl w:ilvl="4" w:tentative="0">
      <w:start w:val="1"/>
      <w:numFmt w:val="lowerLetter"/>
      <w:lvlText w:val="%5)"/>
      <w:lvlJc w:val="left"/>
      <w:pPr>
        <w:tabs>
          <w:tab w:val="left" w:pos="2632"/>
        </w:tabs>
        <w:ind w:left="2632" w:hanging="420"/>
      </w:pPr>
    </w:lvl>
    <w:lvl w:ilvl="5" w:tentative="0">
      <w:start w:val="1"/>
      <w:numFmt w:val="lowerRoman"/>
      <w:lvlText w:val="%6."/>
      <w:lvlJc w:val="right"/>
      <w:pPr>
        <w:tabs>
          <w:tab w:val="left" w:pos="3052"/>
        </w:tabs>
        <w:ind w:left="3052" w:hanging="420"/>
      </w:pPr>
    </w:lvl>
    <w:lvl w:ilvl="6" w:tentative="0">
      <w:start w:val="1"/>
      <w:numFmt w:val="decimal"/>
      <w:lvlText w:val="%7."/>
      <w:lvlJc w:val="left"/>
      <w:pPr>
        <w:tabs>
          <w:tab w:val="left" w:pos="3472"/>
        </w:tabs>
        <w:ind w:left="3472" w:hanging="420"/>
      </w:pPr>
    </w:lvl>
    <w:lvl w:ilvl="7" w:tentative="0">
      <w:start w:val="1"/>
      <w:numFmt w:val="lowerLetter"/>
      <w:lvlText w:val="%8)"/>
      <w:lvlJc w:val="left"/>
      <w:pPr>
        <w:tabs>
          <w:tab w:val="left" w:pos="3892"/>
        </w:tabs>
        <w:ind w:left="3892" w:hanging="420"/>
      </w:pPr>
    </w:lvl>
    <w:lvl w:ilvl="8" w:tentative="0">
      <w:start w:val="1"/>
      <w:numFmt w:val="lowerRoman"/>
      <w:lvlText w:val="%9."/>
      <w:lvlJc w:val="right"/>
      <w:pPr>
        <w:tabs>
          <w:tab w:val="left" w:pos="4312"/>
        </w:tabs>
        <w:ind w:left="4312" w:hanging="420"/>
      </w:pPr>
    </w:lvl>
  </w:abstractNum>
  <w:abstractNum w:abstractNumId="3">
    <w:nsid w:val="516014A5"/>
    <w:multiLevelType w:val="singleLevel"/>
    <w:tmpl w:val="516014A5"/>
    <w:lvl w:ilvl="0" w:tentative="0">
      <w:start w:val="1"/>
      <w:numFmt w:val="japaneseCounting"/>
      <w:pStyle w:val="200"/>
      <w:lvlText w:val="%1、"/>
      <w:lvlJc w:val="left"/>
      <w:pPr>
        <w:tabs>
          <w:tab w:val="left" w:pos="570"/>
        </w:tabs>
        <w:ind w:left="570" w:hanging="570"/>
      </w:pPr>
      <w:rPr>
        <w:rFonts w:hint="eastAsia"/>
      </w:rPr>
    </w:lvl>
  </w:abstractNum>
  <w:abstractNum w:abstractNumId="4">
    <w:nsid w:val="5A6D8216"/>
    <w:multiLevelType w:val="singleLevel"/>
    <w:tmpl w:val="5A6D8216"/>
    <w:lvl w:ilvl="0" w:tentative="0">
      <w:start w:val="1"/>
      <w:numFmt w:val="lowerLetter"/>
      <w:lvlText w:val="%1."/>
      <w:lvlJc w:val="left"/>
      <w:pPr>
        <w:tabs>
          <w:tab w:val="left" w:pos="312"/>
        </w:tabs>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F1916"/>
    <w:rsid w:val="00000A4C"/>
    <w:rsid w:val="00001D2C"/>
    <w:rsid w:val="00003EFE"/>
    <w:rsid w:val="00004C13"/>
    <w:rsid w:val="000063B7"/>
    <w:rsid w:val="00006478"/>
    <w:rsid w:val="00006961"/>
    <w:rsid w:val="00006F22"/>
    <w:rsid w:val="0001107B"/>
    <w:rsid w:val="00011244"/>
    <w:rsid w:val="00013A03"/>
    <w:rsid w:val="00014B5B"/>
    <w:rsid w:val="00014E9E"/>
    <w:rsid w:val="00015D6F"/>
    <w:rsid w:val="00016A36"/>
    <w:rsid w:val="000174EC"/>
    <w:rsid w:val="00017A9E"/>
    <w:rsid w:val="00022028"/>
    <w:rsid w:val="00022838"/>
    <w:rsid w:val="00022C0F"/>
    <w:rsid w:val="000231E7"/>
    <w:rsid w:val="00025058"/>
    <w:rsid w:val="000252C3"/>
    <w:rsid w:val="00025C2D"/>
    <w:rsid w:val="00025F29"/>
    <w:rsid w:val="000268F7"/>
    <w:rsid w:val="00027873"/>
    <w:rsid w:val="00030111"/>
    <w:rsid w:val="00031402"/>
    <w:rsid w:val="0003144C"/>
    <w:rsid w:val="0003165A"/>
    <w:rsid w:val="0003325E"/>
    <w:rsid w:val="00033C60"/>
    <w:rsid w:val="0003461B"/>
    <w:rsid w:val="00034AA0"/>
    <w:rsid w:val="0003520E"/>
    <w:rsid w:val="0003573D"/>
    <w:rsid w:val="00035967"/>
    <w:rsid w:val="00035CD4"/>
    <w:rsid w:val="00036371"/>
    <w:rsid w:val="0003652E"/>
    <w:rsid w:val="000373BC"/>
    <w:rsid w:val="00037ADA"/>
    <w:rsid w:val="00040B60"/>
    <w:rsid w:val="000414CD"/>
    <w:rsid w:val="00041823"/>
    <w:rsid w:val="00041E66"/>
    <w:rsid w:val="000427FC"/>
    <w:rsid w:val="0004280D"/>
    <w:rsid w:val="00044B53"/>
    <w:rsid w:val="0004504F"/>
    <w:rsid w:val="000458AF"/>
    <w:rsid w:val="0004647A"/>
    <w:rsid w:val="00046C35"/>
    <w:rsid w:val="00046EFA"/>
    <w:rsid w:val="0004788E"/>
    <w:rsid w:val="00050100"/>
    <w:rsid w:val="00050AB4"/>
    <w:rsid w:val="000514A9"/>
    <w:rsid w:val="000519B9"/>
    <w:rsid w:val="000522ED"/>
    <w:rsid w:val="000537EC"/>
    <w:rsid w:val="00055317"/>
    <w:rsid w:val="00056A1B"/>
    <w:rsid w:val="000574DA"/>
    <w:rsid w:val="000600B9"/>
    <w:rsid w:val="000622B3"/>
    <w:rsid w:val="00062623"/>
    <w:rsid w:val="00062734"/>
    <w:rsid w:val="0006412F"/>
    <w:rsid w:val="00065525"/>
    <w:rsid w:val="00065D41"/>
    <w:rsid w:val="000676EC"/>
    <w:rsid w:val="00071619"/>
    <w:rsid w:val="00071896"/>
    <w:rsid w:val="000734AE"/>
    <w:rsid w:val="00073562"/>
    <w:rsid w:val="00073652"/>
    <w:rsid w:val="000738AB"/>
    <w:rsid w:val="00075378"/>
    <w:rsid w:val="00076520"/>
    <w:rsid w:val="00077773"/>
    <w:rsid w:val="000811B5"/>
    <w:rsid w:val="0008164E"/>
    <w:rsid w:val="00081875"/>
    <w:rsid w:val="00084A3E"/>
    <w:rsid w:val="00085AC6"/>
    <w:rsid w:val="00086392"/>
    <w:rsid w:val="000864B2"/>
    <w:rsid w:val="000871B1"/>
    <w:rsid w:val="0009076B"/>
    <w:rsid w:val="00091394"/>
    <w:rsid w:val="0009158F"/>
    <w:rsid w:val="00091E15"/>
    <w:rsid w:val="0009229D"/>
    <w:rsid w:val="00092793"/>
    <w:rsid w:val="0009634A"/>
    <w:rsid w:val="00096A10"/>
    <w:rsid w:val="0009730A"/>
    <w:rsid w:val="000A0195"/>
    <w:rsid w:val="000A0389"/>
    <w:rsid w:val="000A0452"/>
    <w:rsid w:val="000A0CC9"/>
    <w:rsid w:val="000A1990"/>
    <w:rsid w:val="000A1CA2"/>
    <w:rsid w:val="000A2F8D"/>
    <w:rsid w:val="000A3545"/>
    <w:rsid w:val="000A3674"/>
    <w:rsid w:val="000A3BCE"/>
    <w:rsid w:val="000A4501"/>
    <w:rsid w:val="000A5122"/>
    <w:rsid w:val="000A5766"/>
    <w:rsid w:val="000A7E93"/>
    <w:rsid w:val="000B01B0"/>
    <w:rsid w:val="000B0CD3"/>
    <w:rsid w:val="000B1FE6"/>
    <w:rsid w:val="000B276C"/>
    <w:rsid w:val="000B2BC6"/>
    <w:rsid w:val="000B3329"/>
    <w:rsid w:val="000B3F53"/>
    <w:rsid w:val="000B42CA"/>
    <w:rsid w:val="000B512E"/>
    <w:rsid w:val="000B5A96"/>
    <w:rsid w:val="000B5E35"/>
    <w:rsid w:val="000B675F"/>
    <w:rsid w:val="000B79B6"/>
    <w:rsid w:val="000C000E"/>
    <w:rsid w:val="000C0053"/>
    <w:rsid w:val="000C028F"/>
    <w:rsid w:val="000C40D9"/>
    <w:rsid w:val="000C4A9B"/>
    <w:rsid w:val="000D186B"/>
    <w:rsid w:val="000D1AC5"/>
    <w:rsid w:val="000D2164"/>
    <w:rsid w:val="000D2658"/>
    <w:rsid w:val="000D3EDB"/>
    <w:rsid w:val="000D4145"/>
    <w:rsid w:val="000D4F76"/>
    <w:rsid w:val="000D63CA"/>
    <w:rsid w:val="000D7006"/>
    <w:rsid w:val="000E0621"/>
    <w:rsid w:val="000E092D"/>
    <w:rsid w:val="000E269C"/>
    <w:rsid w:val="000E29AB"/>
    <w:rsid w:val="000E347D"/>
    <w:rsid w:val="000E3AC1"/>
    <w:rsid w:val="000E3AC9"/>
    <w:rsid w:val="000E3E80"/>
    <w:rsid w:val="000E4513"/>
    <w:rsid w:val="000E4CEF"/>
    <w:rsid w:val="000E658C"/>
    <w:rsid w:val="000E65BF"/>
    <w:rsid w:val="000F17EA"/>
    <w:rsid w:val="000F2BF1"/>
    <w:rsid w:val="000F39BD"/>
    <w:rsid w:val="000F4C72"/>
    <w:rsid w:val="000F686A"/>
    <w:rsid w:val="000F70AC"/>
    <w:rsid w:val="001007D3"/>
    <w:rsid w:val="00100EDB"/>
    <w:rsid w:val="00100F6C"/>
    <w:rsid w:val="00100F9E"/>
    <w:rsid w:val="00102168"/>
    <w:rsid w:val="00102ACA"/>
    <w:rsid w:val="0010322A"/>
    <w:rsid w:val="0010363C"/>
    <w:rsid w:val="001036B8"/>
    <w:rsid w:val="00104621"/>
    <w:rsid w:val="001057D0"/>
    <w:rsid w:val="00105CF9"/>
    <w:rsid w:val="00106522"/>
    <w:rsid w:val="001071F1"/>
    <w:rsid w:val="001072C2"/>
    <w:rsid w:val="00107A8E"/>
    <w:rsid w:val="00107ECA"/>
    <w:rsid w:val="00107FB5"/>
    <w:rsid w:val="00110748"/>
    <w:rsid w:val="00110771"/>
    <w:rsid w:val="001108D3"/>
    <w:rsid w:val="00110BA1"/>
    <w:rsid w:val="00110DC2"/>
    <w:rsid w:val="00111FF7"/>
    <w:rsid w:val="00112F99"/>
    <w:rsid w:val="00113EC3"/>
    <w:rsid w:val="001146B8"/>
    <w:rsid w:val="00114DB6"/>
    <w:rsid w:val="00114EBF"/>
    <w:rsid w:val="00116636"/>
    <w:rsid w:val="001170F9"/>
    <w:rsid w:val="00117CF2"/>
    <w:rsid w:val="00121A27"/>
    <w:rsid w:val="00121E6E"/>
    <w:rsid w:val="00122399"/>
    <w:rsid w:val="0012284F"/>
    <w:rsid w:val="001242C9"/>
    <w:rsid w:val="00124AF0"/>
    <w:rsid w:val="00126497"/>
    <w:rsid w:val="001269F6"/>
    <w:rsid w:val="0012780D"/>
    <w:rsid w:val="001303A5"/>
    <w:rsid w:val="00131320"/>
    <w:rsid w:val="0013226F"/>
    <w:rsid w:val="0013273F"/>
    <w:rsid w:val="00132C92"/>
    <w:rsid w:val="00133ABB"/>
    <w:rsid w:val="00133B03"/>
    <w:rsid w:val="001343BB"/>
    <w:rsid w:val="0013497E"/>
    <w:rsid w:val="001362D4"/>
    <w:rsid w:val="0013655E"/>
    <w:rsid w:val="00136989"/>
    <w:rsid w:val="00136CB0"/>
    <w:rsid w:val="00137B40"/>
    <w:rsid w:val="00137E4A"/>
    <w:rsid w:val="0014032A"/>
    <w:rsid w:val="0014036F"/>
    <w:rsid w:val="001410EC"/>
    <w:rsid w:val="0014122F"/>
    <w:rsid w:val="00141387"/>
    <w:rsid w:val="00142EA8"/>
    <w:rsid w:val="0014480D"/>
    <w:rsid w:val="001450FC"/>
    <w:rsid w:val="00145382"/>
    <w:rsid w:val="0014648C"/>
    <w:rsid w:val="00146CCB"/>
    <w:rsid w:val="0015110C"/>
    <w:rsid w:val="001514DB"/>
    <w:rsid w:val="00151A5F"/>
    <w:rsid w:val="00151CA1"/>
    <w:rsid w:val="00152650"/>
    <w:rsid w:val="00153422"/>
    <w:rsid w:val="00153775"/>
    <w:rsid w:val="00153A50"/>
    <w:rsid w:val="001556D7"/>
    <w:rsid w:val="001558AE"/>
    <w:rsid w:val="001564DD"/>
    <w:rsid w:val="0015656E"/>
    <w:rsid w:val="001571E3"/>
    <w:rsid w:val="00157409"/>
    <w:rsid w:val="00161908"/>
    <w:rsid w:val="00161F02"/>
    <w:rsid w:val="001625AB"/>
    <w:rsid w:val="00162D84"/>
    <w:rsid w:val="00163AE1"/>
    <w:rsid w:val="001649B9"/>
    <w:rsid w:val="00164F40"/>
    <w:rsid w:val="00165361"/>
    <w:rsid w:val="00165AA2"/>
    <w:rsid w:val="0016700A"/>
    <w:rsid w:val="001723EB"/>
    <w:rsid w:val="00172726"/>
    <w:rsid w:val="00173337"/>
    <w:rsid w:val="0017339A"/>
    <w:rsid w:val="00173AEF"/>
    <w:rsid w:val="001745D9"/>
    <w:rsid w:val="001751CD"/>
    <w:rsid w:val="00175803"/>
    <w:rsid w:val="0017593E"/>
    <w:rsid w:val="00175A28"/>
    <w:rsid w:val="00176E34"/>
    <w:rsid w:val="00177D9C"/>
    <w:rsid w:val="00180147"/>
    <w:rsid w:val="0018069A"/>
    <w:rsid w:val="00181403"/>
    <w:rsid w:val="0018235C"/>
    <w:rsid w:val="00182B47"/>
    <w:rsid w:val="00183DBD"/>
    <w:rsid w:val="0018436E"/>
    <w:rsid w:val="0018448F"/>
    <w:rsid w:val="001844AB"/>
    <w:rsid w:val="00184718"/>
    <w:rsid w:val="00184B13"/>
    <w:rsid w:val="00185918"/>
    <w:rsid w:val="00186A4A"/>
    <w:rsid w:val="0019062E"/>
    <w:rsid w:val="0019174C"/>
    <w:rsid w:val="00192980"/>
    <w:rsid w:val="00193661"/>
    <w:rsid w:val="00193C07"/>
    <w:rsid w:val="00193FAF"/>
    <w:rsid w:val="00194264"/>
    <w:rsid w:val="001942E8"/>
    <w:rsid w:val="001953AE"/>
    <w:rsid w:val="00195E48"/>
    <w:rsid w:val="00196D7C"/>
    <w:rsid w:val="00197A9B"/>
    <w:rsid w:val="00197BFC"/>
    <w:rsid w:val="001A094D"/>
    <w:rsid w:val="001A09D2"/>
    <w:rsid w:val="001A0BF3"/>
    <w:rsid w:val="001A0DFC"/>
    <w:rsid w:val="001A1A0D"/>
    <w:rsid w:val="001A1F07"/>
    <w:rsid w:val="001A2060"/>
    <w:rsid w:val="001A2BAD"/>
    <w:rsid w:val="001A57B3"/>
    <w:rsid w:val="001A5967"/>
    <w:rsid w:val="001A7655"/>
    <w:rsid w:val="001B04BB"/>
    <w:rsid w:val="001B04DE"/>
    <w:rsid w:val="001B080C"/>
    <w:rsid w:val="001B1EE7"/>
    <w:rsid w:val="001B267C"/>
    <w:rsid w:val="001B2B80"/>
    <w:rsid w:val="001B2D15"/>
    <w:rsid w:val="001B31C2"/>
    <w:rsid w:val="001B35C5"/>
    <w:rsid w:val="001B44D0"/>
    <w:rsid w:val="001B56AB"/>
    <w:rsid w:val="001B56B1"/>
    <w:rsid w:val="001B6241"/>
    <w:rsid w:val="001B63A4"/>
    <w:rsid w:val="001B7536"/>
    <w:rsid w:val="001C3377"/>
    <w:rsid w:val="001C373A"/>
    <w:rsid w:val="001C41F2"/>
    <w:rsid w:val="001C438A"/>
    <w:rsid w:val="001C5588"/>
    <w:rsid w:val="001C5887"/>
    <w:rsid w:val="001C6AAD"/>
    <w:rsid w:val="001C78AA"/>
    <w:rsid w:val="001C7CEA"/>
    <w:rsid w:val="001D0070"/>
    <w:rsid w:val="001D00C9"/>
    <w:rsid w:val="001D1468"/>
    <w:rsid w:val="001D1619"/>
    <w:rsid w:val="001D22D4"/>
    <w:rsid w:val="001D2B67"/>
    <w:rsid w:val="001D45AB"/>
    <w:rsid w:val="001D4711"/>
    <w:rsid w:val="001D4BD3"/>
    <w:rsid w:val="001D5048"/>
    <w:rsid w:val="001D56DE"/>
    <w:rsid w:val="001D6F79"/>
    <w:rsid w:val="001D73D6"/>
    <w:rsid w:val="001E0CFB"/>
    <w:rsid w:val="001E240F"/>
    <w:rsid w:val="001E27B2"/>
    <w:rsid w:val="001E2E3C"/>
    <w:rsid w:val="001E2F94"/>
    <w:rsid w:val="001E38A3"/>
    <w:rsid w:val="001E4F47"/>
    <w:rsid w:val="001E51E6"/>
    <w:rsid w:val="001E635A"/>
    <w:rsid w:val="001E77BD"/>
    <w:rsid w:val="001F0555"/>
    <w:rsid w:val="001F08CB"/>
    <w:rsid w:val="001F142E"/>
    <w:rsid w:val="001F14F0"/>
    <w:rsid w:val="001F1692"/>
    <w:rsid w:val="001F1874"/>
    <w:rsid w:val="001F2143"/>
    <w:rsid w:val="001F267D"/>
    <w:rsid w:val="001F357E"/>
    <w:rsid w:val="001F43A4"/>
    <w:rsid w:val="001F5227"/>
    <w:rsid w:val="001F5419"/>
    <w:rsid w:val="001F600D"/>
    <w:rsid w:val="001F61B1"/>
    <w:rsid w:val="001F6DA5"/>
    <w:rsid w:val="001F7538"/>
    <w:rsid w:val="001F75B3"/>
    <w:rsid w:val="001F7B35"/>
    <w:rsid w:val="001F7BFF"/>
    <w:rsid w:val="001F7F7B"/>
    <w:rsid w:val="00200821"/>
    <w:rsid w:val="00200863"/>
    <w:rsid w:val="00201440"/>
    <w:rsid w:val="00203AA1"/>
    <w:rsid w:val="00203CF5"/>
    <w:rsid w:val="00203E8B"/>
    <w:rsid w:val="0020450A"/>
    <w:rsid w:val="00204954"/>
    <w:rsid w:val="002049BB"/>
    <w:rsid w:val="00204D67"/>
    <w:rsid w:val="00204E4B"/>
    <w:rsid w:val="00205032"/>
    <w:rsid w:val="00206C65"/>
    <w:rsid w:val="002071A0"/>
    <w:rsid w:val="0020738F"/>
    <w:rsid w:val="00207DAB"/>
    <w:rsid w:val="002104AD"/>
    <w:rsid w:val="00210631"/>
    <w:rsid w:val="002107A8"/>
    <w:rsid w:val="00210D7B"/>
    <w:rsid w:val="00210F10"/>
    <w:rsid w:val="0021166F"/>
    <w:rsid w:val="00211C1F"/>
    <w:rsid w:val="00212C06"/>
    <w:rsid w:val="002138A6"/>
    <w:rsid w:val="00213AAF"/>
    <w:rsid w:val="00213D19"/>
    <w:rsid w:val="00213F2A"/>
    <w:rsid w:val="00215649"/>
    <w:rsid w:val="002159EB"/>
    <w:rsid w:val="00215ACE"/>
    <w:rsid w:val="00216294"/>
    <w:rsid w:val="002169FC"/>
    <w:rsid w:val="002211F5"/>
    <w:rsid w:val="00221B81"/>
    <w:rsid w:val="00221BAF"/>
    <w:rsid w:val="002228FB"/>
    <w:rsid w:val="00222F37"/>
    <w:rsid w:val="002249CC"/>
    <w:rsid w:val="002250DF"/>
    <w:rsid w:val="00225740"/>
    <w:rsid w:val="00225EFC"/>
    <w:rsid w:val="002260C8"/>
    <w:rsid w:val="00227B86"/>
    <w:rsid w:val="00230F2A"/>
    <w:rsid w:val="0023102D"/>
    <w:rsid w:val="002311DD"/>
    <w:rsid w:val="00231928"/>
    <w:rsid w:val="002321D3"/>
    <w:rsid w:val="00232609"/>
    <w:rsid w:val="002327D9"/>
    <w:rsid w:val="0023326F"/>
    <w:rsid w:val="002347B7"/>
    <w:rsid w:val="002358F4"/>
    <w:rsid w:val="002360ED"/>
    <w:rsid w:val="002376BD"/>
    <w:rsid w:val="002409B5"/>
    <w:rsid w:val="0024170A"/>
    <w:rsid w:val="0024192C"/>
    <w:rsid w:val="00241C5D"/>
    <w:rsid w:val="002434FC"/>
    <w:rsid w:val="002437AD"/>
    <w:rsid w:val="00243F45"/>
    <w:rsid w:val="0024455E"/>
    <w:rsid w:val="00245E11"/>
    <w:rsid w:val="0024635B"/>
    <w:rsid w:val="00247918"/>
    <w:rsid w:val="00247C9E"/>
    <w:rsid w:val="0025015E"/>
    <w:rsid w:val="00250D6D"/>
    <w:rsid w:val="0025282D"/>
    <w:rsid w:val="00253419"/>
    <w:rsid w:val="002541A8"/>
    <w:rsid w:val="00254D84"/>
    <w:rsid w:val="002552A0"/>
    <w:rsid w:val="00255A13"/>
    <w:rsid w:val="00256198"/>
    <w:rsid w:val="00256699"/>
    <w:rsid w:val="00256ABD"/>
    <w:rsid w:val="00257149"/>
    <w:rsid w:val="002577D4"/>
    <w:rsid w:val="002603A2"/>
    <w:rsid w:val="002607E8"/>
    <w:rsid w:val="00260DAA"/>
    <w:rsid w:val="00260EB1"/>
    <w:rsid w:val="0026181F"/>
    <w:rsid w:val="00261C50"/>
    <w:rsid w:val="00262080"/>
    <w:rsid w:val="00262A16"/>
    <w:rsid w:val="00262BC9"/>
    <w:rsid w:val="00262D0B"/>
    <w:rsid w:val="00263D14"/>
    <w:rsid w:val="00264067"/>
    <w:rsid w:val="00264162"/>
    <w:rsid w:val="002642C4"/>
    <w:rsid w:val="00264595"/>
    <w:rsid w:val="002648EE"/>
    <w:rsid w:val="00264C6F"/>
    <w:rsid w:val="00264E0A"/>
    <w:rsid w:val="002654C4"/>
    <w:rsid w:val="00265734"/>
    <w:rsid w:val="00265F16"/>
    <w:rsid w:val="00266244"/>
    <w:rsid w:val="00266AC7"/>
    <w:rsid w:val="00266C41"/>
    <w:rsid w:val="00270D1B"/>
    <w:rsid w:val="002711EB"/>
    <w:rsid w:val="002711EF"/>
    <w:rsid w:val="00272996"/>
    <w:rsid w:val="00273413"/>
    <w:rsid w:val="002736AE"/>
    <w:rsid w:val="00274283"/>
    <w:rsid w:val="00274E1F"/>
    <w:rsid w:val="00276090"/>
    <w:rsid w:val="002760E2"/>
    <w:rsid w:val="0027725F"/>
    <w:rsid w:val="00277908"/>
    <w:rsid w:val="002800A6"/>
    <w:rsid w:val="00281366"/>
    <w:rsid w:val="00281764"/>
    <w:rsid w:val="0028178F"/>
    <w:rsid w:val="00281978"/>
    <w:rsid w:val="00281FF8"/>
    <w:rsid w:val="0028249F"/>
    <w:rsid w:val="0028338B"/>
    <w:rsid w:val="0028408B"/>
    <w:rsid w:val="00285247"/>
    <w:rsid w:val="00287CEE"/>
    <w:rsid w:val="00287D52"/>
    <w:rsid w:val="00287EC7"/>
    <w:rsid w:val="0029313F"/>
    <w:rsid w:val="002937F8"/>
    <w:rsid w:val="00293F4A"/>
    <w:rsid w:val="002948DD"/>
    <w:rsid w:val="00295746"/>
    <w:rsid w:val="00297B7F"/>
    <w:rsid w:val="00297C5B"/>
    <w:rsid w:val="002A0603"/>
    <w:rsid w:val="002A19E2"/>
    <w:rsid w:val="002A252C"/>
    <w:rsid w:val="002A299D"/>
    <w:rsid w:val="002A2D80"/>
    <w:rsid w:val="002A4B82"/>
    <w:rsid w:val="002A4E53"/>
    <w:rsid w:val="002A5131"/>
    <w:rsid w:val="002A5374"/>
    <w:rsid w:val="002A6C36"/>
    <w:rsid w:val="002A6CCC"/>
    <w:rsid w:val="002A76BF"/>
    <w:rsid w:val="002B24AC"/>
    <w:rsid w:val="002B290E"/>
    <w:rsid w:val="002B36B3"/>
    <w:rsid w:val="002B3EFC"/>
    <w:rsid w:val="002B4B93"/>
    <w:rsid w:val="002B4BC0"/>
    <w:rsid w:val="002B54CB"/>
    <w:rsid w:val="002B5933"/>
    <w:rsid w:val="002B6DB1"/>
    <w:rsid w:val="002C00E6"/>
    <w:rsid w:val="002C162B"/>
    <w:rsid w:val="002C21E8"/>
    <w:rsid w:val="002C2503"/>
    <w:rsid w:val="002C252D"/>
    <w:rsid w:val="002C2C9B"/>
    <w:rsid w:val="002C35F2"/>
    <w:rsid w:val="002C3726"/>
    <w:rsid w:val="002C3740"/>
    <w:rsid w:val="002C3FE3"/>
    <w:rsid w:val="002C4A04"/>
    <w:rsid w:val="002C533C"/>
    <w:rsid w:val="002C6CB4"/>
    <w:rsid w:val="002C731D"/>
    <w:rsid w:val="002C76D6"/>
    <w:rsid w:val="002D2C77"/>
    <w:rsid w:val="002D3DF9"/>
    <w:rsid w:val="002D55BE"/>
    <w:rsid w:val="002D643D"/>
    <w:rsid w:val="002E05B6"/>
    <w:rsid w:val="002E0863"/>
    <w:rsid w:val="002E0BC2"/>
    <w:rsid w:val="002E0D0E"/>
    <w:rsid w:val="002E165C"/>
    <w:rsid w:val="002E171A"/>
    <w:rsid w:val="002E25B0"/>
    <w:rsid w:val="002E2684"/>
    <w:rsid w:val="002E36AD"/>
    <w:rsid w:val="002E5171"/>
    <w:rsid w:val="002E52F9"/>
    <w:rsid w:val="002E5DEF"/>
    <w:rsid w:val="002E642F"/>
    <w:rsid w:val="002E69D8"/>
    <w:rsid w:val="002E6A71"/>
    <w:rsid w:val="002E70CA"/>
    <w:rsid w:val="002E7179"/>
    <w:rsid w:val="002E79A4"/>
    <w:rsid w:val="002F00D3"/>
    <w:rsid w:val="002F06A4"/>
    <w:rsid w:val="002F0EA6"/>
    <w:rsid w:val="002F1137"/>
    <w:rsid w:val="002F143A"/>
    <w:rsid w:val="002F14DD"/>
    <w:rsid w:val="002F1C8A"/>
    <w:rsid w:val="002F2042"/>
    <w:rsid w:val="002F2706"/>
    <w:rsid w:val="002F2C47"/>
    <w:rsid w:val="002F3080"/>
    <w:rsid w:val="002F37C6"/>
    <w:rsid w:val="002F39DB"/>
    <w:rsid w:val="002F4A4D"/>
    <w:rsid w:val="002F65A3"/>
    <w:rsid w:val="002F65E7"/>
    <w:rsid w:val="002F6E3F"/>
    <w:rsid w:val="002F6F67"/>
    <w:rsid w:val="0030042A"/>
    <w:rsid w:val="00300508"/>
    <w:rsid w:val="00301075"/>
    <w:rsid w:val="00301672"/>
    <w:rsid w:val="00301D1B"/>
    <w:rsid w:val="00302AAA"/>
    <w:rsid w:val="003038B4"/>
    <w:rsid w:val="0030528C"/>
    <w:rsid w:val="0030543F"/>
    <w:rsid w:val="0030642A"/>
    <w:rsid w:val="00310421"/>
    <w:rsid w:val="00311FC5"/>
    <w:rsid w:val="003120CA"/>
    <w:rsid w:val="00313868"/>
    <w:rsid w:val="00313D74"/>
    <w:rsid w:val="0031411C"/>
    <w:rsid w:val="00315649"/>
    <w:rsid w:val="003164B5"/>
    <w:rsid w:val="00316593"/>
    <w:rsid w:val="00316D98"/>
    <w:rsid w:val="00317976"/>
    <w:rsid w:val="00317E9B"/>
    <w:rsid w:val="00320FF8"/>
    <w:rsid w:val="003227AF"/>
    <w:rsid w:val="00324BA5"/>
    <w:rsid w:val="00325F3A"/>
    <w:rsid w:val="003302FF"/>
    <w:rsid w:val="0033031E"/>
    <w:rsid w:val="003303E1"/>
    <w:rsid w:val="00330A5E"/>
    <w:rsid w:val="003320C3"/>
    <w:rsid w:val="00333BA2"/>
    <w:rsid w:val="0033522E"/>
    <w:rsid w:val="003359E6"/>
    <w:rsid w:val="00336383"/>
    <w:rsid w:val="00336403"/>
    <w:rsid w:val="0033665B"/>
    <w:rsid w:val="00336F27"/>
    <w:rsid w:val="00340CA0"/>
    <w:rsid w:val="003418E5"/>
    <w:rsid w:val="003422D7"/>
    <w:rsid w:val="00342E28"/>
    <w:rsid w:val="003431A0"/>
    <w:rsid w:val="00343816"/>
    <w:rsid w:val="00343F0B"/>
    <w:rsid w:val="00344755"/>
    <w:rsid w:val="00344DA4"/>
    <w:rsid w:val="00344EB8"/>
    <w:rsid w:val="00345AE0"/>
    <w:rsid w:val="00346E36"/>
    <w:rsid w:val="00350C68"/>
    <w:rsid w:val="00350D87"/>
    <w:rsid w:val="003516A3"/>
    <w:rsid w:val="00352A4C"/>
    <w:rsid w:val="00353071"/>
    <w:rsid w:val="00357024"/>
    <w:rsid w:val="0035706C"/>
    <w:rsid w:val="00357E3B"/>
    <w:rsid w:val="00361880"/>
    <w:rsid w:val="00361D40"/>
    <w:rsid w:val="003626A9"/>
    <w:rsid w:val="0036377F"/>
    <w:rsid w:val="00363790"/>
    <w:rsid w:val="00364146"/>
    <w:rsid w:val="0036496E"/>
    <w:rsid w:val="00365946"/>
    <w:rsid w:val="003675E3"/>
    <w:rsid w:val="00371171"/>
    <w:rsid w:val="0037159F"/>
    <w:rsid w:val="00371C17"/>
    <w:rsid w:val="00372912"/>
    <w:rsid w:val="00372AAF"/>
    <w:rsid w:val="003731DA"/>
    <w:rsid w:val="00373AC9"/>
    <w:rsid w:val="00373F4B"/>
    <w:rsid w:val="00375283"/>
    <w:rsid w:val="00376000"/>
    <w:rsid w:val="003779A4"/>
    <w:rsid w:val="00377AEF"/>
    <w:rsid w:val="00377C99"/>
    <w:rsid w:val="00381B04"/>
    <w:rsid w:val="003822A0"/>
    <w:rsid w:val="00383575"/>
    <w:rsid w:val="00383B6C"/>
    <w:rsid w:val="00383DD8"/>
    <w:rsid w:val="003845D5"/>
    <w:rsid w:val="0038464B"/>
    <w:rsid w:val="003847A3"/>
    <w:rsid w:val="003853B0"/>
    <w:rsid w:val="0038558D"/>
    <w:rsid w:val="00385E75"/>
    <w:rsid w:val="00385FE4"/>
    <w:rsid w:val="00386C97"/>
    <w:rsid w:val="00386E93"/>
    <w:rsid w:val="00390207"/>
    <w:rsid w:val="00391E00"/>
    <w:rsid w:val="00392218"/>
    <w:rsid w:val="00392D5B"/>
    <w:rsid w:val="00393D3A"/>
    <w:rsid w:val="003941D8"/>
    <w:rsid w:val="00394958"/>
    <w:rsid w:val="00395364"/>
    <w:rsid w:val="00395B16"/>
    <w:rsid w:val="00396304"/>
    <w:rsid w:val="00396513"/>
    <w:rsid w:val="00396C5C"/>
    <w:rsid w:val="00396D08"/>
    <w:rsid w:val="00396DC9"/>
    <w:rsid w:val="0039784D"/>
    <w:rsid w:val="00397C7F"/>
    <w:rsid w:val="00397C9A"/>
    <w:rsid w:val="003A02B6"/>
    <w:rsid w:val="003A0F8F"/>
    <w:rsid w:val="003A11E5"/>
    <w:rsid w:val="003A1DE6"/>
    <w:rsid w:val="003A298B"/>
    <w:rsid w:val="003A2B06"/>
    <w:rsid w:val="003A4FD5"/>
    <w:rsid w:val="003A55E9"/>
    <w:rsid w:val="003A7706"/>
    <w:rsid w:val="003A7785"/>
    <w:rsid w:val="003A7891"/>
    <w:rsid w:val="003B01EE"/>
    <w:rsid w:val="003B05D1"/>
    <w:rsid w:val="003B1230"/>
    <w:rsid w:val="003B23D8"/>
    <w:rsid w:val="003B24DA"/>
    <w:rsid w:val="003B296D"/>
    <w:rsid w:val="003B2B8A"/>
    <w:rsid w:val="003B2F29"/>
    <w:rsid w:val="003B351A"/>
    <w:rsid w:val="003B4718"/>
    <w:rsid w:val="003B5239"/>
    <w:rsid w:val="003B52E8"/>
    <w:rsid w:val="003B5E3A"/>
    <w:rsid w:val="003B6877"/>
    <w:rsid w:val="003B690A"/>
    <w:rsid w:val="003B6C1B"/>
    <w:rsid w:val="003C0753"/>
    <w:rsid w:val="003C0ADB"/>
    <w:rsid w:val="003C19C9"/>
    <w:rsid w:val="003C25BB"/>
    <w:rsid w:val="003C2EBE"/>
    <w:rsid w:val="003C32C9"/>
    <w:rsid w:val="003C363A"/>
    <w:rsid w:val="003C3894"/>
    <w:rsid w:val="003C43E0"/>
    <w:rsid w:val="003C4798"/>
    <w:rsid w:val="003C5077"/>
    <w:rsid w:val="003C6860"/>
    <w:rsid w:val="003C7705"/>
    <w:rsid w:val="003C7B5B"/>
    <w:rsid w:val="003D0602"/>
    <w:rsid w:val="003D0973"/>
    <w:rsid w:val="003D0A8E"/>
    <w:rsid w:val="003D1549"/>
    <w:rsid w:val="003D16D1"/>
    <w:rsid w:val="003D2D9A"/>
    <w:rsid w:val="003D302C"/>
    <w:rsid w:val="003D429B"/>
    <w:rsid w:val="003D65AC"/>
    <w:rsid w:val="003D664E"/>
    <w:rsid w:val="003D740C"/>
    <w:rsid w:val="003D7B6E"/>
    <w:rsid w:val="003E005B"/>
    <w:rsid w:val="003E0237"/>
    <w:rsid w:val="003E0667"/>
    <w:rsid w:val="003E0D7A"/>
    <w:rsid w:val="003E211C"/>
    <w:rsid w:val="003E42C0"/>
    <w:rsid w:val="003E44E3"/>
    <w:rsid w:val="003E497F"/>
    <w:rsid w:val="003E4CA5"/>
    <w:rsid w:val="003E4E4F"/>
    <w:rsid w:val="003E58D1"/>
    <w:rsid w:val="003E5981"/>
    <w:rsid w:val="003E619E"/>
    <w:rsid w:val="003E6F15"/>
    <w:rsid w:val="003F0877"/>
    <w:rsid w:val="003F1867"/>
    <w:rsid w:val="003F1916"/>
    <w:rsid w:val="003F2222"/>
    <w:rsid w:val="003F2790"/>
    <w:rsid w:val="003F3223"/>
    <w:rsid w:val="003F33C6"/>
    <w:rsid w:val="003F36FE"/>
    <w:rsid w:val="003F3BCC"/>
    <w:rsid w:val="003F3CA9"/>
    <w:rsid w:val="003F4336"/>
    <w:rsid w:val="003F477B"/>
    <w:rsid w:val="003F47AF"/>
    <w:rsid w:val="003F4965"/>
    <w:rsid w:val="003F4C80"/>
    <w:rsid w:val="003F55E7"/>
    <w:rsid w:val="003F60B9"/>
    <w:rsid w:val="003F65A4"/>
    <w:rsid w:val="003F70C9"/>
    <w:rsid w:val="003F7200"/>
    <w:rsid w:val="003F7BFC"/>
    <w:rsid w:val="0040214D"/>
    <w:rsid w:val="00402B1C"/>
    <w:rsid w:val="004032FB"/>
    <w:rsid w:val="00404D23"/>
    <w:rsid w:val="004050DA"/>
    <w:rsid w:val="00406850"/>
    <w:rsid w:val="00407302"/>
    <w:rsid w:val="00410024"/>
    <w:rsid w:val="0041070D"/>
    <w:rsid w:val="004108F3"/>
    <w:rsid w:val="00411298"/>
    <w:rsid w:val="0041156A"/>
    <w:rsid w:val="00411BD8"/>
    <w:rsid w:val="004120DA"/>
    <w:rsid w:val="004120FC"/>
    <w:rsid w:val="0041341F"/>
    <w:rsid w:val="004145A7"/>
    <w:rsid w:val="00415186"/>
    <w:rsid w:val="00415486"/>
    <w:rsid w:val="0041576D"/>
    <w:rsid w:val="00416C02"/>
    <w:rsid w:val="00416ED8"/>
    <w:rsid w:val="004174FA"/>
    <w:rsid w:val="004178CA"/>
    <w:rsid w:val="0042091E"/>
    <w:rsid w:val="00420D4D"/>
    <w:rsid w:val="00421DAD"/>
    <w:rsid w:val="004225F0"/>
    <w:rsid w:val="0042297B"/>
    <w:rsid w:val="004234A2"/>
    <w:rsid w:val="00423695"/>
    <w:rsid w:val="0042379C"/>
    <w:rsid w:val="004267BB"/>
    <w:rsid w:val="00427395"/>
    <w:rsid w:val="00430E5A"/>
    <w:rsid w:val="00431140"/>
    <w:rsid w:val="00431DBE"/>
    <w:rsid w:val="004330F4"/>
    <w:rsid w:val="004331C9"/>
    <w:rsid w:val="00433BC7"/>
    <w:rsid w:val="00434052"/>
    <w:rsid w:val="0043450A"/>
    <w:rsid w:val="00435029"/>
    <w:rsid w:val="00435938"/>
    <w:rsid w:val="004368BD"/>
    <w:rsid w:val="00437122"/>
    <w:rsid w:val="00437F09"/>
    <w:rsid w:val="00437FA5"/>
    <w:rsid w:val="00440B69"/>
    <w:rsid w:val="00441B3A"/>
    <w:rsid w:val="00443482"/>
    <w:rsid w:val="00443AFB"/>
    <w:rsid w:val="004452EC"/>
    <w:rsid w:val="00445566"/>
    <w:rsid w:val="00445BC0"/>
    <w:rsid w:val="00445CAF"/>
    <w:rsid w:val="00445D66"/>
    <w:rsid w:val="00446640"/>
    <w:rsid w:val="004469D9"/>
    <w:rsid w:val="00446BAD"/>
    <w:rsid w:val="00447931"/>
    <w:rsid w:val="00447BDF"/>
    <w:rsid w:val="004500A1"/>
    <w:rsid w:val="00450B02"/>
    <w:rsid w:val="004513AA"/>
    <w:rsid w:val="00451902"/>
    <w:rsid w:val="00452A35"/>
    <w:rsid w:val="00453480"/>
    <w:rsid w:val="00454038"/>
    <w:rsid w:val="004549AF"/>
    <w:rsid w:val="00454A62"/>
    <w:rsid w:val="00454E43"/>
    <w:rsid w:val="00454FA2"/>
    <w:rsid w:val="0045621B"/>
    <w:rsid w:val="00456C71"/>
    <w:rsid w:val="0045764A"/>
    <w:rsid w:val="004579A1"/>
    <w:rsid w:val="00461F6C"/>
    <w:rsid w:val="0046360D"/>
    <w:rsid w:val="00463EFE"/>
    <w:rsid w:val="00464552"/>
    <w:rsid w:val="0046493D"/>
    <w:rsid w:val="00464994"/>
    <w:rsid w:val="00464FF0"/>
    <w:rsid w:val="004659FA"/>
    <w:rsid w:val="00465E85"/>
    <w:rsid w:val="00467020"/>
    <w:rsid w:val="00467749"/>
    <w:rsid w:val="00467E84"/>
    <w:rsid w:val="00467EFE"/>
    <w:rsid w:val="004721E5"/>
    <w:rsid w:val="00472CFB"/>
    <w:rsid w:val="00472DBC"/>
    <w:rsid w:val="004734D7"/>
    <w:rsid w:val="00474008"/>
    <w:rsid w:val="00475304"/>
    <w:rsid w:val="00475E53"/>
    <w:rsid w:val="00475E66"/>
    <w:rsid w:val="00475F8B"/>
    <w:rsid w:val="0047629E"/>
    <w:rsid w:val="00476867"/>
    <w:rsid w:val="00476DF5"/>
    <w:rsid w:val="00477B98"/>
    <w:rsid w:val="00480323"/>
    <w:rsid w:val="00480F6A"/>
    <w:rsid w:val="004821BA"/>
    <w:rsid w:val="0048353E"/>
    <w:rsid w:val="00483D16"/>
    <w:rsid w:val="004846DE"/>
    <w:rsid w:val="00485C00"/>
    <w:rsid w:val="0048644D"/>
    <w:rsid w:val="0048685F"/>
    <w:rsid w:val="00486A20"/>
    <w:rsid w:val="00486AF1"/>
    <w:rsid w:val="00486DC9"/>
    <w:rsid w:val="00486F34"/>
    <w:rsid w:val="004874C6"/>
    <w:rsid w:val="004874F9"/>
    <w:rsid w:val="0049016C"/>
    <w:rsid w:val="004910A3"/>
    <w:rsid w:val="004917AB"/>
    <w:rsid w:val="00492677"/>
    <w:rsid w:val="0049299A"/>
    <w:rsid w:val="00492D02"/>
    <w:rsid w:val="0049374B"/>
    <w:rsid w:val="00493D38"/>
    <w:rsid w:val="004941C0"/>
    <w:rsid w:val="004945E5"/>
    <w:rsid w:val="00494B61"/>
    <w:rsid w:val="004957E7"/>
    <w:rsid w:val="004964C4"/>
    <w:rsid w:val="00496847"/>
    <w:rsid w:val="0049732F"/>
    <w:rsid w:val="00497AD2"/>
    <w:rsid w:val="00497F3E"/>
    <w:rsid w:val="004A121A"/>
    <w:rsid w:val="004A1318"/>
    <w:rsid w:val="004A1A35"/>
    <w:rsid w:val="004A1A3B"/>
    <w:rsid w:val="004A2320"/>
    <w:rsid w:val="004A2DD0"/>
    <w:rsid w:val="004A3CB8"/>
    <w:rsid w:val="004A4866"/>
    <w:rsid w:val="004A4E13"/>
    <w:rsid w:val="004A5C40"/>
    <w:rsid w:val="004A623D"/>
    <w:rsid w:val="004A69AD"/>
    <w:rsid w:val="004A76E9"/>
    <w:rsid w:val="004B1CA4"/>
    <w:rsid w:val="004B2B7C"/>
    <w:rsid w:val="004B2BF7"/>
    <w:rsid w:val="004B314F"/>
    <w:rsid w:val="004B3BE4"/>
    <w:rsid w:val="004B442B"/>
    <w:rsid w:val="004B48B9"/>
    <w:rsid w:val="004B5556"/>
    <w:rsid w:val="004B6379"/>
    <w:rsid w:val="004C0464"/>
    <w:rsid w:val="004C0BD7"/>
    <w:rsid w:val="004C1939"/>
    <w:rsid w:val="004C251B"/>
    <w:rsid w:val="004C3437"/>
    <w:rsid w:val="004C3FC6"/>
    <w:rsid w:val="004C53FD"/>
    <w:rsid w:val="004C696E"/>
    <w:rsid w:val="004C753A"/>
    <w:rsid w:val="004D00E4"/>
    <w:rsid w:val="004D0415"/>
    <w:rsid w:val="004D0927"/>
    <w:rsid w:val="004D0D40"/>
    <w:rsid w:val="004D1263"/>
    <w:rsid w:val="004D19FA"/>
    <w:rsid w:val="004D1CBC"/>
    <w:rsid w:val="004D26D1"/>
    <w:rsid w:val="004D2983"/>
    <w:rsid w:val="004D2F45"/>
    <w:rsid w:val="004D46C4"/>
    <w:rsid w:val="004D5374"/>
    <w:rsid w:val="004D58C1"/>
    <w:rsid w:val="004D5E9B"/>
    <w:rsid w:val="004D5F3C"/>
    <w:rsid w:val="004D66EA"/>
    <w:rsid w:val="004D6A4E"/>
    <w:rsid w:val="004D7408"/>
    <w:rsid w:val="004D7A0B"/>
    <w:rsid w:val="004E1558"/>
    <w:rsid w:val="004E1F1A"/>
    <w:rsid w:val="004E2327"/>
    <w:rsid w:val="004E24CB"/>
    <w:rsid w:val="004E2EB6"/>
    <w:rsid w:val="004E3483"/>
    <w:rsid w:val="004E4354"/>
    <w:rsid w:val="004E4475"/>
    <w:rsid w:val="004E669E"/>
    <w:rsid w:val="004E76EE"/>
    <w:rsid w:val="004E7A23"/>
    <w:rsid w:val="004E7E11"/>
    <w:rsid w:val="004F1132"/>
    <w:rsid w:val="004F1CD6"/>
    <w:rsid w:val="004F48AD"/>
    <w:rsid w:val="004F4D9C"/>
    <w:rsid w:val="004F6A48"/>
    <w:rsid w:val="004F7485"/>
    <w:rsid w:val="00500C32"/>
    <w:rsid w:val="00501502"/>
    <w:rsid w:val="00501A6E"/>
    <w:rsid w:val="005020C4"/>
    <w:rsid w:val="0050289F"/>
    <w:rsid w:val="005035E3"/>
    <w:rsid w:val="0050451C"/>
    <w:rsid w:val="0050503C"/>
    <w:rsid w:val="00505D71"/>
    <w:rsid w:val="00506044"/>
    <w:rsid w:val="00506A5D"/>
    <w:rsid w:val="00506D4B"/>
    <w:rsid w:val="00507286"/>
    <w:rsid w:val="005102EA"/>
    <w:rsid w:val="00510880"/>
    <w:rsid w:val="00510B3A"/>
    <w:rsid w:val="00510CF8"/>
    <w:rsid w:val="00512610"/>
    <w:rsid w:val="00514108"/>
    <w:rsid w:val="005147D7"/>
    <w:rsid w:val="00516703"/>
    <w:rsid w:val="00516F34"/>
    <w:rsid w:val="005228F4"/>
    <w:rsid w:val="00522AF8"/>
    <w:rsid w:val="00523ECF"/>
    <w:rsid w:val="00524099"/>
    <w:rsid w:val="005242D2"/>
    <w:rsid w:val="00524F58"/>
    <w:rsid w:val="005264E7"/>
    <w:rsid w:val="00526710"/>
    <w:rsid w:val="005273BD"/>
    <w:rsid w:val="00527587"/>
    <w:rsid w:val="00527C77"/>
    <w:rsid w:val="005310FC"/>
    <w:rsid w:val="005312CC"/>
    <w:rsid w:val="0053193E"/>
    <w:rsid w:val="00531FB4"/>
    <w:rsid w:val="00531FED"/>
    <w:rsid w:val="00532506"/>
    <w:rsid w:val="00532FF5"/>
    <w:rsid w:val="00533F5B"/>
    <w:rsid w:val="0053509B"/>
    <w:rsid w:val="005351A8"/>
    <w:rsid w:val="00536D2B"/>
    <w:rsid w:val="00536DC9"/>
    <w:rsid w:val="00536FEF"/>
    <w:rsid w:val="00537163"/>
    <w:rsid w:val="005376A1"/>
    <w:rsid w:val="0053791F"/>
    <w:rsid w:val="0054035C"/>
    <w:rsid w:val="00540C47"/>
    <w:rsid w:val="00540E10"/>
    <w:rsid w:val="00541C40"/>
    <w:rsid w:val="005422D4"/>
    <w:rsid w:val="00542C7A"/>
    <w:rsid w:val="00543851"/>
    <w:rsid w:val="00543CCC"/>
    <w:rsid w:val="00543FE1"/>
    <w:rsid w:val="0054421F"/>
    <w:rsid w:val="00545E11"/>
    <w:rsid w:val="00551B80"/>
    <w:rsid w:val="00551E6C"/>
    <w:rsid w:val="00552CBA"/>
    <w:rsid w:val="005533D9"/>
    <w:rsid w:val="00553EEB"/>
    <w:rsid w:val="00554E61"/>
    <w:rsid w:val="005554C7"/>
    <w:rsid w:val="00557410"/>
    <w:rsid w:val="0055760D"/>
    <w:rsid w:val="00557BD3"/>
    <w:rsid w:val="00557D5C"/>
    <w:rsid w:val="00557E55"/>
    <w:rsid w:val="005619C8"/>
    <w:rsid w:val="00561A8C"/>
    <w:rsid w:val="00561BEE"/>
    <w:rsid w:val="00561F55"/>
    <w:rsid w:val="005636B1"/>
    <w:rsid w:val="00563F9C"/>
    <w:rsid w:val="00565411"/>
    <w:rsid w:val="005665EC"/>
    <w:rsid w:val="00566CF2"/>
    <w:rsid w:val="00567494"/>
    <w:rsid w:val="00567548"/>
    <w:rsid w:val="0057259B"/>
    <w:rsid w:val="00573112"/>
    <w:rsid w:val="0057389C"/>
    <w:rsid w:val="00573E68"/>
    <w:rsid w:val="00574056"/>
    <w:rsid w:val="005749AC"/>
    <w:rsid w:val="00574B00"/>
    <w:rsid w:val="00575100"/>
    <w:rsid w:val="00576251"/>
    <w:rsid w:val="00576583"/>
    <w:rsid w:val="00576CDD"/>
    <w:rsid w:val="00576E17"/>
    <w:rsid w:val="005770B2"/>
    <w:rsid w:val="0057788D"/>
    <w:rsid w:val="00577AD8"/>
    <w:rsid w:val="005806FE"/>
    <w:rsid w:val="005821F9"/>
    <w:rsid w:val="00582747"/>
    <w:rsid w:val="00582CB8"/>
    <w:rsid w:val="005833F0"/>
    <w:rsid w:val="005836B5"/>
    <w:rsid w:val="00583712"/>
    <w:rsid w:val="00583A4D"/>
    <w:rsid w:val="00583CE7"/>
    <w:rsid w:val="005842FE"/>
    <w:rsid w:val="00585279"/>
    <w:rsid w:val="00585373"/>
    <w:rsid w:val="0058563F"/>
    <w:rsid w:val="00590F40"/>
    <w:rsid w:val="00591751"/>
    <w:rsid w:val="00591E2E"/>
    <w:rsid w:val="00592589"/>
    <w:rsid w:val="0059323D"/>
    <w:rsid w:val="005939A3"/>
    <w:rsid w:val="00595219"/>
    <w:rsid w:val="00597E0A"/>
    <w:rsid w:val="005A0768"/>
    <w:rsid w:val="005A160B"/>
    <w:rsid w:val="005A1B54"/>
    <w:rsid w:val="005A2168"/>
    <w:rsid w:val="005A2C23"/>
    <w:rsid w:val="005A2DC7"/>
    <w:rsid w:val="005A353C"/>
    <w:rsid w:val="005A3980"/>
    <w:rsid w:val="005A3C68"/>
    <w:rsid w:val="005A3F46"/>
    <w:rsid w:val="005A433C"/>
    <w:rsid w:val="005A4595"/>
    <w:rsid w:val="005A476B"/>
    <w:rsid w:val="005A4B32"/>
    <w:rsid w:val="005A5292"/>
    <w:rsid w:val="005A6736"/>
    <w:rsid w:val="005A6748"/>
    <w:rsid w:val="005A6A18"/>
    <w:rsid w:val="005B03B4"/>
    <w:rsid w:val="005B0F40"/>
    <w:rsid w:val="005B2874"/>
    <w:rsid w:val="005B33E4"/>
    <w:rsid w:val="005B524C"/>
    <w:rsid w:val="005B6FDB"/>
    <w:rsid w:val="005B7D3B"/>
    <w:rsid w:val="005C01F4"/>
    <w:rsid w:val="005C08B9"/>
    <w:rsid w:val="005C0DCE"/>
    <w:rsid w:val="005C1119"/>
    <w:rsid w:val="005C1581"/>
    <w:rsid w:val="005C1A34"/>
    <w:rsid w:val="005C1C67"/>
    <w:rsid w:val="005C2509"/>
    <w:rsid w:val="005C27C7"/>
    <w:rsid w:val="005C2E84"/>
    <w:rsid w:val="005C3834"/>
    <w:rsid w:val="005C439E"/>
    <w:rsid w:val="005C451C"/>
    <w:rsid w:val="005C5DB3"/>
    <w:rsid w:val="005C5E45"/>
    <w:rsid w:val="005C6467"/>
    <w:rsid w:val="005C65E5"/>
    <w:rsid w:val="005C6F22"/>
    <w:rsid w:val="005C75E1"/>
    <w:rsid w:val="005D170D"/>
    <w:rsid w:val="005D1894"/>
    <w:rsid w:val="005D1B47"/>
    <w:rsid w:val="005D362B"/>
    <w:rsid w:val="005D38A2"/>
    <w:rsid w:val="005D3A7E"/>
    <w:rsid w:val="005D4BF2"/>
    <w:rsid w:val="005D4C59"/>
    <w:rsid w:val="005D5268"/>
    <w:rsid w:val="005D6A61"/>
    <w:rsid w:val="005D6B8B"/>
    <w:rsid w:val="005D6CDD"/>
    <w:rsid w:val="005D730E"/>
    <w:rsid w:val="005D7384"/>
    <w:rsid w:val="005D75FE"/>
    <w:rsid w:val="005D7795"/>
    <w:rsid w:val="005D7DB4"/>
    <w:rsid w:val="005D7F8C"/>
    <w:rsid w:val="005E0469"/>
    <w:rsid w:val="005E1CE6"/>
    <w:rsid w:val="005E2026"/>
    <w:rsid w:val="005E2CBC"/>
    <w:rsid w:val="005E3EF6"/>
    <w:rsid w:val="005E507D"/>
    <w:rsid w:val="005E5CAB"/>
    <w:rsid w:val="005E5D98"/>
    <w:rsid w:val="005E6435"/>
    <w:rsid w:val="005E68A7"/>
    <w:rsid w:val="005E6C40"/>
    <w:rsid w:val="005E7837"/>
    <w:rsid w:val="005E7DA7"/>
    <w:rsid w:val="005E7F08"/>
    <w:rsid w:val="005F05CB"/>
    <w:rsid w:val="005F06B3"/>
    <w:rsid w:val="005F0FE1"/>
    <w:rsid w:val="005F3C99"/>
    <w:rsid w:val="005F4785"/>
    <w:rsid w:val="005F5A82"/>
    <w:rsid w:val="005F62D5"/>
    <w:rsid w:val="005F6627"/>
    <w:rsid w:val="005F6736"/>
    <w:rsid w:val="005F7153"/>
    <w:rsid w:val="005F71EC"/>
    <w:rsid w:val="00600543"/>
    <w:rsid w:val="00601E87"/>
    <w:rsid w:val="00603EA3"/>
    <w:rsid w:val="0060457D"/>
    <w:rsid w:val="0060530B"/>
    <w:rsid w:val="00607979"/>
    <w:rsid w:val="00607D9A"/>
    <w:rsid w:val="0061058C"/>
    <w:rsid w:val="006116C7"/>
    <w:rsid w:val="006125A9"/>
    <w:rsid w:val="00612752"/>
    <w:rsid w:val="00613269"/>
    <w:rsid w:val="006133DF"/>
    <w:rsid w:val="006139F0"/>
    <w:rsid w:val="00613ED3"/>
    <w:rsid w:val="00615A5F"/>
    <w:rsid w:val="00616175"/>
    <w:rsid w:val="0061646E"/>
    <w:rsid w:val="0062262B"/>
    <w:rsid w:val="006226FE"/>
    <w:rsid w:val="0062278F"/>
    <w:rsid w:val="006232C1"/>
    <w:rsid w:val="00626586"/>
    <w:rsid w:val="006266A2"/>
    <w:rsid w:val="00626828"/>
    <w:rsid w:val="00626B6E"/>
    <w:rsid w:val="006272B0"/>
    <w:rsid w:val="00630F9E"/>
    <w:rsid w:val="00631310"/>
    <w:rsid w:val="00631662"/>
    <w:rsid w:val="00631C28"/>
    <w:rsid w:val="00631EF1"/>
    <w:rsid w:val="006326F7"/>
    <w:rsid w:val="00632EE1"/>
    <w:rsid w:val="0063335A"/>
    <w:rsid w:val="00633375"/>
    <w:rsid w:val="00633A23"/>
    <w:rsid w:val="00633A7D"/>
    <w:rsid w:val="006343F6"/>
    <w:rsid w:val="00634801"/>
    <w:rsid w:val="00634861"/>
    <w:rsid w:val="00635E9E"/>
    <w:rsid w:val="00635F4A"/>
    <w:rsid w:val="0063734E"/>
    <w:rsid w:val="00637697"/>
    <w:rsid w:val="00640C7B"/>
    <w:rsid w:val="006412DB"/>
    <w:rsid w:val="0064132A"/>
    <w:rsid w:val="00641751"/>
    <w:rsid w:val="0064219E"/>
    <w:rsid w:val="00642DCB"/>
    <w:rsid w:val="006432BB"/>
    <w:rsid w:val="006432EC"/>
    <w:rsid w:val="00643A36"/>
    <w:rsid w:val="00644183"/>
    <w:rsid w:val="00644AEB"/>
    <w:rsid w:val="00644D17"/>
    <w:rsid w:val="00645515"/>
    <w:rsid w:val="00645532"/>
    <w:rsid w:val="006456A1"/>
    <w:rsid w:val="00645838"/>
    <w:rsid w:val="00646B4A"/>
    <w:rsid w:val="00646C10"/>
    <w:rsid w:val="00646EB0"/>
    <w:rsid w:val="006473E3"/>
    <w:rsid w:val="00650F86"/>
    <w:rsid w:val="00650FD1"/>
    <w:rsid w:val="006521E6"/>
    <w:rsid w:val="0065251D"/>
    <w:rsid w:val="006534FB"/>
    <w:rsid w:val="00653F54"/>
    <w:rsid w:val="006542FA"/>
    <w:rsid w:val="0065454D"/>
    <w:rsid w:val="00654FF4"/>
    <w:rsid w:val="00660E44"/>
    <w:rsid w:val="0066416D"/>
    <w:rsid w:val="00664CB5"/>
    <w:rsid w:val="00664F1D"/>
    <w:rsid w:val="0066542A"/>
    <w:rsid w:val="00665912"/>
    <w:rsid w:val="00666289"/>
    <w:rsid w:val="006664FA"/>
    <w:rsid w:val="0066656F"/>
    <w:rsid w:val="006665E5"/>
    <w:rsid w:val="00666664"/>
    <w:rsid w:val="00666BF2"/>
    <w:rsid w:val="00667A78"/>
    <w:rsid w:val="00671D8E"/>
    <w:rsid w:val="00673539"/>
    <w:rsid w:val="006736E8"/>
    <w:rsid w:val="0067653F"/>
    <w:rsid w:val="00676653"/>
    <w:rsid w:val="00677B89"/>
    <w:rsid w:val="00677D25"/>
    <w:rsid w:val="006806E2"/>
    <w:rsid w:val="0068138B"/>
    <w:rsid w:val="0068200B"/>
    <w:rsid w:val="00682BA0"/>
    <w:rsid w:val="00683DCE"/>
    <w:rsid w:val="00683E42"/>
    <w:rsid w:val="00683E78"/>
    <w:rsid w:val="00683F7E"/>
    <w:rsid w:val="006846E7"/>
    <w:rsid w:val="00684B8E"/>
    <w:rsid w:val="0068566C"/>
    <w:rsid w:val="00686765"/>
    <w:rsid w:val="00686857"/>
    <w:rsid w:val="00687BBF"/>
    <w:rsid w:val="006902EC"/>
    <w:rsid w:val="0069052C"/>
    <w:rsid w:val="00690593"/>
    <w:rsid w:val="00691460"/>
    <w:rsid w:val="006915D3"/>
    <w:rsid w:val="00691F1F"/>
    <w:rsid w:val="00692169"/>
    <w:rsid w:val="00692DB2"/>
    <w:rsid w:val="00692FAB"/>
    <w:rsid w:val="00693E2E"/>
    <w:rsid w:val="0069444F"/>
    <w:rsid w:val="00694799"/>
    <w:rsid w:val="006954A9"/>
    <w:rsid w:val="0069650B"/>
    <w:rsid w:val="00697440"/>
    <w:rsid w:val="006977D3"/>
    <w:rsid w:val="006A16AD"/>
    <w:rsid w:val="006A1C30"/>
    <w:rsid w:val="006A1DCD"/>
    <w:rsid w:val="006A2A24"/>
    <w:rsid w:val="006A2A76"/>
    <w:rsid w:val="006A2D99"/>
    <w:rsid w:val="006A427A"/>
    <w:rsid w:val="006A4DEF"/>
    <w:rsid w:val="006A59BE"/>
    <w:rsid w:val="006A5A53"/>
    <w:rsid w:val="006A7A5B"/>
    <w:rsid w:val="006B0833"/>
    <w:rsid w:val="006B0882"/>
    <w:rsid w:val="006B0A87"/>
    <w:rsid w:val="006B1787"/>
    <w:rsid w:val="006B17DA"/>
    <w:rsid w:val="006B211B"/>
    <w:rsid w:val="006B327D"/>
    <w:rsid w:val="006B388C"/>
    <w:rsid w:val="006B57AC"/>
    <w:rsid w:val="006B5CEC"/>
    <w:rsid w:val="006B62A6"/>
    <w:rsid w:val="006B6628"/>
    <w:rsid w:val="006B690B"/>
    <w:rsid w:val="006B7952"/>
    <w:rsid w:val="006B7963"/>
    <w:rsid w:val="006B7C96"/>
    <w:rsid w:val="006C0A94"/>
    <w:rsid w:val="006C1C43"/>
    <w:rsid w:val="006C2599"/>
    <w:rsid w:val="006C440A"/>
    <w:rsid w:val="006C4EB0"/>
    <w:rsid w:val="006C50A2"/>
    <w:rsid w:val="006C571C"/>
    <w:rsid w:val="006C6134"/>
    <w:rsid w:val="006C633D"/>
    <w:rsid w:val="006C70AD"/>
    <w:rsid w:val="006C72CF"/>
    <w:rsid w:val="006D0E1C"/>
    <w:rsid w:val="006D118F"/>
    <w:rsid w:val="006D1327"/>
    <w:rsid w:val="006D16A5"/>
    <w:rsid w:val="006D2BCE"/>
    <w:rsid w:val="006D2DF4"/>
    <w:rsid w:val="006D3028"/>
    <w:rsid w:val="006D378A"/>
    <w:rsid w:val="006D3F94"/>
    <w:rsid w:val="006D4AC6"/>
    <w:rsid w:val="006D4DA0"/>
    <w:rsid w:val="006D5D78"/>
    <w:rsid w:val="006D6296"/>
    <w:rsid w:val="006D6702"/>
    <w:rsid w:val="006D6FB9"/>
    <w:rsid w:val="006D7781"/>
    <w:rsid w:val="006D7E1D"/>
    <w:rsid w:val="006E0779"/>
    <w:rsid w:val="006E07C3"/>
    <w:rsid w:val="006E141F"/>
    <w:rsid w:val="006E2463"/>
    <w:rsid w:val="006E24B7"/>
    <w:rsid w:val="006E3ADD"/>
    <w:rsid w:val="006E3EB8"/>
    <w:rsid w:val="006E4194"/>
    <w:rsid w:val="006E447F"/>
    <w:rsid w:val="006E4B5C"/>
    <w:rsid w:val="006E5C1C"/>
    <w:rsid w:val="006E5CEC"/>
    <w:rsid w:val="006E635C"/>
    <w:rsid w:val="006E639B"/>
    <w:rsid w:val="006E6EAD"/>
    <w:rsid w:val="006E7CDA"/>
    <w:rsid w:val="006F0207"/>
    <w:rsid w:val="006F11CD"/>
    <w:rsid w:val="006F27B1"/>
    <w:rsid w:val="006F323F"/>
    <w:rsid w:val="006F489D"/>
    <w:rsid w:val="006F497B"/>
    <w:rsid w:val="006F4E1E"/>
    <w:rsid w:val="006F543F"/>
    <w:rsid w:val="006F61AD"/>
    <w:rsid w:val="006F6FAE"/>
    <w:rsid w:val="006F729E"/>
    <w:rsid w:val="006F77FA"/>
    <w:rsid w:val="007000CF"/>
    <w:rsid w:val="00701178"/>
    <w:rsid w:val="00701F74"/>
    <w:rsid w:val="00702A1F"/>
    <w:rsid w:val="00702A6B"/>
    <w:rsid w:val="00702F79"/>
    <w:rsid w:val="00703DB0"/>
    <w:rsid w:val="00703FA4"/>
    <w:rsid w:val="00704E3D"/>
    <w:rsid w:val="00705353"/>
    <w:rsid w:val="007059AB"/>
    <w:rsid w:val="00706002"/>
    <w:rsid w:val="00706836"/>
    <w:rsid w:val="00706AFA"/>
    <w:rsid w:val="00707902"/>
    <w:rsid w:val="00710194"/>
    <w:rsid w:val="00710333"/>
    <w:rsid w:val="007103CA"/>
    <w:rsid w:val="00711538"/>
    <w:rsid w:val="0071199A"/>
    <w:rsid w:val="00712015"/>
    <w:rsid w:val="00712143"/>
    <w:rsid w:val="007128FD"/>
    <w:rsid w:val="00712FB0"/>
    <w:rsid w:val="0071369F"/>
    <w:rsid w:val="00713E2C"/>
    <w:rsid w:val="00714848"/>
    <w:rsid w:val="00714924"/>
    <w:rsid w:val="00714A52"/>
    <w:rsid w:val="00714DD1"/>
    <w:rsid w:val="00715C1E"/>
    <w:rsid w:val="00715FAF"/>
    <w:rsid w:val="00717D89"/>
    <w:rsid w:val="007200ED"/>
    <w:rsid w:val="0072070C"/>
    <w:rsid w:val="00721C60"/>
    <w:rsid w:val="00722792"/>
    <w:rsid w:val="0072298C"/>
    <w:rsid w:val="007238DC"/>
    <w:rsid w:val="00723F89"/>
    <w:rsid w:val="00724BE4"/>
    <w:rsid w:val="00725791"/>
    <w:rsid w:val="007261CF"/>
    <w:rsid w:val="00726514"/>
    <w:rsid w:val="007267B7"/>
    <w:rsid w:val="00726EDD"/>
    <w:rsid w:val="007276CD"/>
    <w:rsid w:val="0073032A"/>
    <w:rsid w:val="0073067A"/>
    <w:rsid w:val="00730F4D"/>
    <w:rsid w:val="00732A7F"/>
    <w:rsid w:val="00732F29"/>
    <w:rsid w:val="0073306A"/>
    <w:rsid w:val="00734450"/>
    <w:rsid w:val="00735D23"/>
    <w:rsid w:val="00735EDE"/>
    <w:rsid w:val="00736A67"/>
    <w:rsid w:val="00737747"/>
    <w:rsid w:val="00737D80"/>
    <w:rsid w:val="00741AB5"/>
    <w:rsid w:val="00742AD8"/>
    <w:rsid w:val="00743536"/>
    <w:rsid w:val="007436F8"/>
    <w:rsid w:val="00744B1E"/>
    <w:rsid w:val="007453D8"/>
    <w:rsid w:val="00745A74"/>
    <w:rsid w:val="0074618A"/>
    <w:rsid w:val="00746462"/>
    <w:rsid w:val="00746951"/>
    <w:rsid w:val="007476BF"/>
    <w:rsid w:val="007477DD"/>
    <w:rsid w:val="007506C5"/>
    <w:rsid w:val="007508F8"/>
    <w:rsid w:val="007510F3"/>
    <w:rsid w:val="0075139A"/>
    <w:rsid w:val="007530DE"/>
    <w:rsid w:val="007531F7"/>
    <w:rsid w:val="00753471"/>
    <w:rsid w:val="0075438E"/>
    <w:rsid w:val="00755934"/>
    <w:rsid w:val="00756477"/>
    <w:rsid w:val="00760441"/>
    <w:rsid w:val="00760AF5"/>
    <w:rsid w:val="00761F0B"/>
    <w:rsid w:val="00762129"/>
    <w:rsid w:val="0076227E"/>
    <w:rsid w:val="00762D89"/>
    <w:rsid w:val="00762E3E"/>
    <w:rsid w:val="00762F97"/>
    <w:rsid w:val="00764AA9"/>
    <w:rsid w:val="00766458"/>
    <w:rsid w:val="007707DF"/>
    <w:rsid w:val="0077090C"/>
    <w:rsid w:val="00771384"/>
    <w:rsid w:val="0077225F"/>
    <w:rsid w:val="0077240E"/>
    <w:rsid w:val="00772D17"/>
    <w:rsid w:val="00772EBC"/>
    <w:rsid w:val="00774E01"/>
    <w:rsid w:val="0077501D"/>
    <w:rsid w:val="007762F8"/>
    <w:rsid w:val="007771BF"/>
    <w:rsid w:val="007773F8"/>
    <w:rsid w:val="00777EE0"/>
    <w:rsid w:val="007801D3"/>
    <w:rsid w:val="0078037D"/>
    <w:rsid w:val="0078086D"/>
    <w:rsid w:val="00780B5E"/>
    <w:rsid w:val="00781C0B"/>
    <w:rsid w:val="00782538"/>
    <w:rsid w:val="00782A38"/>
    <w:rsid w:val="00783256"/>
    <w:rsid w:val="007854AF"/>
    <w:rsid w:val="007867E4"/>
    <w:rsid w:val="00786903"/>
    <w:rsid w:val="00786E1E"/>
    <w:rsid w:val="00787002"/>
    <w:rsid w:val="00787AB2"/>
    <w:rsid w:val="00790151"/>
    <w:rsid w:val="0079131D"/>
    <w:rsid w:val="00791DC6"/>
    <w:rsid w:val="00792B50"/>
    <w:rsid w:val="00792BD4"/>
    <w:rsid w:val="007934A0"/>
    <w:rsid w:val="007934C3"/>
    <w:rsid w:val="007944BE"/>
    <w:rsid w:val="00795103"/>
    <w:rsid w:val="0079713B"/>
    <w:rsid w:val="00797CC4"/>
    <w:rsid w:val="00797E1C"/>
    <w:rsid w:val="007A0673"/>
    <w:rsid w:val="007A08D7"/>
    <w:rsid w:val="007A14A8"/>
    <w:rsid w:val="007A1A06"/>
    <w:rsid w:val="007A265B"/>
    <w:rsid w:val="007A2A54"/>
    <w:rsid w:val="007A2D21"/>
    <w:rsid w:val="007A300E"/>
    <w:rsid w:val="007A64ED"/>
    <w:rsid w:val="007A7A7E"/>
    <w:rsid w:val="007B0AAA"/>
    <w:rsid w:val="007B1149"/>
    <w:rsid w:val="007B1D34"/>
    <w:rsid w:val="007B4BDB"/>
    <w:rsid w:val="007B4C2D"/>
    <w:rsid w:val="007B4F06"/>
    <w:rsid w:val="007B5270"/>
    <w:rsid w:val="007B674E"/>
    <w:rsid w:val="007B67F0"/>
    <w:rsid w:val="007B75CF"/>
    <w:rsid w:val="007B7EB8"/>
    <w:rsid w:val="007B7FD8"/>
    <w:rsid w:val="007C0D4E"/>
    <w:rsid w:val="007C40DE"/>
    <w:rsid w:val="007C4BF1"/>
    <w:rsid w:val="007C4F81"/>
    <w:rsid w:val="007D0136"/>
    <w:rsid w:val="007D1114"/>
    <w:rsid w:val="007D432F"/>
    <w:rsid w:val="007D563A"/>
    <w:rsid w:val="007D5E49"/>
    <w:rsid w:val="007D65F0"/>
    <w:rsid w:val="007D6815"/>
    <w:rsid w:val="007D6B7B"/>
    <w:rsid w:val="007D7192"/>
    <w:rsid w:val="007D775F"/>
    <w:rsid w:val="007E0570"/>
    <w:rsid w:val="007E0942"/>
    <w:rsid w:val="007E12D5"/>
    <w:rsid w:val="007E271F"/>
    <w:rsid w:val="007E2F06"/>
    <w:rsid w:val="007E2F3E"/>
    <w:rsid w:val="007E3DCF"/>
    <w:rsid w:val="007E3EAB"/>
    <w:rsid w:val="007E429B"/>
    <w:rsid w:val="007E519D"/>
    <w:rsid w:val="007E719D"/>
    <w:rsid w:val="007E738D"/>
    <w:rsid w:val="007F1073"/>
    <w:rsid w:val="007F163F"/>
    <w:rsid w:val="007F1AE4"/>
    <w:rsid w:val="007F1E23"/>
    <w:rsid w:val="007F33D9"/>
    <w:rsid w:val="007F3482"/>
    <w:rsid w:val="007F3A27"/>
    <w:rsid w:val="007F3CF6"/>
    <w:rsid w:val="007F4372"/>
    <w:rsid w:val="007F4394"/>
    <w:rsid w:val="007F4AEE"/>
    <w:rsid w:val="007F7CA1"/>
    <w:rsid w:val="0080070B"/>
    <w:rsid w:val="00801A1E"/>
    <w:rsid w:val="008020AB"/>
    <w:rsid w:val="00804C18"/>
    <w:rsid w:val="00805773"/>
    <w:rsid w:val="00806561"/>
    <w:rsid w:val="0080683F"/>
    <w:rsid w:val="00810334"/>
    <w:rsid w:val="00811529"/>
    <w:rsid w:val="00812D87"/>
    <w:rsid w:val="00813C88"/>
    <w:rsid w:val="00814A0E"/>
    <w:rsid w:val="00814E11"/>
    <w:rsid w:val="00814F13"/>
    <w:rsid w:val="00816E7D"/>
    <w:rsid w:val="00820194"/>
    <w:rsid w:val="00820D69"/>
    <w:rsid w:val="00821CAE"/>
    <w:rsid w:val="008232C4"/>
    <w:rsid w:val="00823FC5"/>
    <w:rsid w:val="00824B00"/>
    <w:rsid w:val="00825260"/>
    <w:rsid w:val="0082526A"/>
    <w:rsid w:val="00825FA0"/>
    <w:rsid w:val="008266E4"/>
    <w:rsid w:val="00827166"/>
    <w:rsid w:val="00827EBE"/>
    <w:rsid w:val="0083082A"/>
    <w:rsid w:val="00830C38"/>
    <w:rsid w:val="00830E83"/>
    <w:rsid w:val="00831066"/>
    <w:rsid w:val="0083119A"/>
    <w:rsid w:val="008313C1"/>
    <w:rsid w:val="00831BA9"/>
    <w:rsid w:val="0083219E"/>
    <w:rsid w:val="008329E9"/>
    <w:rsid w:val="008339E7"/>
    <w:rsid w:val="0083475F"/>
    <w:rsid w:val="008356C7"/>
    <w:rsid w:val="00835747"/>
    <w:rsid w:val="00835C83"/>
    <w:rsid w:val="008362BC"/>
    <w:rsid w:val="00836621"/>
    <w:rsid w:val="00836FB1"/>
    <w:rsid w:val="00837052"/>
    <w:rsid w:val="0084004C"/>
    <w:rsid w:val="00840156"/>
    <w:rsid w:val="008402ED"/>
    <w:rsid w:val="00841055"/>
    <w:rsid w:val="00841AF8"/>
    <w:rsid w:val="0084215E"/>
    <w:rsid w:val="00844001"/>
    <w:rsid w:val="008446B0"/>
    <w:rsid w:val="00845733"/>
    <w:rsid w:val="00845809"/>
    <w:rsid w:val="00845A63"/>
    <w:rsid w:val="00845C52"/>
    <w:rsid w:val="008467B4"/>
    <w:rsid w:val="0084734E"/>
    <w:rsid w:val="00847A2E"/>
    <w:rsid w:val="00847D4E"/>
    <w:rsid w:val="0085232C"/>
    <w:rsid w:val="0085325A"/>
    <w:rsid w:val="00853772"/>
    <w:rsid w:val="00853F2E"/>
    <w:rsid w:val="00854362"/>
    <w:rsid w:val="008544B9"/>
    <w:rsid w:val="00854767"/>
    <w:rsid w:val="00855BB8"/>
    <w:rsid w:val="0085726F"/>
    <w:rsid w:val="008576FC"/>
    <w:rsid w:val="00861249"/>
    <w:rsid w:val="008628B4"/>
    <w:rsid w:val="00863AA9"/>
    <w:rsid w:val="0086412A"/>
    <w:rsid w:val="008647E2"/>
    <w:rsid w:val="00865100"/>
    <w:rsid w:val="0086555F"/>
    <w:rsid w:val="00866989"/>
    <w:rsid w:val="00867B84"/>
    <w:rsid w:val="008702E7"/>
    <w:rsid w:val="00870772"/>
    <w:rsid w:val="00872B7F"/>
    <w:rsid w:val="00872EB5"/>
    <w:rsid w:val="00874520"/>
    <w:rsid w:val="008745DB"/>
    <w:rsid w:val="008755C0"/>
    <w:rsid w:val="008775D1"/>
    <w:rsid w:val="0087760C"/>
    <w:rsid w:val="00877957"/>
    <w:rsid w:val="00880525"/>
    <w:rsid w:val="00880630"/>
    <w:rsid w:val="00881161"/>
    <w:rsid w:val="008822E9"/>
    <w:rsid w:val="00882A41"/>
    <w:rsid w:val="008830DF"/>
    <w:rsid w:val="00883887"/>
    <w:rsid w:val="00883C45"/>
    <w:rsid w:val="0088445C"/>
    <w:rsid w:val="008863B7"/>
    <w:rsid w:val="008867CF"/>
    <w:rsid w:val="0088703F"/>
    <w:rsid w:val="00892A1F"/>
    <w:rsid w:val="00892C7F"/>
    <w:rsid w:val="008935E0"/>
    <w:rsid w:val="00894B63"/>
    <w:rsid w:val="00895201"/>
    <w:rsid w:val="008954C7"/>
    <w:rsid w:val="008954D0"/>
    <w:rsid w:val="00896049"/>
    <w:rsid w:val="0089690F"/>
    <w:rsid w:val="008972B3"/>
    <w:rsid w:val="008976FB"/>
    <w:rsid w:val="008978FC"/>
    <w:rsid w:val="0089792C"/>
    <w:rsid w:val="00897DCA"/>
    <w:rsid w:val="00897DDE"/>
    <w:rsid w:val="008A3ED7"/>
    <w:rsid w:val="008A51AD"/>
    <w:rsid w:val="008A5CBA"/>
    <w:rsid w:val="008A6FD8"/>
    <w:rsid w:val="008A754A"/>
    <w:rsid w:val="008A7A18"/>
    <w:rsid w:val="008A7BFD"/>
    <w:rsid w:val="008B17B9"/>
    <w:rsid w:val="008B2932"/>
    <w:rsid w:val="008B3262"/>
    <w:rsid w:val="008B434A"/>
    <w:rsid w:val="008B4FEF"/>
    <w:rsid w:val="008B5C1D"/>
    <w:rsid w:val="008B6602"/>
    <w:rsid w:val="008B6A25"/>
    <w:rsid w:val="008B6B68"/>
    <w:rsid w:val="008B6E52"/>
    <w:rsid w:val="008B7D8A"/>
    <w:rsid w:val="008C1C1B"/>
    <w:rsid w:val="008C2B11"/>
    <w:rsid w:val="008C44A5"/>
    <w:rsid w:val="008C4769"/>
    <w:rsid w:val="008C4CA9"/>
    <w:rsid w:val="008C4EC6"/>
    <w:rsid w:val="008C4FD7"/>
    <w:rsid w:val="008C5649"/>
    <w:rsid w:val="008C61A6"/>
    <w:rsid w:val="008C6EE1"/>
    <w:rsid w:val="008C7162"/>
    <w:rsid w:val="008C79DC"/>
    <w:rsid w:val="008C7D50"/>
    <w:rsid w:val="008D031A"/>
    <w:rsid w:val="008D0809"/>
    <w:rsid w:val="008D0820"/>
    <w:rsid w:val="008D0BBD"/>
    <w:rsid w:val="008D1239"/>
    <w:rsid w:val="008D14B7"/>
    <w:rsid w:val="008D1FE4"/>
    <w:rsid w:val="008D30B1"/>
    <w:rsid w:val="008D3448"/>
    <w:rsid w:val="008D3FBB"/>
    <w:rsid w:val="008D4274"/>
    <w:rsid w:val="008D44E8"/>
    <w:rsid w:val="008D4EB0"/>
    <w:rsid w:val="008D51C8"/>
    <w:rsid w:val="008D6386"/>
    <w:rsid w:val="008D66E7"/>
    <w:rsid w:val="008D6F14"/>
    <w:rsid w:val="008D7449"/>
    <w:rsid w:val="008D7C4C"/>
    <w:rsid w:val="008E035A"/>
    <w:rsid w:val="008E1703"/>
    <w:rsid w:val="008E22DC"/>
    <w:rsid w:val="008E415B"/>
    <w:rsid w:val="008E4FE2"/>
    <w:rsid w:val="008E5542"/>
    <w:rsid w:val="008E5CB1"/>
    <w:rsid w:val="008E74F4"/>
    <w:rsid w:val="008F0024"/>
    <w:rsid w:val="008F0497"/>
    <w:rsid w:val="008F05F8"/>
    <w:rsid w:val="008F0691"/>
    <w:rsid w:val="008F06EA"/>
    <w:rsid w:val="008F08D8"/>
    <w:rsid w:val="008F09E6"/>
    <w:rsid w:val="008F0F2B"/>
    <w:rsid w:val="008F1A74"/>
    <w:rsid w:val="008F28C1"/>
    <w:rsid w:val="008F3C3B"/>
    <w:rsid w:val="008F47D4"/>
    <w:rsid w:val="008F50D2"/>
    <w:rsid w:val="008F558E"/>
    <w:rsid w:val="008F5FA2"/>
    <w:rsid w:val="008F6225"/>
    <w:rsid w:val="008F68D3"/>
    <w:rsid w:val="008F7C9E"/>
    <w:rsid w:val="00900D4C"/>
    <w:rsid w:val="00900DF1"/>
    <w:rsid w:val="00900FE3"/>
    <w:rsid w:val="0090104F"/>
    <w:rsid w:val="0090153C"/>
    <w:rsid w:val="00901596"/>
    <w:rsid w:val="009028C9"/>
    <w:rsid w:val="009030EB"/>
    <w:rsid w:val="00904687"/>
    <w:rsid w:val="00904C9B"/>
    <w:rsid w:val="00904D0B"/>
    <w:rsid w:val="00905662"/>
    <w:rsid w:val="00905C97"/>
    <w:rsid w:val="00905D0F"/>
    <w:rsid w:val="0090654B"/>
    <w:rsid w:val="00906931"/>
    <w:rsid w:val="00906E38"/>
    <w:rsid w:val="009076C9"/>
    <w:rsid w:val="009079C6"/>
    <w:rsid w:val="00907A18"/>
    <w:rsid w:val="00912856"/>
    <w:rsid w:val="00913832"/>
    <w:rsid w:val="00914DC8"/>
    <w:rsid w:val="00914DF3"/>
    <w:rsid w:val="009150A0"/>
    <w:rsid w:val="009153AA"/>
    <w:rsid w:val="0091581C"/>
    <w:rsid w:val="00915EA8"/>
    <w:rsid w:val="009160C0"/>
    <w:rsid w:val="00916102"/>
    <w:rsid w:val="009168BD"/>
    <w:rsid w:val="009172DD"/>
    <w:rsid w:val="00917BC1"/>
    <w:rsid w:val="00920A9F"/>
    <w:rsid w:val="00920DC7"/>
    <w:rsid w:val="009210F7"/>
    <w:rsid w:val="0092131D"/>
    <w:rsid w:val="00922640"/>
    <w:rsid w:val="00922E00"/>
    <w:rsid w:val="009231FC"/>
    <w:rsid w:val="0092323E"/>
    <w:rsid w:val="0092350E"/>
    <w:rsid w:val="009238D5"/>
    <w:rsid w:val="009238F3"/>
    <w:rsid w:val="00924BD1"/>
    <w:rsid w:val="00925763"/>
    <w:rsid w:val="0092676A"/>
    <w:rsid w:val="009305BD"/>
    <w:rsid w:val="00932323"/>
    <w:rsid w:val="009328CE"/>
    <w:rsid w:val="00932B8D"/>
    <w:rsid w:val="00933241"/>
    <w:rsid w:val="00933B0E"/>
    <w:rsid w:val="0093550F"/>
    <w:rsid w:val="00937662"/>
    <w:rsid w:val="00941420"/>
    <w:rsid w:val="00943921"/>
    <w:rsid w:val="00943EE4"/>
    <w:rsid w:val="0094403D"/>
    <w:rsid w:val="00944F7F"/>
    <w:rsid w:val="00945612"/>
    <w:rsid w:val="00946A0E"/>
    <w:rsid w:val="00946FC1"/>
    <w:rsid w:val="00947910"/>
    <w:rsid w:val="00947E68"/>
    <w:rsid w:val="009501CE"/>
    <w:rsid w:val="0095097E"/>
    <w:rsid w:val="00950AB7"/>
    <w:rsid w:val="00950C1B"/>
    <w:rsid w:val="009514DD"/>
    <w:rsid w:val="0095155E"/>
    <w:rsid w:val="00951752"/>
    <w:rsid w:val="00953037"/>
    <w:rsid w:val="0095354D"/>
    <w:rsid w:val="00953D40"/>
    <w:rsid w:val="00954400"/>
    <w:rsid w:val="00955B01"/>
    <w:rsid w:val="00955CD0"/>
    <w:rsid w:val="00956133"/>
    <w:rsid w:val="00956504"/>
    <w:rsid w:val="0095723A"/>
    <w:rsid w:val="009601C2"/>
    <w:rsid w:val="00960D1D"/>
    <w:rsid w:val="00960E5D"/>
    <w:rsid w:val="00962DF7"/>
    <w:rsid w:val="0096387D"/>
    <w:rsid w:val="00964154"/>
    <w:rsid w:val="009653B4"/>
    <w:rsid w:val="00965411"/>
    <w:rsid w:val="009661BE"/>
    <w:rsid w:val="00966332"/>
    <w:rsid w:val="00967014"/>
    <w:rsid w:val="00971802"/>
    <w:rsid w:val="009718CF"/>
    <w:rsid w:val="00971D01"/>
    <w:rsid w:val="0097233F"/>
    <w:rsid w:val="009725F2"/>
    <w:rsid w:val="009725F6"/>
    <w:rsid w:val="00972F42"/>
    <w:rsid w:val="00974E3E"/>
    <w:rsid w:val="009750EA"/>
    <w:rsid w:val="00975345"/>
    <w:rsid w:val="0097599A"/>
    <w:rsid w:val="00975C14"/>
    <w:rsid w:val="00975D8C"/>
    <w:rsid w:val="00976D39"/>
    <w:rsid w:val="00976F38"/>
    <w:rsid w:val="009772C7"/>
    <w:rsid w:val="00977D88"/>
    <w:rsid w:val="00977FC4"/>
    <w:rsid w:val="0098019D"/>
    <w:rsid w:val="00981341"/>
    <w:rsid w:val="0098196F"/>
    <w:rsid w:val="00983E5C"/>
    <w:rsid w:val="0098445E"/>
    <w:rsid w:val="0098549D"/>
    <w:rsid w:val="00985D08"/>
    <w:rsid w:val="0098775B"/>
    <w:rsid w:val="00987957"/>
    <w:rsid w:val="0098799A"/>
    <w:rsid w:val="00987CF3"/>
    <w:rsid w:val="0099090D"/>
    <w:rsid w:val="00991B5B"/>
    <w:rsid w:val="0099204F"/>
    <w:rsid w:val="00992462"/>
    <w:rsid w:val="009937EC"/>
    <w:rsid w:val="00993C80"/>
    <w:rsid w:val="00995E18"/>
    <w:rsid w:val="009963F1"/>
    <w:rsid w:val="0099659D"/>
    <w:rsid w:val="00996690"/>
    <w:rsid w:val="00997306"/>
    <w:rsid w:val="009973DD"/>
    <w:rsid w:val="009977E0"/>
    <w:rsid w:val="00997938"/>
    <w:rsid w:val="009A0666"/>
    <w:rsid w:val="009A1764"/>
    <w:rsid w:val="009A20E0"/>
    <w:rsid w:val="009A497D"/>
    <w:rsid w:val="009A49FA"/>
    <w:rsid w:val="009A5BAA"/>
    <w:rsid w:val="009A7095"/>
    <w:rsid w:val="009A710A"/>
    <w:rsid w:val="009A756E"/>
    <w:rsid w:val="009A7861"/>
    <w:rsid w:val="009A791C"/>
    <w:rsid w:val="009B041F"/>
    <w:rsid w:val="009B0900"/>
    <w:rsid w:val="009B26D8"/>
    <w:rsid w:val="009B3249"/>
    <w:rsid w:val="009B34E7"/>
    <w:rsid w:val="009B3599"/>
    <w:rsid w:val="009B3B91"/>
    <w:rsid w:val="009B549F"/>
    <w:rsid w:val="009B552D"/>
    <w:rsid w:val="009B5819"/>
    <w:rsid w:val="009B5B8B"/>
    <w:rsid w:val="009B6219"/>
    <w:rsid w:val="009B63BA"/>
    <w:rsid w:val="009B681C"/>
    <w:rsid w:val="009B6944"/>
    <w:rsid w:val="009B7775"/>
    <w:rsid w:val="009C0A01"/>
    <w:rsid w:val="009C1B06"/>
    <w:rsid w:val="009C3214"/>
    <w:rsid w:val="009C34B1"/>
    <w:rsid w:val="009C4C5F"/>
    <w:rsid w:val="009C5B57"/>
    <w:rsid w:val="009C5DC5"/>
    <w:rsid w:val="009C6F0B"/>
    <w:rsid w:val="009C7393"/>
    <w:rsid w:val="009C7D47"/>
    <w:rsid w:val="009D175A"/>
    <w:rsid w:val="009D1D3E"/>
    <w:rsid w:val="009D2E84"/>
    <w:rsid w:val="009D3A21"/>
    <w:rsid w:val="009D3A3F"/>
    <w:rsid w:val="009D3CF5"/>
    <w:rsid w:val="009D5A90"/>
    <w:rsid w:val="009D6357"/>
    <w:rsid w:val="009E07D1"/>
    <w:rsid w:val="009E137D"/>
    <w:rsid w:val="009E27FB"/>
    <w:rsid w:val="009E3BB7"/>
    <w:rsid w:val="009E676D"/>
    <w:rsid w:val="009E681E"/>
    <w:rsid w:val="009E70C6"/>
    <w:rsid w:val="009F0DC0"/>
    <w:rsid w:val="009F0EEB"/>
    <w:rsid w:val="009F0F69"/>
    <w:rsid w:val="009F1B86"/>
    <w:rsid w:val="009F2250"/>
    <w:rsid w:val="009F233C"/>
    <w:rsid w:val="009F23BC"/>
    <w:rsid w:val="009F2BC8"/>
    <w:rsid w:val="009F2E8E"/>
    <w:rsid w:val="009F4DF2"/>
    <w:rsid w:val="009F50E2"/>
    <w:rsid w:val="009F7765"/>
    <w:rsid w:val="00A004D4"/>
    <w:rsid w:val="00A0068C"/>
    <w:rsid w:val="00A039DA"/>
    <w:rsid w:val="00A046FA"/>
    <w:rsid w:val="00A050FD"/>
    <w:rsid w:val="00A06DC0"/>
    <w:rsid w:val="00A07AD5"/>
    <w:rsid w:val="00A10ADB"/>
    <w:rsid w:val="00A12637"/>
    <w:rsid w:val="00A14D79"/>
    <w:rsid w:val="00A14EEA"/>
    <w:rsid w:val="00A15E27"/>
    <w:rsid w:val="00A17B23"/>
    <w:rsid w:val="00A17CF2"/>
    <w:rsid w:val="00A215BC"/>
    <w:rsid w:val="00A223AD"/>
    <w:rsid w:val="00A2260D"/>
    <w:rsid w:val="00A25AA2"/>
    <w:rsid w:val="00A25DA2"/>
    <w:rsid w:val="00A26A56"/>
    <w:rsid w:val="00A319D8"/>
    <w:rsid w:val="00A32C8D"/>
    <w:rsid w:val="00A339AE"/>
    <w:rsid w:val="00A339B3"/>
    <w:rsid w:val="00A34E7B"/>
    <w:rsid w:val="00A35136"/>
    <w:rsid w:val="00A3568E"/>
    <w:rsid w:val="00A3609A"/>
    <w:rsid w:val="00A3626A"/>
    <w:rsid w:val="00A362C6"/>
    <w:rsid w:val="00A3669D"/>
    <w:rsid w:val="00A37BA0"/>
    <w:rsid w:val="00A406F9"/>
    <w:rsid w:val="00A40FB1"/>
    <w:rsid w:val="00A41A21"/>
    <w:rsid w:val="00A41A96"/>
    <w:rsid w:val="00A42483"/>
    <w:rsid w:val="00A43AB4"/>
    <w:rsid w:val="00A4437B"/>
    <w:rsid w:val="00A45E79"/>
    <w:rsid w:val="00A460AB"/>
    <w:rsid w:val="00A508FF"/>
    <w:rsid w:val="00A50F3E"/>
    <w:rsid w:val="00A5139D"/>
    <w:rsid w:val="00A515DB"/>
    <w:rsid w:val="00A5210A"/>
    <w:rsid w:val="00A52602"/>
    <w:rsid w:val="00A5275C"/>
    <w:rsid w:val="00A52C6F"/>
    <w:rsid w:val="00A53FA0"/>
    <w:rsid w:val="00A55469"/>
    <w:rsid w:val="00A55877"/>
    <w:rsid w:val="00A56144"/>
    <w:rsid w:val="00A57572"/>
    <w:rsid w:val="00A57911"/>
    <w:rsid w:val="00A614E9"/>
    <w:rsid w:val="00A62185"/>
    <w:rsid w:val="00A64162"/>
    <w:rsid w:val="00A655A5"/>
    <w:rsid w:val="00A6634A"/>
    <w:rsid w:val="00A6643A"/>
    <w:rsid w:val="00A70364"/>
    <w:rsid w:val="00A715FA"/>
    <w:rsid w:val="00A73367"/>
    <w:rsid w:val="00A7416B"/>
    <w:rsid w:val="00A779A5"/>
    <w:rsid w:val="00A779B7"/>
    <w:rsid w:val="00A77A6B"/>
    <w:rsid w:val="00A77A90"/>
    <w:rsid w:val="00A803D0"/>
    <w:rsid w:val="00A80E8C"/>
    <w:rsid w:val="00A8270C"/>
    <w:rsid w:val="00A82A59"/>
    <w:rsid w:val="00A8324A"/>
    <w:rsid w:val="00A8511F"/>
    <w:rsid w:val="00A86D2A"/>
    <w:rsid w:val="00A86FB6"/>
    <w:rsid w:val="00A87AC2"/>
    <w:rsid w:val="00A908CD"/>
    <w:rsid w:val="00A90B6C"/>
    <w:rsid w:val="00A90E7B"/>
    <w:rsid w:val="00A9101B"/>
    <w:rsid w:val="00A911B8"/>
    <w:rsid w:val="00A91BB1"/>
    <w:rsid w:val="00A9385F"/>
    <w:rsid w:val="00A9387F"/>
    <w:rsid w:val="00A94CA8"/>
    <w:rsid w:val="00A95317"/>
    <w:rsid w:val="00A95A7D"/>
    <w:rsid w:val="00A95CF5"/>
    <w:rsid w:val="00A960DA"/>
    <w:rsid w:val="00A96486"/>
    <w:rsid w:val="00A97147"/>
    <w:rsid w:val="00A974BA"/>
    <w:rsid w:val="00A97683"/>
    <w:rsid w:val="00A97D1F"/>
    <w:rsid w:val="00A97D6C"/>
    <w:rsid w:val="00A97EBD"/>
    <w:rsid w:val="00AA00D3"/>
    <w:rsid w:val="00AA0279"/>
    <w:rsid w:val="00AA1386"/>
    <w:rsid w:val="00AA1F39"/>
    <w:rsid w:val="00AA33A5"/>
    <w:rsid w:val="00AA457D"/>
    <w:rsid w:val="00AA5909"/>
    <w:rsid w:val="00AA7735"/>
    <w:rsid w:val="00AB0446"/>
    <w:rsid w:val="00AB075C"/>
    <w:rsid w:val="00AB27AC"/>
    <w:rsid w:val="00AB387C"/>
    <w:rsid w:val="00AB415A"/>
    <w:rsid w:val="00AB4282"/>
    <w:rsid w:val="00AB4320"/>
    <w:rsid w:val="00AB4604"/>
    <w:rsid w:val="00AB499A"/>
    <w:rsid w:val="00AB5E01"/>
    <w:rsid w:val="00AB606C"/>
    <w:rsid w:val="00AB60AA"/>
    <w:rsid w:val="00AB625F"/>
    <w:rsid w:val="00AB6892"/>
    <w:rsid w:val="00AC0381"/>
    <w:rsid w:val="00AC151B"/>
    <w:rsid w:val="00AC1B50"/>
    <w:rsid w:val="00AC1F33"/>
    <w:rsid w:val="00AC27FC"/>
    <w:rsid w:val="00AC29A9"/>
    <w:rsid w:val="00AC2C9A"/>
    <w:rsid w:val="00AC32ED"/>
    <w:rsid w:val="00AC42C2"/>
    <w:rsid w:val="00AC4414"/>
    <w:rsid w:val="00AC50A5"/>
    <w:rsid w:val="00AC6F79"/>
    <w:rsid w:val="00AC7E83"/>
    <w:rsid w:val="00AD0497"/>
    <w:rsid w:val="00AD0751"/>
    <w:rsid w:val="00AD0F16"/>
    <w:rsid w:val="00AD240F"/>
    <w:rsid w:val="00AD35A9"/>
    <w:rsid w:val="00AD4737"/>
    <w:rsid w:val="00AD5D32"/>
    <w:rsid w:val="00AD6317"/>
    <w:rsid w:val="00AE38A4"/>
    <w:rsid w:val="00AE3E28"/>
    <w:rsid w:val="00AE4339"/>
    <w:rsid w:val="00AE6317"/>
    <w:rsid w:val="00AE672A"/>
    <w:rsid w:val="00AF009E"/>
    <w:rsid w:val="00AF2342"/>
    <w:rsid w:val="00AF2ADE"/>
    <w:rsid w:val="00AF3118"/>
    <w:rsid w:val="00AF39C8"/>
    <w:rsid w:val="00AF3D45"/>
    <w:rsid w:val="00AF61EB"/>
    <w:rsid w:val="00AF6A72"/>
    <w:rsid w:val="00AF773E"/>
    <w:rsid w:val="00B02701"/>
    <w:rsid w:val="00B02EE2"/>
    <w:rsid w:val="00B040BD"/>
    <w:rsid w:val="00B05006"/>
    <w:rsid w:val="00B05281"/>
    <w:rsid w:val="00B05ED6"/>
    <w:rsid w:val="00B07955"/>
    <w:rsid w:val="00B10F21"/>
    <w:rsid w:val="00B1149A"/>
    <w:rsid w:val="00B11865"/>
    <w:rsid w:val="00B11D49"/>
    <w:rsid w:val="00B1203D"/>
    <w:rsid w:val="00B122A8"/>
    <w:rsid w:val="00B12B0D"/>
    <w:rsid w:val="00B138B5"/>
    <w:rsid w:val="00B14941"/>
    <w:rsid w:val="00B151C9"/>
    <w:rsid w:val="00B15909"/>
    <w:rsid w:val="00B15CC6"/>
    <w:rsid w:val="00B162FF"/>
    <w:rsid w:val="00B16B29"/>
    <w:rsid w:val="00B17B55"/>
    <w:rsid w:val="00B20DA9"/>
    <w:rsid w:val="00B21225"/>
    <w:rsid w:val="00B22366"/>
    <w:rsid w:val="00B226F8"/>
    <w:rsid w:val="00B22BFB"/>
    <w:rsid w:val="00B22F2B"/>
    <w:rsid w:val="00B24BCD"/>
    <w:rsid w:val="00B24E98"/>
    <w:rsid w:val="00B25DB5"/>
    <w:rsid w:val="00B260A9"/>
    <w:rsid w:val="00B27763"/>
    <w:rsid w:val="00B27C91"/>
    <w:rsid w:val="00B30FA4"/>
    <w:rsid w:val="00B312F5"/>
    <w:rsid w:val="00B31346"/>
    <w:rsid w:val="00B3166F"/>
    <w:rsid w:val="00B317A1"/>
    <w:rsid w:val="00B31972"/>
    <w:rsid w:val="00B32227"/>
    <w:rsid w:val="00B32C6F"/>
    <w:rsid w:val="00B3302E"/>
    <w:rsid w:val="00B332FF"/>
    <w:rsid w:val="00B33D5F"/>
    <w:rsid w:val="00B358CD"/>
    <w:rsid w:val="00B35F93"/>
    <w:rsid w:val="00B36EED"/>
    <w:rsid w:val="00B37839"/>
    <w:rsid w:val="00B3788A"/>
    <w:rsid w:val="00B402B3"/>
    <w:rsid w:val="00B4070C"/>
    <w:rsid w:val="00B4114C"/>
    <w:rsid w:val="00B416FF"/>
    <w:rsid w:val="00B41C49"/>
    <w:rsid w:val="00B41E9C"/>
    <w:rsid w:val="00B42254"/>
    <w:rsid w:val="00B4327F"/>
    <w:rsid w:val="00B4380D"/>
    <w:rsid w:val="00B43B9F"/>
    <w:rsid w:val="00B45BBB"/>
    <w:rsid w:val="00B46B20"/>
    <w:rsid w:val="00B51047"/>
    <w:rsid w:val="00B5155D"/>
    <w:rsid w:val="00B51B37"/>
    <w:rsid w:val="00B52AB2"/>
    <w:rsid w:val="00B53B75"/>
    <w:rsid w:val="00B53CA1"/>
    <w:rsid w:val="00B54828"/>
    <w:rsid w:val="00B54C81"/>
    <w:rsid w:val="00B55268"/>
    <w:rsid w:val="00B55A6C"/>
    <w:rsid w:val="00B55F3A"/>
    <w:rsid w:val="00B55F43"/>
    <w:rsid w:val="00B56011"/>
    <w:rsid w:val="00B568C8"/>
    <w:rsid w:val="00B5703B"/>
    <w:rsid w:val="00B572D1"/>
    <w:rsid w:val="00B57F2B"/>
    <w:rsid w:val="00B60444"/>
    <w:rsid w:val="00B630A6"/>
    <w:rsid w:val="00B63E54"/>
    <w:rsid w:val="00B6656C"/>
    <w:rsid w:val="00B67522"/>
    <w:rsid w:val="00B70E2D"/>
    <w:rsid w:val="00B70EF7"/>
    <w:rsid w:val="00B7102D"/>
    <w:rsid w:val="00B7115D"/>
    <w:rsid w:val="00B713AA"/>
    <w:rsid w:val="00B7182F"/>
    <w:rsid w:val="00B7378E"/>
    <w:rsid w:val="00B74FA3"/>
    <w:rsid w:val="00B76516"/>
    <w:rsid w:val="00B80165"/>
    <w:rsid w:val="00B80F6B"/>
    <w:rsid w:val="00B8259B"/>
    <w:rsid w:val="00B83D10"/>
    <w:rsid w:val="00B85381"/>
    <w:rsid w:val="00B85870"/>
    <w:rsid w:val="00B87A13"/>
    <w:rsid w:val="00B87B9D"/>
    <w:rsid w:val="00B9039C"/>
    <w:rsid w:val="00B915F6"/>
    <w:rsid w:val="00B91E5D"/>
    <w:rsid w:val="00B948E7"/>
    <w:rsid w:val="00B96C7B"/>
    <w:rsid w:val="00B96DB3"/>
    <w:rsid w:val="00BA1B8C"/>
    <w:rsid w:val="00BA3560"/>
    <w:rsid w:val="00BA399E"/>
    <w:rsid w:val="00BA447D"/>
    <w:rsid w:val="00BA45E6"/>
    <w:rsid w:val="00BA4C19"/>
    <w:rsid w:val="00BA507D"/>
    <w:rsid w:val="00BA5A41"/>
    <w:rsid w:val="00BA5B09"/>
    <w:rsid w:val="00BB035D"/>
    <w:rsid w:val="00BB04BD"/>
    <w:rsid w:val="00BB1161"/>
    <w:rsid w:val="00BB156C"/>
    <w:rsid w:val="00BB190B"/>
    <w:rsid w:val="00BB1C93"/>
    <w:rsid w:val="00BB2A64"/>
    <w:rsid w:val="00BB2C4E"/>
    <w:rsid w:val="00BB31E8"/>
    <w:rsid w:val="00BB34E4"/>
    <w:rsid w:val="00BB49A9"/>
    <w:rsid w:val="00BB4E2F"/>
    <w:rsid w:val="00BB53D9"/>
    <w:rsid w:val="00BB56A1"/>
    <w:rsid w:val="00BB5AF4"/>
    <w:rsid w:val="00BB6756"/>
    <w:rsid w:val="00BB741A"/>
    <w:rsid w:val="00BB7C10"/>
    <w:rsid w:val="00BC030D"/>
    <w:rsid w:val="00BC0AA9"/>
    <w:rsid w:val="00BC1091"/>
    <w:rsid w:val="00BC1628"/>
    <w:rsid w:val="00BC19F9"/>
    <w:rsid w:val="00BC1AB5"/>
    <w:rsid w:val="00BC210C"/>
    <w:rsid w:val="00BC3060"/>
    <w:rsid w:val="00BC3C8F"/>
    <w:rsid w:val="00BC45C7"/>
    <w:rsid w:val="00BC489F"/>
    <w:rsid w:val="00BC7481"/>
    <w:rsid w:val="00BC76C0"/>
    <w:rsid w:val="00BD006B"/>
    <w:rsid w:val="00BD0AFE"/>
    <w:rsid w:val="00BD173B"/>
    <w:rsid w:val="00BD1B35"/>
    <w:rsid w:val="00BD242F"/>
    <w:rsid w:val="00BD2551"/>
    <w:rsid w:val="00BD272F"/>
    <w:rsid w:val="00BD3608"/>
    <w:rsid w:val="00BD376E"/>
    <w:rsid w:val="00BD3A5D"/>
    <w:rsid w:val="00BD4DE3"/>
    <w:rsid w:val="00BD52FF"/>
    <w:rsid w:val="00BD548C"/>
    <w:rsid w:val="00BD59EF"/>
    <w:rsid w:val="00BD5EBB"/>
    <w:rsid w:val="00BD66CA"/>
    <w:rsid w:val="00BD6A47"/>
    <w:rsid w:val="00BD6C86"/>
    <w:rsid w:val="00BD773F"/>
    <w:rsid w:val="00BE01AD"/>
    <w:rsid w:val="00BE1DEF"/>
    <w:rsid w:val="00BE2A29"/>
    <w:rsid w:val="00BE2D00"/>
    <w:rsid w:val="00BE2F00"/>
    <w:rsid w:val="00BE3612"/>
    <w:rsid w:val="00BE403D"/>
    <w:rsid w:val="00BE43B2"/>
    <w:rsid w:val="00BE4D5D"/>
    <w:rsid w:val="00BE62FF"/>
    <w:rsid w:val="00BE774C"/>
    <w:rsid w:val="00BF26D5"/>
    <w:rsid w:val="00BF2720"/>
    <w:rsid w:val="00BF38C4"/>
    <w:rsid w:val="00BF40E8"/>
    <w:rsid w:val="00BF4ABA"/>
    <w:rsid w:val="00BF5394"/>
    <w:rsid w:val="00BF60C5"/>
    <w:rsid w:val="00BF6134"/>
    <w:rsid w:val="00BF63B0"/>
    <w:rsid w:val="00BF7797"/>
    <w:rsid w:val="00C0019A"/>
    <w:rsid w:val="00C0105B"/>
    <w:rsid w:val="00C017F5"/>
    <w:rsid w:val="00C019AE"/>
    <w:rsid w:val="00C02568"/>
    <w:rsid w:val="00C026B1"/>
    <w:rsid w:val="00C02A25"/>
    <w:rsid w:val="00C033F7"/>
    <w:rsid w:val="00C060AC"/>
    <w:rsid w:val="00C0746F"/>
    <w:rsid w:val="00C07CB2"/>
    <w:rsid w:val="00C10209"/>
    <w:rsid w:val="00C10997"/>
    <w:rsid w:val="00C1203C"/>
    <w:rsid w:val="00C126CB"/>
    <w:rsid w:val="00C128D1"/>
    <w:rsid w:val="00C150F6"/>
    <w:rsid w:val="00C15866"/>
    <w:rsid w:val="00C16122"/>
    <w:rsid w:val="00C1655F"/>
    <w:rsid w:val="00C17800"/>
    <w:rsid w:val="00C17C2C"/>
    <w:rsid w:val="00C17D3E"/>
    <w:rsid w:val="00C20620"/>
    <w:rsid w:val="00C20938"/>
    <w:rsid w:val="00C235AE"/>
    <w:rsid w:val="00C2368F"/>
    <w:rsid w:val="00C239DD"/>
    <w:rsid w:val="00C23EDF"/>
    <w:rsid w:val="00C262D5"/>
    <w:rsid w:val="00C26BA2"/>
    <w:rsid w:val="00C27DE2"/>
    <w:rsid w:val="00C31682"/>
    <w:rsid w:val="00C31D64"/>
    <w:rsid w:val="00C32DC8"/>
    <w:rsid w:val="00C33F62"/>
    <w:rsid w:val="00C36471"/>
    <w:rsid w:val="00C37251"/>
    <w:rsid w:val="00C37284"/>
    <w:rsid w:val="00C373D0"/>
    <w:rsid w:val="00C37568"/>
    <w:rsid w:val="00C3792F"/>
    <w:rsid w:val="00C4134C"/>
    <w:rsid w:val="00C413C9"/>
    <w:rsid w:val="00C41A96"/>
    <w:rsid w:val="00C41CC8"/>
    <w:rsid w:val="00C421BF"/>
    <w:rsid w:val="00C42626"/>
    <w:rsid w:val="00C4356F"/>
    <w:rsid w:val="00C435C0"/>
    <w:rsid w:val="00C440E1"/>
    <w:rsid w:val="00C442DE"/>
    <w:rsid w:val="00C448D0"/>
    <w:rsid w:val="00C46935"/>
    <w:rsid w:val="00C46B60"/>
    <w:rsid w:val="00C4764F"/>
    <w:rsid w:val="00C4781E"/>
    <w:rsid w:val="00C47ACD"/>
    <w:rsid w:val="00C514F3"/>
    <w:rsid w:val="00C51C38"/>
    <w:rsid w:val="00C51E95"/>
    <w:rsid w:val="00C52C58"/>
    <w:rsid w:val="00C52F06"/>
    <w:rsid w:val="00C52F49"/>
    <w:rsid w:val="00C5397E"/>
    <w:rsid w:val="00C541D2"/>
    <w:rsid w:val="00C5427F"/>
    <w:rsid w:val="00C54C64"/>
    <w:rsid w:val="00C55DCA"/>
    <w:rsid w:val="00C563C9"/>
    <w:rsid w:val="00C57D08"/>
    <w:rsid w:val="00C60936"/>
    <w:rsid w:val="00C622C4"/>
    <w:rsid w:val="00C63E87"/>
    <w:rsid w:val="00C64FB2"/>
    <w:rsid w:val="00C650CF"/>
    <w:rsid w:val="00C66A60"/>
    <w:rsid w:val="00C66AC3"/>
    <w:rsid w:val="00C70016"/>
    <w:rsid w:val="00C747D2"/>
    <w:rsid w:val="00C74885"/>
    <w:rsid w:val="00C74F61"/>
    <w:rsid w:val="00C750BC"/>
    <w:rsid w:val="00C752A5"/>
    <w:rsid w:val="00C757B2"/>
    <w:rsid w:val="00C7705D"/>
    <w:rsid w:val="00C77F51"/>
    <w:rsid w:val="00C801C5"/>
    <w:rsid w:val="00C80A83"/>
    <w:rsid w:val="00C81042"/>
    <w:rsid w:val="00C81D5F"/>
    <w:rsid w:val="00C8222F"/>
    <w:rsid w:val="00C83777"/>
    <w:rsid w:val="00C83C9F"/>
    <w:rsid w:val="00C84287"/>
    <w:rsid w:val="00C84614"/>
    <w:rsid w:val="00C8476E"/>
    <w:rsid w:val="00C84904"/>
    <w:rsid w:val="00C85C6F"/>
    <w:rsid w:val="00C8621B"/>
    <w:rsid w:val="00C86702"/>
    <w:rsid w:val="00C86D5B"/>
    <w:rsid w:val="00C87D29"/>
    <w:rsid w:val="00C900B3"/>
    <w:rsid w:val="00C902CC"/>
    <w:rsid w:val="00C90724"/>
    <w:rsid w:val="00C915F0"/>
    <w:rsid w:val="00C916AD"/>
    <w:rsid w:val="00C91B03"/>
    <w:rsid w:val="00C92081"/>
    <w:rsid w:val="00C920E4"/>
    <w:rsid w:val="00C937BD"/>
    <w:rsid w:val="00C93D61"/>
    <w:rsid w:val="00C93FAC"/>
    <w:rsid w:val="00C943C0"/>
    <w:rsid w:val="00C94649"/>
    <w:rsid w:val="00C9509E"/>
    <w:rsid w:val="00C955EE"/>
    <w:rsid w:val="00C96463"/>
    <w:rsid w:val="00CA14E7"/>
    <w:rsid w:val="00CA1F72"/>
    <w:rsid w:val="00CA29D8"/>
    <w:rsid w:val="00CA2A32"/>
    <w:rsid w:val="00CA3E7D"/>
    <w:rsid w:val="00CA46E1"/>
    <w:rsid w:val="00CA49EF"/>
    <w:rsid w:val="00CA5906"/>
    <w:rsid w:val="00CA6AB2"/>
    <w:rsid w:val="00CA6E01"/>
    <w:rsid w:val="00CA7568"/>
    <w:rsid w:val="00CA7A8A"/>
    <w:rsid w:val="00CB09CD"/>
    <w:rsid w:val="00CB0D13"/>
    <w:rsid w:val="00CB355B"/>
    <w:rsid w:val="00CB531E"/>
    <w:rsid w:val="00CB62A9"/>
    <w:rsid w:val="00CB6468"/>
    <w:rsid w:val="00CB7113"/>
    <w:rsid w:val="00CB7DBC"/>
    <w:rsid w:val="00CB7F4A"/>
    <w:rsid w:val="00CC08BB"/>
    <w:rsid w:val="00CC2151"/>
    <w:rsid w:val="00CC2B92"/>
    <w:rsid w:val="00CC2BAA"/>
    <w:rsid w:val="00CC31B5"/>
    <w:rsid w:val="00CC4401"/>
    <w:rsid w:val="00CC5989"/>
    <w:rsid w:val="00CC64A9"/>
    <w:rsid w:val="00CD0092"/>
    <w:rsid w:val="00CD00CF"/>
    <w:rsid w:val="00CD0F79"/>
    <w:rsid w:val="00CD178F"/>
    <w:rsid w:val="00CD225D"/>
    <w:rsid w:val="00CD30E7"/>
    <w:rsid w:val="00CD35EE"/>
    <w:rsid w:val="00CD390C"/>
    <w:rsid w:val="00CD44BE"/>
    <w:rsid w:val="00CD4F05"/>
    <w:rsid w:val="00CD6AD1"/>
    <w:rsid w:val="00CD6AFB"/>
    <w:rsid w:val="00CD714E"/>
    <w:rsid w:val="00CD71D8"/>
    <w:rsid w:val="00CD7224"/>
    <w:rsid w:val="00CD7C71"/>
    <w:rsid w:val="00CE0453"/>
    <w:rsid w:val="00CE0C69"/>
    <w:rsid w:val="00CE1A16"/>
    <w:rsid w:val="00CE1D1D"/>
    <w:rsid w:val="00CE20EF"/>
    <w:rsid w:val="00CE235C"/>
    <w:rsid w:val="00CE356C"/>
    <w:rsid w:val="00CE44BE"/>
    <w:rsid w:val="00CE482D"/>
    <w:rsid w:val="00CE57BE"/>
    <w:rsid w:val="00CE5946"/>
    <w:rsid w:val="00CE5C62"/>
    <w:rsid w:val="00CE5E8E"/>
    <w:rsid w:val="00CE5F62"/>
    <w:rsid w:val="00CE6542"/>
    <w:rsid w:val="00CE663D"/>
    <w:rsid w:val="00CE6A68"/>
    <w:rsid w:val="00CE708F"/>
    <w:rsid w:val="00CE7FA4"/>
    <w:rsid w:val="00CF012E"/>
    <w:rsid w:val="00CF0819"/>
    <w:rsid w:val="00CF0E1C"/>
    <w:rsid w:val="00CF142B"/>
    <w:rsid w:val="00CF1DBD"/>
    <w:rsid w:val="00CF24D8"/>
    <w:rsid w:val="00CF387F"/>
    <w:rsid w:val="00CF3B02"/>
    <w:rsid w:val="00CF5AEC"/>
    <w:rsid w:val="00CF5F77"/>
    <w:rsid w:val="00D00FF8"/>
    <w:rsid w:val="00D01A37"/>
    <w:rsid w:val="00D01EA6"/>
    <w:rsid w:val="00D0522A"/>
    <w:rsid w:val="00D05930"/>
    <w:rsid w:val="00D05EDD"/>
    <w:rsid w:val="00D06CD8"/>
    <w:rsid w:val="00D10169"/>
    <w:rsid w:val="00D10957"/>
    <w:rsid w:val="00D1108A"/>
    <w:rsid w:val="00D11666"/>
    <w:rsid w:val="00D11D92"/>
    <w:rsid w:val="00D141D2"/>
    <w:rsid w:val="00D150F5"/>
    <w:rsid w:val="00D15B22"/>
    <w:rsid w:val="00D1695E"/>
    <w:rsid w:val="00D16B2D"/>
    <w:rsid w:val="00D17780"/>
    <w:rsid w:val="00D20DB0"/>
    <w:rsid w:val="00D20E97"/>
    <w:rsid w:val="00D21253"/>
    <w:rsid w:val="00D216D8"/>
    <w:rsid w:val="00D22F00"/>
    <w:rsid w:val="00D2557B"/>
    <w:rsid w:val="00D25D0C"/>
    <w:rsid w:val="00D26239"/>
    <w:rsid w:val="00D30F99"/>
    <w:rsid w:val="00D320AF"/>
    <w:rsid w:val="00D32225"/>
    <w:rsid w:val="00D32F54"/>
    <w:rsid w:val="00D331A2"/>
    <w:rsid w:val="00D336DC"/>
    <w:rsid w:val="00D33CFF"/>
    <w:rsid w:val="00D349C8"/>
    <w:rsid w:val="00D354DA"/>
    <w:rsid w:val="00D371A6"/>
    <w:rsid w:val="00D37BB3"/>
    <w:rsid w:val="00D37D53"/>
    <w:rsid w:val="00D37F5B"/>
    <w:rsid w:val="00D40643"/>
    <w:rsid w:val="00D40FB5"/>
    <w:rsid w:val="00D41E31"/>
    <w:rsid w:val="00D42B64"/>
    <w:rsid w:val="00D445DC"/>
    <w:rsid w:val="00D44C92"/>
    <w:rsid w:val="00D4567B"/>
    <w:rsid w:val="00D45EEC"/>
    <w:rsid w:val="00D460BE"/>
    <w:rsid w:val="00D461C7"/>
    <w:rsid w:val="00D46A32"/>
    <w:rsid w:val="00D46AFE"/>
    <w:rsid w:val="00D4769E"/>
    <w:rsid w:val="00D4781E"/>
    <w:rsid w:val="00D4783E"/>
    <w:rsid w:val="00D50132"/>
    <w:rsid w:val="00D50138"/>
    <w:rsid w:val="00D52ADD"/>
    <w:rsid w:val="00D54B8B"/>
    <w:rsid w:val="00D5539F"/>
    <w:rsid w:val="00D55A7C"/>
    <w:rsid w:val="00D5608C"/>
    <w:rsid w:val="00D56908"/>
    <w:rsid w:val="00D570C5"/>
    <w:rsid w:val="00D57ADC"/>
    <w:rsid w:val="00D606DB"/>
    <w:rsid w:val="00D61B28"/>
    <w:rsid w:val="00D623FE"/>
    <w:rsid w:val="00D62567"/>
    <w:rsid w:val="00D64444"/>
    <w:rsid w:val="00D64962"/>
    <w:rsid w:val="00D65458"/>
    <w:rsid w:val="00D65E42"/>
    <w:rsid w:val="00D66996"/>
    <w:rsid w:val="00D66C7E"/>
    <w:rsid w:val="00D66DE2"/>
    <w:rsid w:val="00D67A59"/>
    <w:rsid w:val="00D709FE"/>
    <w:rsid w:val="00D710D7"/>
    <w:rsid w:val="00D71527"/>
    <w:rsid w:val="00D71B99"/>
    <w:rsid w:val="00D7261E"/>
    <w:rsid w:val="00D72760"/>
    <w:rsid w:val="00D727AC"/>
    <w:rsid w:val="00D72973"/>
    <w:rsid w:val="00D72D2C"/>
    <w:rsid w:val="00D72E43"/>
    <w:rsid w:val="00D73A1D"/>
    <w:rsid w:val="00D74139"/>
    <w:rsid w:val="00D749F5"/>
    <w:rsid w:val="00D750B2"/>
    <w:rsid w:val="00D751FB"/>
    <w:rsid w:val="00D75858"/>
    <w:rsid w:val="00D76849"/>
    <w:rsid w:val="00D7695A"/>
    <w:rsid w:val="00D76B2B"/>
    <w:rsid w:val="00D800D2"/>
    <w:rsid w:val="00D81198"/>
    <w:rsid w:val="00D8132A"/>
    <w:rsid w:val="00D813BA"/>
    <w:rsid w:val="00D8151F"/>
    <w:rsid w:val="00D81C33"/>
    <w:rsid w:val="00D83570"/>
    <w:rsid w:val="00D83E6D"/>
    <w:rsid w:val="00D84A27"/>
    <w:rsid w:val="00D85141"/>
    <w:rsid w:val="00D85540"/>
    <w:rsid w:val="00D8672C"/>
    <w:rsid w:val="00D86BB1"/>
    <w:rsid w:val="00D902FC"/>
    <w:rsid w:val="00D92C86"/>
    <w:rsid w:val="00D94289"/>
    <w:rsid w:val="00D94430"/>
    <w:rsid w:val="00D94A44"/>
    <w:rsid w:val="00D9589E"/>
    <w:rsid w:val="00D95A3D"/>
    <w:rsid w:val="00D96069"/>
    <w:rsid w:val="00D961E5"/>
    <w:rsid w:val="00D966C5"/>
    <w:rsid w:val="00D96DD5"/>
    <w:rsid w:val="00D96DD6"/>
    <w:rsid w:val="00D9715D"/>
    <w:rsid w:val="00D97397"/>
    <w:rsid w:val="00D97E0B"/>
    <w:rsid w:val="00D97F5F"/>
    <w:rsid w:val="00DA073D"/>
    <w:rsid w:val="00DA07FC"/>
    <w:rsid w:val="00DA0941"/>
    <w:rsid w:val="00DA09D8"/>
    <w:rsid w:val="00DA1236"/>
    <w:rsid w:val="00DA16A8"/>
    <w:rsid w:val="00DA2B8E"/>
    <w:rsid w:val="00DA30B8"/>
    <w:rsid w:val="00DA33EB"/>
    <w:rsid w:val="00DA480C"/>
    <w:rsid w:val="00DA509F"/>
    <w:rsid w:val="00DA536B"/>
    <w:rsid w:val="00DA61F4"/>
    <w:rsid w:val="00DB0106"/>
    <w:rsid w:val="00DB07EA"/>
    <w:rsid w:val="00DB185C"/>
    <w:rsid w:val="00DB193A"/>
    <w:rsid w:val="00DB1E59"/>
    <w:rsid w:val="00DB202E"/>
    <w:rsid w:val="00DB22A8"/>
    <w:rsid w:val="00DB566B"/>
    <w:rsid w:val="00DB59C3"/>
    <w:rsid w:val="00DB6516"/>
    <w:rsid w:val="00DB68AC"/>
    <w:rsid w:val="00DB71DE"/>
    <w:rsid w:val="00DC094C"/>
    <w:rsid w:val="00DC10E8"/>
    <w:rsid w:val="00DC1587"/>
    <w:rsid w:val="00DC3A61"/>
    <w:rsid w:val="00DC48FB"/>
    <w:rsid w:val="00DC4BF5"/>
    <w:rsid w:val="00DC544B"/>
    <w:rsid w:val="00DC7258"/>
    <w:rsid w:val="00DD0958"/>
    <w:rsid w:val="00DD1C54"/>
    <w:rsid w:val="00DD2BDD"/>
    <w:rsid w:val="00DD34DE"/>
    <w:rsid w:val="00DD3FE4"/>
    <w:rsid w:val="00DD471A"/>
    <w:rsid w:val="00DD476E"/>
    <w:rsid w:val="00DD4774"/>
    <w:rsid w:val="00DD57C1"/>
    <w:rsid w:val="00DD6786"/>
    <w:rsid w:val="00DD7188"/>
    <w:rsid w:val="00DD725F"/>
    <w:rsid w:val="00DD74C2"/>
    <w:rsid w:val="00DD7B4F"/>
    <w:rsid w:val="00DE03E9"/>
    <w:rsid w:val="00DE149E"/>
    <w:rsid w:val="00DE15E9"/>
    <w:rsid w:val="00DE1BEE"/>
    <w:rsid w:val="00DE208D"/>
    <w:rsid w:val="00DE248F"/>
    <w:rsid w:val="00DE2688"/>
    <w:rsid w:val="00DE29C5"/>
    <w:rsid w:val="00DE303C"/>
    <w:rsid w:val="00DE3966"/>
    <w:rsid w:val="00DE481B"/>
    <w:rsid w:val="00DE4DCF"/>
    <w:rsid w:val="00DE5713"/>
    <w:rsid w:val="00DE5D88"/>
    <w:rsid w:val="00DE6E06"/>
    <w:rsid w:val="00DE7097"/>
    <w:rsid w:val="00DF0638"/>
    <w:rsid w:val="00DF0BE2"/>
    <w:rsid w:val="00DF1526"/>
    <w:rsid w:val="00DF17AF"/>
    <w:rsid w:val="00DF1934"/>
    <w:rsid w:val="00DF21A5"/>
    <w:rsid w:val="00DF2B1E"/>
    <w:rsid w:val="00DF3EE4"/>
    <w:rsid w:val="00DF4423"/>
    <w:rsid w:val="00DF52A9"/>
    <w:rsid w:val="00E004AD"/>
    <w:rsid w:val="00E0102E"/>
    <w:rsid w:val="00E01568"/>
    <w:rsid w:val="00E0186E"/>
    <w:rsid w:val="00E0215A"/>
    <w:rsid w:val="00E021CB"/>
    <w:rsid w:val="00E02607"/>
    <w:rsid w:val="00E0264F"/>
    <w:rsid w:val="00E02D4C"/>
    <w:rsid w:val="00E03292"/>
    <w:rsid w:val="00E036FD"/>
    <w:rsid w:val="00E03ACF"/>
    <w:rsid w:val="00E042F4"/>
    <w:rsid w:val="00E06179"/>
    <w:rsid w:val="00E06A8A"/>
    <w:rsid w:val="00E07F71"/>
    <w:rsid w:val="00E104DB"/>
    <w:rsid w:val="00E10CED"/>
    <w:rsid w:val="00E12499"/>
    <w:rsid w:val="00E14A2C"/>
    <w:rsid w:val="00E14AAB"/>
    <w:rsid w:val="00E157B7"/>
    <w:rsid w:val="00E158C3"/>
    <w:rsid w:val="00E1590F"/>
    <w:rsid w:val="00E15B4A"/>
    <w:rsid w:val="00E16253"/>
    <w:rsid w:val="00E1628E"/>
    <w:rsid w:val="00E16E7E"/>
    <w:rsid w:val="00E17868"/>
    <w:rsid w:val="00E20878"/>
    <w:rsid w:val="00E20B21"/>
    <w:rsid w:val="00E212F9"/>
    <w:rsid w:val="00E216A1"/>
    <w:rsid w:val="00E22169"/>
    <w:rsid w:val="00E2390A"/>
    <w:rsid w:val="00E23CAF"/>
    <w:rsid w:val="00E241D1"/>
    <w:rsid w:val="00E257CE"/>
    <w:rsid w:val="00E25895"/>
    <w:rsid w:val="00E2608F"/>
    <w:rsid w:val="00E265E9"/>
    <w:rsid w:val="00E26CDB"/>
    <w:rsid w:val="00E27DA8"/>
    <w:rsid w:val="00E302D8"/>
    <w:rsid w:val="00E3051C"/>
    <w:rsid w:val="00E30833"/>
    <w:rsid w:val="00E3357C"/>
    <w:rsid w:val="00E336C3"/>
    <w:rsid w:val="00E33ADF"/>
    <w:rsid w:val="00E34125"/>
    <w:rsid w:val="00E34D0F"/>
    <w:rsid w:val="00E3525E"/>
    <w:rsid w:val="00E3543F"/>
    <w:rsid w:val="00E355AB"/>
    <w:rsid w:val="00E35E0A"/>
    <w:rsid w:val="00E36007"/>
    <w:rsid w:val="00E366C2"/>
    <w:rsid w:val="00E37CFD"/>
    <w:rsid w:val="00E37F93"/>
    <w:rsid w:val="00E40B20"/>
    <w:rsid w:val="00E423BC"/>
    <w:rsid w:val="00E42F39"/>
    <w:rsid w:val="00E446DC"/>
    <w:rsid w:val="00E44F08"/>
    <w:rsid w:val="00E45AA4"/>
    <w:rsid w:val="00E463BB"/>
    <w:rsid w:val="00E46D38"/>
    <w:rsid w:val="00E50544"/>
    <w:rsid w:val="00E508EC"/>
    <w:rsid w:val="00E51D11"/>
    <w:rsid w:val="00E522D5"/>
    <w:rsid w:val="00E53DB9"/>
    <w:rsid w:val="00E53EC9"/>
    <w:rsid w:val="00E548EA"/>
    <w:rsid w:val="00E549F2"/>
    <w:rsid w:val="00E554F5"/>
    <w:rsid w:val="00E558AE"/>
    <w:rsid w:val="00E55BF1"/>
    <w:rsid w:val="00E56583"/>
    <w:rsid w:val="00E5689E"/>
    <w:rsid w:val="00E56A08"/>
    <w:rsid w:val="00E5794B"/>
    <w:rsid w:val="00E60C7C"/>
    <w:rsid w:val="00E61513"/>
    <w:rsid w:val="00E61955"/>
    <w:rsid w:val="00E61967"/>
    <w:rsid w:val="00E61F92"/>
    <w:rsid w:val="00E62A1C"/>
    <w:rsid w:val="00E63012"/>
    <w:rsid w:val="00E63FEC"/>
    <w:rsid w:val="00E64305"/>
    <w:rsid w:val="00E662BA"/>
    <w:rsid w:val="00E67C6C"/>
    <w:rsid w:val="00E70D3C"/>
    <w:rsid w:val="00E71CE6"/>
    <w:rsid w:val="00E72269"/>
    <w:rsid w:val="00E744ED"/>
    <w:rsid w:val="00E74FB7"/>
    <w:rsid w:val="00E75535"/>
    <w:rsid w:val="00E7657B"/>
    <w:rsid w:val="00E766A9"/>
    <w:rsid w:val="00E76978"/>
    <w:rsid w:val="00E76BB3"/>
    <w:rsid w:val="00E77EB3"/>
    <w:rsid w:val="00E80713"/>
    <w:rsid w:val="00E809C9"/>
    <w:rsid w:val="00E80BD7"/>
    <w:rsid w:val="00E816B6"/>
    <w:rsid w:val="00E8250A"/>
    <w:rsid w:val="00E825ED"/>
    <w:rsid w:val="00E83294"/>
    <w:rsid w:val="00E83D5F"/>
    <w:rsid w:val="00E841A7"/>
    <w:rsid w:val="00E8431A"/>
    <w:rsid w:val="00E84680"/>
    <w:rsid w:val="00E84B23"/>
    <w:rsid w:val="00E85F3B"/>
    <w:rsid w:val="00E86512"/>
    <w:rsid w:val="00E86E10"/>
    <w:rsid w:val="00E9061A"/>
    <w:rsid w:val="00E90B3F"/>
    <w:rsid w:val="00E90BA4"/>
    <w:rsid w:val="00E90C2C"/>
    <w:rsid w:val="00E918B3"/>
    <w:rsid w:val="00E9314E"/>
    <w:rsid w:val="00E93351"/>
    <w:rsid w:val="00E936D8"/>
    <w:rsid w:val="00E93EB4"/>
    <w:rsid w:val="00E94C78"/>
    <w:rsid w:val="00E94C85"/>
    <w:rsid w:val="00E955E0"/>
    <w:rsid w:val="00E95A40"/>
    <w:rsid w:val="00E964FD"/>
    <w:rsid w:val="00E96C89"/>
    <w:rsid w:val="00E9766C"/>
    <w:rsid w:val="00E977C8"/>
    <w:rsid w:val="00EA15DA"/>
    <w:rsid w:val="00EA3867"/>
    <w:rsid w:val="00EA4432"/>
    <w:rsid w:val="00EA44E5"/>
    <w:rsid w:val="00EA45D6"/>
    <w:rsid w:val="00EA5CF8"/>
    <w:rsid w:val="00EA6755"/>
    <w:rsid w:val="00EA70D1"/>
    <w:rsid w:val="00EB0BC5"/>
    <w:rsid w:val="00EB1341"/>
    <w:rsid w:val="00EB45CF"/>
    <w:rsid w:val="00EB4B09"/>
    <w:rsid w:val="00EB51AC"/>
    <w:rsid w:val="00EB62A1"/>
    <w:rsid w:val="00EB6746"/>
    <w:rsid w:val="00EB6839"/>
    <w:rsid w:val="00EB722D"/>
    <w:rsid w:val="00EB7398"/>
    <w:rsid w:val="00EC59E7"/>
    <w:rsid w:val="00EC5A5C"/>
    <w:rsid w:val="00EC5FE4"/>
    <w:rsid w:val="00EC720C"/>
    <w:rsid w:val="00EC733C"/>
    <w:rsid w:val="00ED071C"/>
    <w:rsid w:val="00ED0FE1"/>
    <w:rsid w:val="00ED117A"/>
    <w:rsid w:val="00ED1976"/>
    <w:rsid w:val="00ED2374"/>
    <w:rsid w:val="00ED2FA2"/>
    <w:rsid w:val="00ED31FE"/>
    <w:rsid w:val="00ED44B2"/>
    <w:rsid w:val="00ED4532"/>
    <w:rsid w:val="00ED4797"/>
    <w:rsid w:val="00ED4AC4"/>
    <w:rsid w:val="00ED4FF0"/>
    <w:rsid w:val="00ED53CE"/>
    <w:rsid w:val="00ED5759"/>
    <w:rsid w:val="00ED5F3E"/>
    <w:rsid w:val="00ED62AA"/>
    <w:rsid w:val="00ED64A3"/>
    <w:rsid w:val="00ED739F"/>
    <w:rsid w:val="00EE0029"/>
    <w:rsid w:val="00EE02D3"/>
    <w:rsid w:val="00EE0493"/>
    <w:rsid w:val="00EE0FC8"/>
    <w:rsid w:val="00EE1572"/>
    <w:rsid w:val="00EE19EF"/>
    <w:rsid w:val="00EE25FD"/>
    <w:rsid w:val="00EE3714"/>
    <w:rsid w:val="00EE3B8E"/>
    <w:rsid w:val="00EE40FF"/>
    <w:rsid w:val="00EE50AA"/>
    <w:rsid w:val="00EE6467"/>
    <w:rsid w:val="00EE736D"/>
    <w:rsid w:val="00EF0491"/>
    <w:rsid w:val="00EF33F9"/>
    <w:rsid w:val="00EF4666"/>
    <w:rsid w:val="00EF58AB"/>
    <w:rsid w:val="00EF6FFD"/>
    <w:rsid w:val="00EF71E4"/>
    <w:rsid w:val="00EF7207"/>
    <w:rsid w:val="00F0003C"/>
    <w:rsid w:val="00F00BD0"/>
    <w:rsid w:val="00F028AB"/>
    <w:rsid w:val="00F02D02"/>
    <w:rsid w:val="00F02F54"/>
    <w:rsid w:val="00F031CD"/>
    <w:rsid w:val="00F03962"/>
    <w:rsid w:val="00F046D2"/>
    <w:rsid w:val="00F04F76"/>
    <w:rsid w:val="00F058A2"/>
    <w:rsid w:val="00F11B9B"/>
    <w:rsid w:val="00F13D87"/>
    <w:rsid w:val="00F1436A"/>
    <w:rsid w:val="00F143AB"/>
    <w:rsid w:val="00F146CB"/>
    <w:rsid w:val="00F15E4F"/>
    <w:rsid w:val="00F165E9"/>
    <w:rsid w:val="00F1685D"/>
    <w:rsid w:val="00F1786B"/>
    <w:rsid w:val="00F179CA"/>
    <w:rsid w:val="00F200E0"/>
    <w:rsid w:val="00F25706"/>
    <w:rsid w:val="00F25958"/>
    <w:rsid w:val="00F25C03"/>
    <w:rsid w:val="00F260F4"/>
    <w:rsid w:val="00F26720"/>
    <w:rsid w:val="00F270B6"/>
    <w:rsid w:val="00F27A12"/>
    <w:rsid w:val="00F27B5C"/>
    <w:rsid w:val="00F30141"/>
    <w:rsid w:val="00F31606"/>
    <w:rsid w:val="00F320C6"/>
    <w:rsid w:val="00F327C5"/>
    <w:rsid w:val="00F32893"/>
    <w:rsid w:val="00F32DC4"/>
    <w:rsid w:val="00F33C5F"/>
    <w:rsid w:val="00F340EC"/>
    <w:rsid w:val="00F3464B"/>
    <w:rsid w:val="00F34753"/>
    <w:rsid w:val="00F34EA8"/>
    <w:rsid w:val="00F363DE"/>
    <w:rsid w:val="00F367E6"/>
    <w:rsid w:val="00F368C7"/>
    <w:rsid w:val="00F3710F"/>
    <w:rsid w:val="00F37CD3"/>
    <w:rsid w:val="00F40095"/>
    <w:rsid w:val="00F40493"/>
    <w:rsid w:val="00F41273"/>
    <w:rsid w:val="00F4130E"/>
    <w:rsid w:val="00F41BA3"/>
    <w:rsid w:val="00F4250B"/>
    <w:rsid w:val="00F42ABD"/>
    <w:rsid w:val="00F4527A"/>
    <w:rsid w:val="00F45B75"/>
    <w:rsid w:val="00F46B5C"/>
    <w:rsid w:val="00F46E9D"/>
    <w:rsid w:val="00F51052"/>
    <w:rsid w:val="00F52E2C"/>
    <w:rsid w:val="00F5320D"/>
    <w:rsid w:val="00F53304"/>
    <w:rsid w:val="00F5349F"/>
    <w:rsid w:val="00F53AC3"/>
    <w:rsid w:val="00F55F5B"/>
    <w:rsid w:val="00F5691F"/>
    <w:rsid w:val="00F57B7E"/>
    <w:rsid w:val="00F61D51"/>
    <w:rsid w:val="00F621A3"/>
    <w:rsid w:val="00F62E91"/>
    <w:rsid w:val="00F6384A"/>
    <w:rsid w:val="00F63857"/>
    <w:rsid w:val="00F63F3A"/>
    <w:rsid w:val="00F64CDE"/>
    <w:rsid w:val="00F65281"/>
    <w:rsid w:val="00F66574"/>
    <w:rsid w:val="00F6667B"/>
    <w:rsid w:val="00F669D1"/>
    <w:rsid w:val="00F66E8F"/>
    <w:rsid w:val="00F66EAF"/>
    <w:rsid w:val="00F6772F"/>
    <w:rsid w:val="00F702B8"/>
    <w:rsid w:val="00F7032F"/>
    <w:rsid w:val="00F70A3B"/>
    <w:rsid w:val="00F71480"/>
    <w:rsid w:val="00F721A7"/>
    <w:rsid w:val="00F721C3"/>
    <w:rsid w:val="00F722F0"/>
    <w:rsid w:val="00F73274"/>
    <w:rsid w:val="00F7330F"/>
    <w:rsid w:val="00F73452"/>
    <w:rsid w:val="00F73DB4"/>
    <w:rsid w:val="00F74A46"/>
    <w:rsid w:val="00F7604F"/>
    <w:rsid w:val="00F76449"/>
    <w:rsid w:val="00F769D0"/>
    <w:rsid w:val="00F76C4E"/>
    <w:rsid w:val="00F7728A"/>
    <w:rsid w:val="00F8006D"/>
    <w:rsid w:val="00F80533"/>
    <w:rsid w:val="00F8064C"/>
    <w:rsid w:val="00F821AA"/>
    <w:rsid w:val="00F83246"/>
    <w:rsid w:val="00F832F8"/>
    <w:rsid w:val="00F83706"/>
    <w:rsid w:val="00F837B9"/>
    <w:rsid w:val="00F83AA4"/>
    <w:rsid w:val="00F83B0E"/>
    <w:rsid w:val="00F83B7B"/>
    <w:rsid w:val="00F842FB"/>
    <w:rsid w:val="00F84AAD"/>
    <w:rsid w:val="00F84CB6"/>
    <w:rsid w:val="00F850D5"/>
    <w:rsid w:val="00F85730"/>
    <w:rsid w:val="00F8574F"/>
    <w:rsid w:val="00F85C70"/>
    <w:rsid w:val="00F87B2F"/>
    <w:rsid w:val="00F87D6C"/>
    <w:rsid w:val="00F90196"/>
    <w:rsid w:val="00F90453"/>
    <w:rsid w:val="00F90477"/>
    <w:rsid w:val="00F90A4B"/>
    <w:rsid w:val="00F90DE1"/>
    <w:rsid w:val="00F90F1B"/>
    <w:rsid w:val="00F9197A"/>
    <w:rsid w:val="00F93517"/>
    <w:rsid w:val="00F960A5"/>
    <w:rsid w:val="00F97BA8"/>
    <w:rsid w:val="00FA0076"/>
    <w:rsid w:val="00FA076B"/>
    <w:rsid w:val="00FA1568"/>
    <w:rsid w:val="00FA1627"/>
    <w:rsid w:val="00FA339F"/>
    <w:rsid w:val="00FA3E67"/>
    <w:rsid w:val="00FA4807"/>
    <w:rsid w:val="00FA4B58"/>
    <w:rsid w:val="00FA5AB1"/>
    <w:rsid w:val="00FA696F"/>
    <w:rsid w:val="00FA7D01"/>
    <w:rsid w:val="00FB047A"/>
    <w:rsid w:val="00FB0695"/>
    <w:rsid w:val="00FB0CED"/>
    <w:rsid w:val="00FB1666"/>
    <w:rsid w:val="00FB1A7D"/>
    <w:rsid w:val="00FB3E35"/>
    <w:rsid w:val="00FB491B"/>
    <w:rsid w:val="00FB5B7D"/>
    <w:rsid w:val="00FB5BE2"/>
    <w:rsid w:val="00FB647A"/>
    <w:rsid w:val="00FB6B0C"/>
    <w:rsid w:val="00FB7457"/>
    <w:rsid w:val="00FC15DB"/>
    <w:rsid w:val="00FC2B62"/>
    <w:rsid w:val="00FC430A"/>
    <w:rsid w:val="00FC4E63"/>
    <w:rsid w:val="00FC50B1"/>
    <w:rsid w:val="00FC57DB"/>
    <w:rsid w:val="00FC6308"/>
    <w:rsid w:val="00FC7208"/>
    <w:rsid w:val="00FD171A"/>
    <w:rsid w:val="00FD270A"/>
    <w:rsid w:val="00FD4D4B"/>
    <w:rsid w:val="00FD5BD1"/>
    <w:rsid w:val="00FD5FB4"/>
    <w:rsid w:val="00FD61ED"/>
    <w:rsid w:val="00FD61F0"/>
    <w:rsid w:val="00FD64B2"/>
    <w:rsid w:val="00FD676C"/>
    <w:rsid w:val="00FD6E92"/>
    <w:rsid w:val="00FD7103"/>
    <w:rsid w:val="00FD7111"/>
    <w:rsid w:val="00FD71FD"/>
    <w:rsid w:val="00FE093E"/>
    <w:rsid w:val="00FE0D70"/>
    <w:rsid w:val="00FE1D1A"/>
    <w:rsid w:val="00FE3C54"/>
    <w:rsid w:val="00FE3E36"/>
    <w:rsid w:val="00FE494C"/>
    <w:rsid w:val="00FE4B77"/>
    <w:rsid w:val="00FE5B76"/>
    <w:rsid w:val="00FE5F46"/>
    <w:rsid w:val="00FE6574"/>
    <w:rsid w:val="00FE6BC2"/>
    <w:rsid w:val="00FE7F58"/>
    <w:rsid w:val="00FF01DA"/>
    <w:rsid w:val="00FF191A"/>
    <w:rsid w:val="00FF1C08"/>
    <w:rsid w:val="00FF20F0"/>
    <w:rsid w:val="00FF2ADA"/>
    <w:rsid w:val="00FF2D99"/>
    <w:rsid w:val="00FF3D06"/>
    <w:rsid w:val="00FF3E55"/>
    <w:rsid w:val="00FF4F39"/>
    <w:rsid w:val="00FF54EF"/>
    <w:rsid w:val="00FF550B"/>
    <w:rsid w:val="00FF5AFC"/>
    <w:rsid w:val="00FF64E7"/>
    <w:rsid w:val="039A7C60"/>
    <w:rsid w:val="03A903F6"/>
    <w:rsid w:val="03D646D5"/>
    <w:rsid w:val="04503AFE"/>
    <w:rsid w:val="0ABA7BAA"/>
    <w:rsid w:val="0EAB53C9"/>
    <w:rsid w:val="106E5C1A"/>
    <w:rsid w:val="134A2954"/>
    <w:rsid w:val="15E91EE1"/>
    <w:rsid w:val="17401750"/>
    <w:rsid w:val="185767C7"/>
    <w:rsid w:val="18C1615F"/>
    <w:rsid w:val="19497B20"/>
    <w:rsid w:val="1A047892"/>
    <w:rsid w:val="1DB60498"/>
    <w:rsid w:val="1E183D57"/>
    <w:rsid w:val="226A329C"/>
    <w:rsid w:val="22FF36A7"/>
    <w:rsid w:val="297C7837"/>
    <w:rsid w:val="2B6B61F9"/>
    <w:rsid w:val="2DC303A9"/>
    <w:rsid w:val="328D5909"/>
    <w:rsid w:val="350808C2"/>
    <w:rsid w:val="351E5C21"/>
    <w:rsid w:val="3697377B"/>
    <w:rsid w:val="369C006A"/>
    <w:rsid w:val="37A40D2D"/>
    <w:rsid w:val="37AD2253"/>
    <w:rsid w:val="37BA22FC"/>
    <w:rsid w:val="398A39EC"/>
    <w:rsid w:val="3A4B3DD5"/>
    <w:rsid w:val="3AE1628F"/>
    <w:rsid w:val="3D3B60FB"/>
    <w:rsid w:val="3D9060DC"/>
    <w:rsid w:val="3DBA04A2"/>
    <w:rsid w:val="3F136881"/>
    <w:rsid w:val="417A0A53"/>
    <w:rsid w:val="41A510FD"/>
    <w:rsid w:val="456779B3"/>
    <w:rsid w:val="4B1170A8"/>
    <w:rsid w:val="4E3344B8"/>
    <w:rsid w:val="4F110CA7"/>
    <w:rsid w:val="4F9B7ACC"/>
    <w:rsid w:val="53D568B1"/>
    <w:rsid w:val="5BF7370D"/>
    <w:rsid w:val="608B5BD7"/>
    <w:rsid w:val="60B415DD"/>
    <w:rsid w:val="61C41F33"/>
    <w:rsid w:val="65BF3220"/>
    <w:rsid w:val="67DC43F3"/>
    <w:rsid w:val="6AF45756"/>
    <w:rsid w:val="6CDD2EF5"/>
    <w:rsid w:val="6D6A7173"/>
    <w:rsid w:val="6E524DDC"/>
    <w:rsid w:val="71B67AF0"/>
    <w:rsid w:val="71CC777F"/>
    <w:rsid w:val="75115BE7"/>
    <w:rsid w:val="751C4E0E"/>
    <w:rsid w:val="7AE96ADC"/>
    <w:rsid w:val="7C476786"/>
    <w:rsid w:val="7C9E262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Straight Connector 264"/>
        <o:r id="V:Rule2" type="connector" idref="#Straight Connector 265"/>
        <o:r id="V:Rule3" type="connector" idref="#Straight Connector 266"/>
        <o:r id="V:Rule4" type="connector" idref="#Straight Connector 268"/>
        <o:r id="V:Rule5" type="connector" idref="#Straight Connector 270"/>
        <o:r id="V:Rule6" type="connector" idref="#Straight Connector 273"/>
        <o:r id="V:Rule7" type="connector" idref="#Straight Connector 278"/>
        <o:r id="V:Rule8" type="connector" idref="#Straight Connector 280"/>
        <o:r id="V:Rule9" type="connector" idref="#Straight Connector 20"/>
        <o:r id="V:Rule10" type="connector" idref="#Straight Connector 284"/>
        <o:r id="V:Rule11" type="connector" idref="#Straight Connector 286"/>
        <o:r id="V:Rule12" type="connector" idref="#Straight Connector 292"/>
        <o:r id="V:Rule13" type="connector" idref="#Straight Connector 297"/>
        <o:r id="V:Rule14" type="connector" idref="#Straight Connector 307"/>
        <o:r id="V:Rule15" type="connector" idref="#Straight Connector 308"/>
        <o:r id="V:Rule16" type="connector" idref="#自选图形 1064"/>
        <o:r id="V:Rule17" type="connector" idref="#自选图形 1065"/>
        <o:r id="V:Rule18" type="connector" idref="#自选图形 1066"/>
        <o:r id="V:Rule19" type="connector" idref="#自选图形 1067"/>
        <o:r id="V:Rule20" type="connector" idref="#自选图形 1070"/>
        <o:r id="V:Rule21" type="connector" idref="#自选图形 1072"/>
        <o:r id="V:Rule22" type="connector" idref="#自选图形 1073"/>
        <o:r id="V:Rule23" type="connector" idref="#Straight Connector 274"/>
        <o:r id="V:Rule24" type="connector" idref="#Straight Connector 298"/>
        <o:r id="V:Rule25" type="connector" idref="#Straight Connector 299"/>
        <o:r id="V:Rule26" type="connector" idref="#Straight Connector 300"/>
        <o:r id="V:Rule27" type="connector" idref="#自选图形 1094"/>
        <o:r id="V:Rule28" type="connector" idref="#自选图形 1095"/>
        <o:r id="V:Rule29" type="connector" idref="#自选图形 1096"/>
        <o:r id="V:Rule30" type="connector" idref="#自选图形 1097"/>
        <o:r id="V:Rule31" type="connector" idref="#自选图形 1098"/>
        <o:r id="V:Rule32" type="connector" idref="#自选图形 1104"/>
        <o:r id="V:Rule33" type="connector" idref="#AutoShape 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qFormat="1"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98"/>
    <w:qFormat/>
    <w:uiPriority w:val="0"/>
    <w:pPr>
      <w:keepNext/>
      <w:keepLines/>
      <w:spacing w:line="360" w:lineRule="auto"/>
      <w:jc w:val="left"/>
      <w:outlineLvl w:val="0"/>
    </w:pPr>
    <w:rPr>
      <w:b/>
      <w:kern w:val="44"/>
      <w:sz w:val="32"/>
      <w:szCs w:val="24"/>
    </w:rPr>
  </w:style>
  <w:style w:type="paragraph" w:styleId="6">
    <w:name w:val="heading 2"/>
    <w:basedOn w:val="1"/>
    <w:next w:val="1"/>
    <w:link w:val="99"/>
    <w:unhideWhenUsed/>
    <w:qFormat/>
    <w:uiPriority w:val="0"/>
    <w:pPr>
      <w:keepNext/>
      <w:keepLines/>
      <w:spacing w:line="360" w:lineRule="auto"/>
      <w:jc w:val="left"/>
      <w:outlineLvl w:val="1"/>
    </w:pPr>
    <w:rPr>
      <w:b/>
      <w:sz w:val="30"/>
      <w:szCs w:val="24"/>
    </w:rPr>
  </w:style>
  <w:style w:type="paragraph" w:styleId="7">
    <w:name w:val="heading 3"/>
    <w:basedOn w:val="1"/>
    <w:next w:val="1"/>
    <w:link w:val="100"/>
    <w:unhideWhenUsed/>
    <w:qFormat/>
    <w:uiPriority w:val="0"/>
    <w:pPr>
      <w:keepNext/>
      <w:keepLines/>
      <w:spacing w:line="360" w:lineRule="auto"/>
      <w:jc w:val="left"/>
      <w:outlineLvl w:val="2"/>
    </w:pPr>
    <w:rPr>
      <w:b/>
      <w:sz w:val="28"/>
      <w:szCs w:val="24"/>
    </w:rPr>
  </w:style>
  <w:style w:type="paragraph" w:styleId="8">
    <w:name w:val="heading 4"/>
    <w:basedOn w:val="1"/>
    <w:next w:val="1"/>
    <w:link w:val="101"/>
    <w:unhideWhenUsed/>
    <w:qFormat/>
    <w:uiPriority w:val="0"/>
    <w:pPr>
      <w:spacing w:line="360" w:lineRule="auto"/>
      <w:jc w:val="left"/>
      <w:outlineLvl w:val="3"/>
    </w:pPr>
    <w:rPr>
      <w:b/>
      <w:sz w:val="24"/>
      <w:szCs w:val="24"/>
    </w:rPr>
  </w:style>
  <w:style w:type="paragraph" w:styleId="9">
    <w:name w:val="heading 5"/>
    <w:basedOn w:val="10"/>
    <w:next w:val="11"/>
    <w:link w:val="102"/>
    <w:qFormat/>
    <w:uiPriority w:val="0"/>
    <w:pPr>
      <w:outlineLvl w:val="4"/>
    </w:pPr>
    <w:rPr>
      <w:b w:val="0"/>
    </w:rPr>
  </w:style>
  <w:style w:type="paragraph" w:styleId="12">
    <w:name w:val="heading 6"/>
    <w:basedOn w:val="1"/>
    <w:next w:val="11"/>
    <w:link w:val="103"/>
    <w:qFormat/>
    <w:uiPriority w:val="0"/>
    <w:pPr>
      <w:tabs>
        <w:tab w:val="left" w:pos="570"/>
      </w:tabs>
      <w:spacing w:before="120" w:after="120" w:line="380" w:lineRule="exact"/>
      <w:ind w:left="570" w:hanging="570"/>
      <w:outlineLvl w:val="5"/>
    </w:pPr>
    <w:rPr>
      <w:b/>
      <w:sz w:val="30"/>
    </w:rPr>
  </w:style>
  <w:style w:type="paragraph" w:styleId="13">
    <w:name w:val="heading 7"/>
    <w:basedOn w:val="1"/>
    <w:next w:val="1"/>
    <w:link w:val="104"/>
    <w:qFormat/>
    <w:uiPriority w:val="0"/>
    <w:pPr>
      <w:keepNext/>
      <w:keepLines/>
      <w:tabs>
        <w:tab w:val="left" w:pos="570"/>
      </w:tabs>
      <w:spacing w:before="240" w:after="64" w:line="320" w:lineRule="auto"/>
      <w:ind w:left="570" w:hanging="570"/>
      <w:outlineLvl w:val="6"/>
    </w:pPr>
    <w:rPr>
      <w:b/>
      <w:bCs/>
      <w:sz w:val="24"/>
      <w:szCs w:val="24"/>
    </w:rPr>
  </w:style>
  <w:style w:type="paragraph" w:styleId="14">
    <w:name w:val="heading 8"/>
    <w:basedOn w:val="1"/>
    <w:next w:val="1"/>
    <w:link w:val="105"/>
    <w:qFormat/>
    <w:uiPriority w:val="0"/>
    <w:pPr>
      <w:keepNext/>
      <w:keepLines/>
      <w:tabs>
        <w:tab w:val="left" w:pos="570"/>
      </w:tabs>
      <w:spacing w:before="240" w:after="64" w:line="320" w:lineRule="auto"/>
      <w:ind w:left="570" w:hanging="570"/>
      <w:outlineLvl w:val="7"/>
    </w:pPr>
    <w:rPr>
      <w:rFonts w:ascii="Cambria" w:hAnsi="Cambria"/>
      <w:sz w:val="24"/>
      <w:szCs w:val="24"/>
    </w:rPr>
  </w:style>
  <w:style w:type="paragraph" w:styleId="15">
    <w:name w:val="heading 9"/>
    <w:basedOn w:val="1"/>
    <w:next w:val="1"/>
    <w:link w:val="106"/>
    <w:qFormat/>
    <w:uiPriority w:val="0"/>
    <w:pPr>
      <w:keepNext/>
      <w:keepLines/>
      <w:tabs>
        <w:tab w:val="left" w:pos="570"/>
      </w:tabs>
      <w:spacing w:before="240" w:after="64" w:line="320" w:lineRule="auto"/>
      <w:ind w:left="570" w:hanging="570"/>
      <w:outlineLvl w:val="8"/>
    </w:pPr>
    <w:rPr>
      <w:rFonts w:ascii="Cambria" w:hAnsi="Cambria"/>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330"/>
    <w:semiHidden/>
    <w:unhideWhenUsed/>
    <w:qFormat/>
    <w:uiPriority w:val="99"/>
    <w:pPr>
      <w:spacing w:after="120"/>
      <w:ind w:left="420" w:leftChars="200" w:firstLine="420" w:firstLineChars="200"/>
    </w:pPr>
    <w:rPr>
      <w:rFonts w:ascii="Times New Roman"/>
      <w:sz w:val="21"/>
    </w:rPr>
  </w:style>
  <w:style w:type="paragraph" w:styleId="3">
    <w:name w:val="Body Text Indent"/>
    <w:basedOn w:val="1"/>
    <w:next w:val="4"/>
    <w:link w:val="113"/>
    <w:qFormat/>
    <w:uiPriority w:val="0"/>
    <w:pPr>
      <w:ind w:firstLine="560"/>
    </w:pPr>
    <w:rPr>
      <w:rFonts w:ascii="宋体"/>
      <w:sz w:val="24"/>
    </w:r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10">
    <w:name w:val="标题4"/>
    <w:basedOn w:val="8"/>
    <w:link w:val="279"/>
    <w:qFormat/>
    <w:uiPriority w:val="0"/>
  </w:style>
  <w:style w:type="paragraph" w:styleId="11">
    <w:name w:val="Normal Indent"/>
    <w:basedOn w:val="1"/>
    <w:next w:val="8"/>
    <w:link w:val="63"/>
    <w:qFormat/>
    <w:uiPriority w:val="0"/>
    <w:pPr>
      <w:adjustRightInd w:val="0"/>
      <w:spacing w:line="480" w:lineRule="atLeast"/>
      <w:ind w:firstLine="595"/>
      <w:textAlignment w:val="baseline"/>
    </w:pPr>
    <w:rPr>
      <w:kern w:val="0"/>
      <w:sz w:val="28"/>
    </w:rPr>
  </w:style>
  <w:style w:type="paragraph" w:styleId="16">
    <w:name w:val="toc 7"/>
    <w:basedOn w:val="1"/>
    <w:next w:val="1"/>
    <w:qFormat/>
    <w:uiPriority w:val="39"/>
    <w:pPr>
      <w:ind w:left="1260"/>
      <w:jc w:val="left"/>
    </w:pPr>
    <w:rPr>
      <w:sz w:val="18"/>
      <w:szCs w:val="18"/>
    </w:rPr>
  </w:style>
  <w:style w:type="paragraph" w:styleId="17">
    <w:name w:val="caption"/>
    <w:basedOn w:val="1"/>
    <w:next w:val="1"/>
    <w:link w:val="109"/>
    <w:unhideWhenUsed/>
    <w:qFormat/>
    <w:uiPriority w:val="0"/>
    <w:pPr>
      <w:jc w:val="center"/>
    </w:pPr>
    <w:rPr>
      <w:rFonts w:ascii="宋体" w:hAnsi="Arial" w:cs="Arial"/>
      <w:szCs w:val="22"/>
    </w:rPr>
  </w:style>
  <w:style w:type="paragraph" w:styleId="18">
    <w:name w:val="Document Map"/>
    <w:basedOn w:val="1"/>
    <w:link w:val="62"/>
    <w:unhideWhenUsed/>
    <w:qFormat/>
    <w:uiPriority w:val="0"/>
    <w:rPr>
      <w:rFonts w:ascii="宋体"/>
      <w:sz w:val="18"/>
      <w:szCs w:val="18"/>
    </w:rPr>
  </w:style>
  <w:style w:type="paragraph" w:styleId="19">
    <w:name w:val="annotation text"/>
    <w:basedOn w:val="1"/>
    <w:link w:val="79"/>
    <w:qFormat/>
    <w:uiPriority w:val="0"/>
    <w:pPr>
      <w:jc w:val="left"/>
    </w:pPr>
  </w:style>
  <w:style w:type="paragraph" w:styleId="20">
    <w:name w:val="Body Text 3"/>
    <w:basedOn w:val="1"/>
    <w:link w:val="112"/>
    <w:qFormat/>
    <w:uiPriority w:val="0"/>
    <w:pPr>
      <w:spacing w:after="120"/>
    </w:pPr>
    <w:rPr>
      <w:sz w:val="16"/>
      <w:szCs w:val="16"/>
    </w:rPr>
  </w:style>
  <w:style w:type="paragraph" w:styleId="21">
    <w:name w:val="Body Text"/>
    <w:basedOn w:val="1"/>
    <w:link w:val="65"/>
    <w:unhideWhenUsed/>
    <w:qFormat/>
    <w:uiPriority w:val="0"/>
    <w:pPr>
      <w:spacing w:after="120"/>
    </w:pPr>
  </w:style>
  <w:style w:type="paragraph" w:styleId="22">
    <w:name w:val="toc 5"/>
    <w:basedOn w:val="1"/>
    <w:next w:val="1"/>
    <w:qFormat/>
    <w:uiPriority w:val="39"/>
    <w:pPr>
      <w:ind w:left="840"/>
      <w:jc w:val="left"/>
    </w:pPr>
    <w:rPr>
      <w:sz w:val="18"/>
      <w:szCs w:val="18"/>
    </w:rPr>
  </w:style>
  <w:style w:type="paragraph" w:styleId="23">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24">
    <w:name w:val="Plain Text"/>
    <w:basedOn w:val="1"/>
    <w:link w:val="67"/>
    <w:qFormat/>
    <w:uiPriority w:val="0"/>
    <w:rPr>
      <w:rFonts w:ascii="宋体" w:hAnsi="Courier New"/>
    </w:rPr>
  </w:style>
  <w:style w:type="paragraph" w:styleId="25">
    <w:name w:val="toc 8"/>
    <w:basedOn w:val="1"/>
    <w:next w:val="1"/>
    <w:unhideWhenUsed/>
    <w:qFormat/>
    <w:uiPriority w:val="39"/>
    <w:pPr>
      <w:ind w:left="2940" w:leftChars="1400" w:firstLine="200" w:firstLineChars="200"/>
    </w:pPr>
    <w:rPr>
      <w:rFonts w:cstheme="minorBidi"/>
      <w:sz w:val="24"/>
      <w:szCs w:val="22"/>
    </w:rPr>
  </w:style>
  <w:style w:type="paragraph" w:styleId="26">
    <w:name w:val="Date"/>
    <w:basedOn w:val="1"/>
    <w:next w:val="1"/>
    <w:link w:val="114"/>
    <w:qFormat/>
    <w:uiPriority w:val="0"/>
    <w:rPr>
      <w:sz w:val="28"/>
    </w:rPr>
  </w:style>
  <w:style w:type="paragraph" w:styleId="27">
    <w:name w:val="Body Text Indent 2"/>
    <w:basedOn w:val="1"/>
    <w:link w:val="64"/>
    <w:qFormat/>
    <w:uiPriority w:val="0"/>
    <w:pPr>
      <w:ind w:left="-140" w:firstLine="560"/>
      <w:jc w:val="left"/>
      <w:outlineLvl w:val="0"/>
    </w:pPr>
    <w:rPr>
      <w:sz w:val="28"/>
    </w:rPr>
  </w:style>
  <w:style w:type="paragraph" w:styleId="28">
    <w:name w:val="Balloon Text"/>
    <w:basedOn w:val="1"/>
    <w:link w:val="75"/>
    <w:unhideWhenUsed/>
    <w:qFormat/>
    <w:uiPriority w:val="99"/>
    <w:rPr>
      <w:sz w:val="18"/>
      <w:szCs w:val="18"/>
    </w:rPr>
  </w:style>
  <w:style w:type="paragraph" w:styleId="29">
    <w:name w:val="footer"/>
    <w:basedOn w:val="1"/>
    <w:link w:val="70"/>
    <w:unhideWhenUsed/>
    <w:qFormat/>
    <w:uiPriority w:val="99"/>
    <w:pPr>
      <w:tabs>
        <w:tab w:val="center" w:pos="4153"/>
        <w:tab w:val="right" w:pos="8306"/>
      </w:tabs>
      <w:snapToGrid w:val="0"/>
      <w:jc w:val="left"/>
    </w:pPr>
    <w:rPr>
      <w:sz w:val="18"/>
      <w:szCs w:val="18"/>
    </w:rPr>
  </w:style>
  <w:style w:type="paragraph" w:styleId="30">
    <w:name w:val="header"/>
    <w:basedOn w:val="1"/>
    <w:link w:val="69"/>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unhideWhenUsed/>
    <w:qFormat/>
    <w:uiPriority w:val="39"/>
    <w:pPr>
      <w:widowControl/>
      <w:tabs>
        <w:tab w:val="right" w:leader="dot" w:pos="8296"/>
      </w:tabs>
      <w:spacing w:after="100" w:line="259" w:lineRule="auto"/>
      <w:jc w:val="left"/>
    </w:pPr>
    <w:rPr>
      <w:b/>
      <w:kern w:val="0"/>
      <w:sz w:val="24"/>
      <w:szCs w:val="24"/>
    </w:rPr>
  </w:style>
  <w:style w:type="paragraph" w:styleId="32">
    <w:name w:val="toc 4"/>
    <w:basedOn w:val="1"/>
    <w:next w:val="1"/>
    <w:qFormat/>
    <w:uiPriority w:val="39"/>
    <w:pPr>
      <w:ind w:left="630"/>
      <w:jc w:val="left"/>
    </w:pPr>
    <w:rPr>
      <w:sz w:val="18"/>
      <w:szCs w:val="18"/>
    </w:rPr>
  </w:style>
  <w:style w:type="paragraph" w:styleId="33">
    <w:name w:val="Subtitle"/>
    <w:basedOn w:val="1"/>
    <w:next w:val="1"/>
    <w:link w:val="78"/>
    <w:qFormat/>
    <w:uiPriority w:val="11"/>
    <w:pPr>
      <w:jc w:val="center"/>
      <w:outlineLvl w:val="1"/>
    </w:pPr>
    <w:rPr>
      <w:rFonts w:ascii="Cambria" w:hAnsi="Cambria" w:eastAsia="Times New Roman"/>
      <w:b/>
      <w:bCs/>
      <w:kern w:val="28"/>
      <w:szCs w:val="32"/>
    </w:rPr>
  </w:style>
  <w:style w:type="paragraph" w:styleId="34">
    <w:name w:val="List"/>
    <w:basedOn w:val="1"/>
    <w:qFormat/>
    <w:uiPriority w:val="0"/>
    <w:pPr>
      <w:ind w:left="200" w:hanging="200" w:hangingChars="200"/>
    </w:pPr>
    <w:rPr>
      <w:rFonts w:ascii="Calibri" w:hAnsi="Calibri" w:cs="Calibri"/>
      <w:szCs w:val="21"/>
    </w:rPr>
  </w:style>
  <w:style w:type="paragraph" w:styleId="35">
    <w:name w:val="footnote text"/>
    <w:basedOn w:val="1"/>
    <w:link w:val="326"/>
    <w:qFormat/>
    <w:uiPriority w:val="0"/>
    <w:pPr>
      <w:autoSpaceDE w:val="0"/>
      <w:autoSpaceDN w:val="0"/>
      <w:adjustRightInd w:val="0"/>
      <w:spacing w:line="315" w:lineRule="atLeast"/>
      <w:jc w:val="left"/>
    </w:pPr>
    <w:rPr>
      <w:rFonts w:ascii="宋体" w:hAnsi="Calibri"/>
      <w:kern w:val="0"/>
      <w:sz w:val="24"/>
    </w:rPr>
  </w:style>
  <w:style w:type="paragraph" w:styleId="36">
    <w:name w:val="toc 6"/>
    <w:basedOn w:val="1"/>
    <w:next w:val="1"/>
    <w:qFormat/>
    <w:uiPriority w:val="39"/>
    <w:pPr>
      <w:ind w:left="1050"/>
      <w:jc w:val="left"/>
    </w:pPr>
    <w:rPr>
      <w:sz w:val="18"/>
      <w:szCs w:val="18"/>
    </w:rPr>
  </w:style>
  <w:style w:type="paragraph" w:styleId="37">
    <w:name w:val="Body Text Indent 3"/>
    <w:basedOn w:val="1"/>
    <w:link w:val="115"/>
    <w:qFormat/>
    <w:uiPriority w:val="0"/>
    <w:pPr>
      <w:spacing w:line="300" w:lineRule="auto"/>
      <w:ind w:firstLine="480"/>
    </w:pPr>
    <w:rPr>
      <w:rFonts w:ascii="宋体"/>
      <w:color w:val="0000FF"/>
      <w:sz w:val="24"/>
    </w:rPr>
  </w:style>
  <w:style w:type="paragraph" w:styleId="38">
    <w:name w:val="table of figures"/>
    <w:basedOn w:val="1"/>
    <w:next w:val="1"/>
    <w:qFormat/>
    <w:uiPriority w:val="0"/>
    <w:pPr>
      <w:adjustRightInd w:val="0"/>
      <w:snapToGrid w:val="0"/>
      <w:spacing w:line="440" w:lineRule="exact"/>
    </w:pPr>
    <w:rPr>
      <w:rFonts w:ascii="Arial" w:hAnsi="Arial" w:eastAsia="黑体"/>
      <w:sz w:val="24"/>
    </w:rPr>
  </w:style>
  <w:style w:type="paragraph" w:styleId="39">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40">
    <w:name w:val="toc 9"/>
    <w:basedOn w:val="1"/>
    <w:next w:val="1"/>
    <w:qFormat/>
    <w:uiPriority w:val="39"/>
    <w:pPr>
      <w:ind w:left="1680"/>
      <w:jc w:val="left"/>
    </w:pPr>
    <w:rPr>
      <w:sz w:val="18"/>
      <w:szCs w:val="18"/>
    </w:rPr>
  </w:style>
  <w:style w:type="paragraph" w:styleId="41">
    <w:name w:val="Body Text 2"/>
    <w:basedOn w:val="1"/>
    <w:link w:val="87"/>
    <w:unhideWhenUsed/>
    <w:qFormat/>
    <w:uiPriority w:val="99"/>
    <w:pPr>
      <w:spacing w:after="120" w:line="480" w:lineRule="auto"/>
    </w:pPr>
  </w:style>
  <w:style w:type="paragraph" w:styleId="42">
    <w:name w:val="HTML Preformatted"/>
    <w:basedOn w:val="1"/>
    <w:link w:val="10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40" w:firstLineChars="200"/>
      <w:jc w:val="left"/>
    </w:pPr>
    <w:rPr>
      <w:rFonts w:hint="eastAsia" w:ascii="宋体" w:hAnsi="宋体"/>
      <w:kern w:val="0"/>
      <w:sz w:val="24"/>
      <w:szCs w:val="24"/>
    </w:rPr>
  </w:style>
  <w:style w:type="paragraph" w:styleId="43">
    <w:name w:val="Normal (Web)"/>
    <w:basedOn w:val="1"/>
    <w:link w:val="126"/>
    <w:qFormat/>
    <w:uiPriority w:val="0"/>
    <w:pPr>
      <w:widowControl/>
      <w:spacing w:before="100" w:beforeAutospacing="1" w:after="100" w:afterAutospacing="1"/>
      <w:jc w:val="left"/>
    </w:pPr>
    <w:rPr>
      <w:rFonts w:ascii="宋体" w:hAnsi="宋体"/>
      <w:kern w:val="0"/>
      <w:sz w:val="24"/>
      <w:szCs w:val="24"/>
    </w:rPr>
  </w:style>
  <w:style w:type="paragraph" w:styleId="44">
    <w:name w:val="Title"/>
    <w:basedOn w:val="1"/>
    <w:next w:val="1"/>
    <w:link w:val="86"/>
    <w:qFormat/>
    <w:uiPriority w:val="10"/>
    <w:pPr>
      <w:spacing w:line="240" w:lineRule="atLeast"/>
      <w:jc w:val="center"/>
    </w:pPr>
    <w:rPr>
      <w:bCs/>
      <w:sz w:val="23"/>
      <w:szCs w:val="32"/>
    </w:rPr>
  </w:style>
  <w:style w:type="paragraph" w:styleId="45">
    <w:name w:val="annotation subject"/>
    <w:basedOn w:val="19"/>
    <w:next w:val="19"/>
    <w:link w:val="110"/>
    <w:qFormat/>
    <w:uiPriority w:val="0"/>
    <w:rPr>
      <w:b/>
      <w:bCs/>
    </w:rPr>
  </w:style>
  <w:style w:type="paragraph" w:styleId="46">
    <w:name w:val="Body Text First Indent"/>
    <w:basedOn w:val="21"/>
    <w:link w:val="111"/>
    <w:qFormat/>
    <w:uiPriority w:val="0"/>
    <w:pPr>
      <w:ind w:firstLine="420" w:firstLineChars="100"/>
    </w:pPr>
  </w:style>
  <w:style w:type="table" w:styleId="48">
    <w:name w:val="Table Grid"/>
    <w:basedOn w:val="4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0"/>
    <w:rPr>
      <w:b/>
      <w:bCs/>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basedOn w:val="49"/>
    <w:qFormat/>
    <w:uiPriority w:val="0"/>
  </w:style>
  <w:style w:type="character" w:styleId="54">
    <w:name w:val="HTML Definition"/>
    <w:basedOn w:val="49"/>
    <w:qFormat/>
    <w:uiPriority w:val="0"/>
  </w:style>
  <w:style w:type="character" w:styleId="55">
    <w:name w:val="HTML Variable"/>
    <w:basedOn w:val="49"/>
    <w:qFormat/>
    <w:uiPriority w:val="0"/>
  </w:style>
  <w:style w:type="character" w:styleId="56">
    <w:name w:val="Hyperlink"/>
    <w:qFormat/>
    <w:uiPriority w:val="99"/>
    <w:rPr>
      <w:color w:val="0000FF"/>
      <w:u w:val="single"/>
    </w:rPr>
  </w:style>
  <w:style w:type="character" w:styleId="57">
    <w:name w:val="HTML Code"/>
    <w:basedOn w:val="49"/>
    <w:qFormat/>
    <w:uiPriority w:val="0"/>
    <w:rPr>
      <w:rFonts w:hint="default" w:ascii="Arial" w:hAnsi="Arial" w:cs="Arial"/>
      <w:sz w:val="20"/>
    </w:rPr>
  </w:style>
  <w:style w:type="character" w:styleId="58">
    <w:name w:val="annotation reference"/>
    <w:qFormat/>
    <w:uiPriority w:val="0"/>
    <w:rPr>
      <w:sz w:val="21"/>
      <w:szCs w:val="21"/>
    </w:rPr>
  </w:style>
  <w:style w:type="character" w:styleId="59">
    <w:name w:val="HTML Cite"/>
    <w:basedOn w:val="49"/>
    <w:qFormat/>
    <w:uiPriority w:val="0"/>
  </w:style>
  <w:style w:type="character" w:styleId="60">
    <w:name w:val="HTML Keyboard"/>
    <w:basedOn w:val="49"/>
    <w:qFormat/>
    <w:uiPriority w:val="0"/>
    <w:rPr>
      <w:rFonts w:hint="default" w:ascii="Arial" w:hAnsi="Arial" w:cs="Arial"/>
      <w:sz w:val="20"/>
    </w:rPr>
  </w:style>
  <w:style w:type="character" w:styleId="61">
    <w:name w:val="HTML Sample"/>
    <w:basedOn w:val="49"/>
    <w:qFormat/>
    <w:uiPriority w:val="0"/>
    <w:rPr>
      <w:rFonts w:hint="default" w:ascii="Arial" w:hAnsi="Arial" w:cs="Arial"/>
    </w:rPr>
  </w:style>
  <w:style w:type="character" w:customStyle="1" w:styleId="62">
    <w:name w:val="文档结构图 字符"/>
    <w:link w:val="18"/>
    <w:qFormat/>
    <w:uiPriority w:val="0"/>
    <w:rPr>
      <w:rFonts w:ascii="宋体" w:hAnsi="Times New Roman" w:eastAsia="宋体" w:cs="Times New Roman"/>
      <w:sz w:val="18"/>
      <w:szCs w:val="18"/>
    </w:rPr>
  </w:style>
  <w:style w:type="character" w:customStyle="1" w:styleId="63">
    <w:name w:val="正文缩进 字符"/>
    <w:link w:val="11"/>
    <w:qFormat/>
    <w:uiPriority w:val="0"/>
    <w:rPr>
      <w:rFonts w:ascii="Times New Roman" w:hAnsi="Times New Roman" w:eastAsia="宋体" w:cs="Times New Roman"/>
      <w:kern w:val="0"/>
      <w:sz w:val="28"/>
      <w:szCs w:val="20"/>
    </w:rPr>
  </w:style>
  <w:style w:type="character" w:customStyle="1" w:styleId="64">
    <w:name w:val="正文文本缩进 2 字符"/>
    <w:link w:val="27"/>
    <w:qFormat/>
    <w:uiPriority w:val="0"/>
    <w:rPr>
      <w:rFonts w:ascii="Times New Roman" w:hAnsi="Times New Roman" w:eastAsia="宋体" w:cs="Times New Roman"/>
      <w:sz w:val="28"/>
      <w:szCs w:val="20"/>
    </w:rPr>
  </w:style>
  <w:style w:type="character" w:customStyle="1" w:styleId="65">
    <w:name w:val="正文文本 字符"/>
    <w:link w:val="21"/>
    <w:qFormat/>
    <w:uiPriority w:val="0"/>
    <w:rPr>
      <w:rFonts w:ascii="Times New Roman" w:hAnsi="Times New Roman" w:eastAsia="宋体" w:cs="Times New Roman"/>
      <w:szCs w:val="20"/>
    </w:rPr>
  </w:style>
  <w:style w:type="character" w:customStyle="1" w:styleId="66">
    <w:name w:val="纯文本 Char"/>
    <w:qFormat/>
    <w:uiPriority w:val="0"/>
    <w:rPr>
      <w:rFonts w:ascii="宋体" w:hAnsi="Courier New" w:eastAsia="宋体" w:cs="Courier New"/>
      <w:szCs w:val="21"/>
    </w:rPr>
  </w:style>
  <w:style w:type="character" w:customStyle="1" w:styleId="67">
    <w:name w:val="纯文本 字符"/>
    <w:link w:val="24"/>
    <w:qFormat/>
    <w:locked/>
    <w:uiPriority w:val="0"/>
    <w:rPr>
      <w:rFonts w:ascii="宋体" w:hAnsi="Courier New" w:eastAsia="宋体" w:cs="Times New Roman"/>
      <w:szCs w:val="20"/>
    </w:rPr>
  </w:style>
  <w:style w:type="paragraph" w:customStyle="1" w:styleId="68">
    <w:name w:val="列出段落2"/>
    <w:basedOn w:val="1"/>
    <w:qFormat/>
    <w:uiPriority w:val="34"/>
    <w:pPr>
      <w:ind w:firstLine="420" w:firstLineChars="200"/>
    </w:pPr>
    <w:rPr>
      <w:rFonts w:ascii="Calibri" w:hAnsi="Calibri"/>
      <w:szCs w:val="21"/>
    </w:rPr>
  </w:style>
  <w:style w:type="character" w:customStyle="1" w:styleId="69">
    <w:name w:val="页眉 字符"/>
    <w:link w:val="30"/>
    <w:qFormat/>
    <w:uiPriority w:val="99"/>
    <w:rPr>
      <w:rFonts w:ascii="Times New Roman" w:hAnsi="Times New Roman" w:eastAsia="宋体" w:cs="Times New Roman"/>
      <w:sz w:val="18"/>
      <w:szCs w:val="18"/>
    </w:rPr>
  </w:style>
  <w:style w:type="character" w:customStyle="1" w:styleId="70">
    <w:name w:val="页脚 字符"/>
    <w:link w:val="29"/>
    <w:qFormat/>
    <w:uiPriority w:val="99"/>
    <w:rPr>
      <w:rFonts w:ascii="Times New Roman" w:hAnsi="Times New Roman" w:eastAsia="宋体" w:cs="Times New Roman"/>
      <w:sz w:val="18"/>
      <w:szCs w:val="18"/>
    </w:rPr>
  </w:style>
  <w:style w:type="paragraph" w:customStyle="1" w:styleId="71">
    <w:name w:val="列出段落1"/>
    <w:basedOn w:val="1"/>
    <w:qFormat/>
    <w:uiPriority w:val="99"/>
    <w:pPr>
      <w:ind w:firstLine="420" w:firstLineChars="200"/>
    </w:pPr>
    <w:rPr>
      <w:rFonts w:ascii="Calibri" w:hAnsi="Calibri"/>
      <w:szCs w:val="22"/>
    </w:rPr>
  </w:style>
  <w:style w:type="paragraph" w:styleId="72">
    <w:name w:val="List Paragraph"/>
    <w:basedOn w:val="1"/>
    <w:qFormat/>
    <w:uiPriority w:val="99"/>
    <w:pPr>
      <w:ind w:firstLine="420" w:firstLineChars="200"/>
    </w:pPr>
  </w:style>
  <w:style w:type="paragraph" w:customStyle="1" w:styleId="73">
    <w:name w:val="样式2"/>
    <w:basedOn w:val="1"/>
    <w:qFormat/>
    <w:uiPriority w:val="0"/>
    <w:pPr>
      <w:wordWrap w:val="0"/>
      <w:autoSpaceDE w:val="0"/>
      <w:autoSpaceDN w:val="0"/>
      <w:adjustRightInd w:val="0"/>
      <w:spacing w:line="300" w:lineRule="auto"/>
      <w:ind w:left="170" w:right="170"/>
    </w:pPr>
    <w:rPr>
      <w:spacing w:val="8"/>
      <w:kern w:val="0"/>
      <w:sz w:val="24"/>
    </w:rPr>
  </w:style>
  <w:style w:type="paragraph" w:customStyle="1" w:styleId="74">
    <w:name w:val="标准正文"/>
    <w:qFormat/>
    <w:uiPriority w:val="0"/>
    <w:pPr>
      <w:spacing w:line="400" w:lineRule="exact"/>
    </w:pPr>
    <w:rPr>
      <w:rFonts w:ascii="Times New Roman" w:hAnsi="Times New Roman" w:eastAsia="宋体" w:cs="Times New Roman"/>
      <w:color w:val="000000"/>
      <w:sz w:val="21"/>
      <w:szCs w:val="22"/>
      <w:lang w:val="en-US" w:eastAsia="zh-CN" w:bidi="ar-SA"/>
    </w:rPr>
  </w:style>
  <w:style w:type="character" w:customStyle="1" w:styleId="75">
    <w:name w:val="批注框文本 字符"/>
    <w:link w:val="28"/>
    <w:qFormat/>
    <w:uiPriority w:val="99"/>
    <w:rPr>
      <w:rFonts w:ascii="Times New Roman" w:hAnsi="Times New Roman" w:eastAsia="宋体" w:cs="Times New Roman"/>
      <w:sz w:val="18"/>
      <w:szCs w:val="18"/>
    </w:rPr>
  </w:style>
  <w:style w:type="character" w:customStyle="1" w:styleId="76">
    <w:name w:val="fontstyle01"/>
    <w:qFormat/>
    <w:uiPriority w:val="0"/>
    <w:rPr>
      <w:rFonts w:hint="eastAsia" w:ascii="宋体" w:hAnsi="宋体" w:eastAsia="宋体"/>
      <w:color w:val="000000"/>
      <w:sz w:val="24"/>
      <w:szCs w:val="24"/>
    </w:rPr>
  </w:style>
  <w:style w:type="character" w:customStyle="1" w:styleId="77">
    <w:name w:val="fontstyle21"/>
    <w:qFormat/>
    <w:uiPriority w:val="0"/>
    <w:rPr>
      <w:rFonts w:hint="default" w:ascii="TimesNewRomanPSMT" w:hAnsi="TimesNewRomanPSMT"/>
      <w:color w:val="000000"/>
      <w:sz w:val="24"/>
      <w:szCs w:val="24"/>
    </w:rPr>
  </w:style>
  <w:style w:type="character" w:customStyle="1" w:styleId="78">
    <w:name w:val="副标题 字符"/>
    <w:link w:val="33"/>
    <w:qFormat/>
    <w:uiPriority w:val="11"/>
    <w:rPr>
      <w:rFonts w:ascii="Cambria" w:hAnsi="Cambria" w:eastAsia="Times New Roman" w:cs="Times New Roman"/>
      <w:b/>
      <w:bCs/>
      <w:kern w:val="28"/>
      <w:szCs w:val="32"/>
    </w:rPr>
  </w:style>
  <w:style w:type="character" w:customStyle="1" w:styleId="79">
    <w:name w:val="批注文字 字符"/>
    <w:link w:val="19"/>
    <w:qFormat/>
    <w:uiPriority w:val="0"/>
    <w:rPr>
      <w:rFonts w:ascii="Times New Roman" w:hAnsi="Times New Roman" w:eastAsia="宋体" w:cs="Times New Roman"/>
      <w:szCs w:val="20"/>
    </w:rPr>
  </w:style>
  <w:style w:type="paragraph" w:customStyle="1" w:styleId="80">
    <w:name w:val="1.1.1"/>
    <w:basedOn w:val="1"/>
    <w:qFormat/>
    <w:uiPriority w:val="0"/>
    <w:rPr>
      <w:rFonts w:ascii="黑体"/>
      <w:sz w:val="24"/>
      <w:szCs w:val="24"/>
    </w:rPr>
  </w:style>
  <w:style w:type="paragraph" w:customStyle="1" w:styleId="81">
    <w:name w:val="无间隔1"/>
    <w:link w:val="84"/>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表内"/>
    <w:basedOn w:val="1"/>
    <w:link w:val="85"/>
    <w:qFormat/>
    <w:uiPriority w:val="0"/>
    <w:pPr>
      <w:jc w:val="center"/>
    </w:pPr>
    <w:rPr>
      <w:szCs w:val="21"/>
    </w:rPr>
  </w:style>
  <w:style w:type="paragraph" w:customStyle="1" w:styleId="83">
    <w:name w:val="XX表格居中"/>
    <w:basedOn w:val="1"/>
    <w:next w:val="1"/>
    <w:link w:val="315"/>
    <w:qFormat/>
    <w:uiPriority w:val="0"/>
    <w:pPr>
      <w:snapToGrid w:val="0"/>
      <w:jc w:val="center"/>
    </w:pPr>
    <w:rPr>
      <w:color w:val="000000"/>
      <w:kern w:val="21"/>
      <w:sz w:val="22"/>
    </w:rPr>
  </w:style>
  <w:style w:type="character" w:customStyle="1" w:styleId="84">
    <w:name w:val="无间隔1 字符"/>
    <w:link w:val="81"/>
    <w:qFormat/>
    <w:uiPriority w:val="99"/>
    <w:rPr>
      <w:rFonts w:ascii="Times New Roman" w:hAnsi="Times New Roman"/>
      <w:kern w:val="2"/>
      <w:sz w:val="21"/>
      <w:szCs w:val="22"/>
    </w:rPr>
  </w:style>
  <w:style w:type="character" w:customStyle="1" w:styleId="85">
    <w:name w:val="表内 字符"/>
    <w:link w:val="82"/>
    <w:qFormat/>
    <w:uiPriority w:val="0"/>
    <w:rPr>
      <w:rFonts w:ascii="Times New Roman" w:hAnsi="Times New Roman"/>
      <w:kern w:val="2"/>
      <w:sz w:val="21"/>
      <w:szCs w:val="21"/>
    </w:rPr>
  </w:style>
  <w:style w:type="character" w:customStyle="1" w:styleId="86">
    <w:name w:val="标题 字符"/>
    <w:link w:val="44"/>
    <w:qFormat/>
    <w:uiPriority w:val="10"/>
    <w:rPr>
      <w:rFonts w:ascii="Times New Roman" w:hAnsi="Times New Roman"/>
      <w:bCs/>
      <w:kern w:val="2"/>
      <w:sz w:val="23"/>
      <w:szCs w:val="32"/>
    </w:rPr>
  </w:style>
  <w:style w:type="character" w:customStyle="1" w:styleId="87">
    <w:name w:val="正文文本 2 字符"/>
    <w:link w:val="41"/>
    <w:qFormat/>
    <w:uiPriority w:val="99"/>
    <w:rPr>
      <w:rFonts w:ascii="Times New Roman" w:hAnsi="Times New Roman"/>
      <w:kern w:val="2"/>
      <w:sz w:val="21"/>
    </w:rPr>
  </w:style>
  <w:style w:type="paragraph" w:customStyle="1" w:styleId="88">
    <w:name w:val="表头"/>
    <w:basedOn w:val="1"/>
    <w:link w:val="89"/>
    <w:qFormat/>
    <w:uiPriority w:val="0"/>
    <w:pPr>
      <w:spacing w:line="360" w:lineRule="auto"/>
      <w:jc w:val="center"/>
    </w:pPr>
    <w:rPr>
      <w:b/>
      <w:szCs w:val="22"/>
    </w:rPr>
  </w:style>
  <w:style w:type="character" w:customStyle="1" w:styleId="89">
    <w:name w:val="表头 字符"/>
    <w:link w:val="88"/>
    <w:qFormat/>
    <w:uiPriority w:val="0"/>
    <w:rPr>
      <w:rFonts w:ascii="Times New Roman" w:hAnsi="Times New Roman"/>
      <w:b/>
      <w:kern w:val="2"/>
      <w:sz w:val="21"/>
      <w:szCs w:val="22"/>
    </w:rPr>
  </w:style>
  <w:style w:type="paragraph" w:styleId="90">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1">
    <w:name w:val="表格 Char"/>
    <w:basedOn w:val="49"/>
    <w:link w:val="92"/>
    <w:qFormat/>
    <w:uiPriority w:val="0"/>
    <w:rPr>
      <w:sz w:val="24"/>
    </w:rPr>
  </w:style>
  <w:style w:type="paragraph" w:customStyle="1" w:styleId="92">
    <w:name w:val="表格"/>
    <w:basedOn w:val="1"/>
    <w:next w:val="1"/>
    <w:link w:val="91"/>
    <w:qFormat/>
    <w:uiPriority w:val="0"/>
    <w:pPr>
      <w:adjustRightInd w:val="0"/>
      <w:spacing w:line="400" w:lineRule="atLeast"/>
      <w:jc w:val="center"/>
    </w:pPr>
    <w:rPr>
      <w:rFonts w:ascii="Calibri" w:hAnsi="Calibri"/>
      <w:kern w:val="0"/>
      <w:sz w:val="24"/>
    </w:rPr>
  </w:style>
  <w:style w:type="paragraph" w:customStyle="1" w:styleId="93">
    <w:name w:val="表格内"/>
    <w:basedOn w:val="90"/>
    <w:link w:val="94"/>
    <w:qFormat/>
    <w:uiPriority w:val="0"/>
    <w:pPr>
      <w:spacing w:line="240" w:lineRule="exact"/>
      <w:jc w:val="center"/>
    </w:pPr>
  </w:style>
  <w:style w:type="character" w:customStyle="1" w:styleId="94">
    <w:name w:val="表格内 字符"/>
    <w:basedOn w:val="49"/>
    <w:link w:val="93"/>
    <w:qFormat/>
    <w:uiPriority w:val="0"/>
    <w:rPr>
      <w:rFonts w:ascii="Times New Roman" w:hAnsi="Times New Roman"/>
      <w:kern w:val="2"/>
      <w:sz w:val="21"/>
      <w:szCs w:val="22"/>
    </w:rPr>
  </w:style>
  <w:style w:type="paragraph" w:customStyle="1" w:styleId="95">
    <w:name w:val="正文2"/>
    <w:basedOn w:val="1"/>
    <w:link w:val="96"/>
    <w:qFormat/>
    <w:uiPriority w:val="0"/>
    <w:pPr>
      <w:spacing w:line="360" w:lineRule="auto"/>
      <w:ind w:firstLine="480" w:firstLineChars="200"/>
      <w:jc w:val="left"/>
    </w:pPr>
    <w:rPr>
      <w:sz w:val="24"/>
      <w:szCs w:val="24"/>
    </w:rPr>
  </w:style>
  <w:style w:type="character" w:customStyle="1" w:styleId="96">
    <w:name w:val="正文2 字符"/>
    <w:basedOn w:val="49"/>
    <w:link w:val="95"/>
    <w:qFormat/>
    <w:uiPriority w:val="0"/>
    <w:rPr>
      <w:rFonts w:ascii="Times New Roman" w:hAnsi="Times New Roman"/>
      <w:kern w:val="2"/>
      <w:sz w:val="24"/>
      <w:szCs w:val="24"/>
    </w:rPr>
  </w:style>
  <w:style w:type="paragraph" w:customStyle="1" w:styleId="97">
    <w:name w:val="表格内容居中"/>
    <w:qFormat/>
    <w:uiPriority w:val="0"/>
    <w:pPr>
      <w:adjustRightInd w:val="0"/>
      <w:snapToGrid w:val="0"/>
      <w:jc w:val="center"/>
    </w:pPr>
    <w:rPr>
      <w:rFonts w:ascii="Times New Roman" w:hAnsi="Times New Roman" w:eastAsia="宋体" w:cs="Times New Roman"/>
      <w:snapToGrid w:val="0"/>
      <w:sz w:val="21"/>
      <w:szCs w:val="22"/>
      <w:lang w:val="en-US" w:eastAsia="zh-CN" w:bidi="ar-SA"/>
    </w:rPr>
  </w:style>
  <w:style w:type="character" w:customStyle="1" w:styleId="98">
    <w:name w:val="标题 1 字符"/>
    <w:basedOn w:val="49"/>
    <w:link w:val="5"/>
    <w:qFormat/>
    <w:uiPriority w:val="0"/>
    <w:rPr>
      <w:rFonts w:ascii="Times New Roman" w:hAnsi="Times New Roman"/>
      <w:b/>
      <w:kern w:val="44"/>
      <w:sz w:val="32"/>
      <w:szCs w:val="24"/>
    </w:rPr>
  </w:style>
  <w:style w:type="character" w:customStyle="1" w:styleId="99">
    <w:name w:val="标题 2 字符"/>
    <w:basedOn w:val="49"/>
    <w:link w:val="6"/>
    <w:qFormat/>
    <w:uiPriority w:val="0"/>
    <w:rPr>
      <w:rFonts w:ascii="Times New Roman" w:hAnsi="Times New Roman"/>
      <w:b/>
      <w:kern w:val="2"/>
      <w:sz w:val="30"/>
      <w:szCs w:val="24"/>
    </w:rPr>
  </w:style>
  <w:style w:type="character" w:customStyle="1" w:styleId="100">
    <w:name w:val="标题 3 字符"/>
    <w:basedOn w:val="49"/>
    <w:link w:val="7"/>
    <w:qFormat/>
    <w:uiPriority w:val="0"/>
    <w:rPr>
      <w:rFonts w:ascii="Times New Roman" w:hAnsi="Times New Roman"/>
      <w:b/>
      <w:kern w:val="2"/>
      <w:sz w:val="28"/>
      <w:szCs w:val="24"/>
    </w:rPr>
  </w:style>
  <w:style w:type="character" w:customStyle="1" w:styleId="101">
    <w:name w:val="标题 4 字符"/>
    <w:basedOn w:val="49"/>
    <w:link w:val="8"/>
    <w:qFormat/>
    <w:uiPriority w:val="99"/>
    <w:rPr>
      <w:rFonts w:ascii="Times New Roman" w:hAnsi="Times New Roman"/>
      <w:b/>
      <w:kern w:val="2"/>
      <w:sz w:val="24"/>
      <w:szCs w:val="24"/>
    </w:rPr>
  </w:style>
  <w:style w:type="character" w:customStyle="1" w:styleId="102">
    <w:name w:val="标题 5 字符"/>
    <w:basedOn w:val="49"/>
    <w:link w:val="9"/>
    <w:qFormat/>
    <w:uiPriority w:val="0"/>
    <w:rPr>
      <w:rFonts w:ascii="Times New Roman" w:hAnsi="Times New Roman"/>
      <w:kern w:val="2"/>
      <w:sz w:val="24"/>
      <w:szCs w:val="24"/>
    </w:rPr>
  </w:style>
  <w:style w:type="character" w:customStyle="1" w:styleId="103">
    <w:name w:val="标题 6 字符"/>
    <w:basedOn w:val="49"/>
    <w:link w:val="12"/>
    <w:qFormat/>
    <w:uiPriority w:val="0"/>
    <w:rPr>
      <w:rFonts w:ascii="Times New Roman" w:hAnsi="Times New Roman"/>
      <w:b/>
      <w:kern w:val="2"/>
      <w:sz w:val="30"/>
    </w:rPr>
  </w:style>
  <w:style w:type="character" w:customStyle="1" w:styleId="104">
    <w:name w:val="标题 7 字符"/>
    <w:basedOn w:val="49"/>
    <w:link w:val="13"/>
    <w:qFormat/>
    <w:uiPriority w:val="0"/>
    <w:rPr>
      <w:rFonts w:ascii="Times New Roman" w:hAnsi="Times New Roman"/>
      <w:b/>
      <w:bCs/>
      <w:kern w:val="2"/>
      <w:sz w:val="24"/>
      <w:szCs w:val="24"/>
    </w:rPr>
  </w:style>
  <w:style w:type="character" w:customStyle="1" w:styleId="105">
    <w:name w:val="标题 8 字符"/>
    <w:basedOn w:val="49"/>
    <w:link w:val="14"/>
    <w:qFormat/>
    <w:uiPriority w:val="0"/>
    <w:rPr>
      <w:rFonts w:ascii="Cambria" w:hAnsi="Cambria"/>
      <w:kern w:val="2"/>
      <w:sz w:val="24"/>
      <w:szCs w:val="24"/>
    </w:rPr>
  </w:style>
  <w:style w:type="character" w:customStyle="1" w:styleId="106">
    <w:name w:val="标题 9 字符"/>
    <w:basedOn w:val="49"/>
    <w:link w:val="15"/>
    <w:qFormat/>
    <w:uiPriority w:val="0"/>
    <w:rPr>
      <w:rFonts w:ascii="Cambria" w:hAnsi="Cambria"/>
      <w:kern w:val="2"/>
      <w:sz w:val="21"/>
      <w:szCs w:val="21"/>
    </w:rPr>
  </w:style>
  <w:style w:type="paragraph" w:customStyle="1" w:styleId="107">
    <w:name w:val="TOC 标题1"/>
    <w:basedOn w:val="5"/>
    <w:next w:val="1"/>
    <w:unhideWhenUsed/>
    <w:qFormat/>
    <w:uiPriority w:val="39"/>
    <w:pPr>
      <w:widowControl/>
      <w:spacing w:before="240" w:line="259" w:lineRule="auto"/>
      <w:outlineLvl w:val="9"/>
    </w:pPr>
    <w:rPr>
      <w:rFonts w:asciiTheme="majorHAnsi" w:hAnsiTheme="majorHAnsi" w:eastAsiaTheme="majorEastAsia" w:cstheme="majorBidi"/>
      <w:b w:val="0"/>
      <w:bCs/>
      <w:color w:val="2E75B5" w:themeColor="accent1" w:themeShade="BF"/>
      <w:kern w:val="0"/>
      <w:szCs w:val="32"/>
    </w:rPr>
  </w:style>
  <w:style w:type="character" w:customStyle="1" w:styleId="108">
    <w:name w:val="HTML 预设格式 字符"/>
    <w:basedOn w:val="49"/>
    <w:link w:val="42"/>
    <w:qFormat/>
    <w:uiPriority w:val="0"/>
    <w:rPr>
      <w:rFonts w:ascii="宋体" w:hAnsi="宋体"/>
      <w:sz w:val="24"/>
      <w:szCs w:val="24"/>
    </w:rPr>
  </w:style>
  <w:style w:type="character" w:customStyle="1" w:styleId="109">
    <w:name w:val="题注 字符"/>
    <w:link w:val="17"/>
    <w:qFormat/>
    <w:uiPriority w:val="0"/>
    <w:rPr>
      <w:rFonts w:ascii="宋体" w:hAnsi="Arial" w:cs="Arial"/>
      <w:kern w:val="2"/>
      <w:sz w:val="21"/>
      <w:szCs w:val="22"/>
    </w:rPr>
  </w:style>
  <w:style w:type="character" w:customStyle="1" w:styleId="110">
    <w:name w:val="批注主题 字符"/>
    <w:basedOn w:val="79"/>
    <w:link w:val="45"/>
    <w:qFormat/>
    <w:uiPriority w:val="0"/>
    <w:rPr>
      <w:rFonts w:ascii="Times New Roman" w:hAnsi="Times New Roman" w:eastAsia="宋体" w:cs="Times New Roman"/>
      <w:b/>
      <w:bCs/>
      <w:kern w:val="2"/>
      <w:sz w:val="21"/>
      <w:szCs w:val="20"/>
    </w:rPr>
  </w:style>
  <w:style w:type="character" w:customStyle="1" w:styleId="111">
    <w:name w:val="正文首行缩进 字符"/>
    <w:basedOn w:val="65"/>
    <w:link w:val="46"/>
    <w:qFormat/>
    <w:uiPriority w:val="0"/>
    <w:rPr>
      <w:rFonts w:ascii="Times New Roman" w:hAnsi="Times New Roman" w:eastAsia="宋体" w:cs="Times New Roman"/>
      <w:kern w:val="2"/>
      <w:sz w:val="21"/>
      <w:szCs w:val="20"/>
    </w:rPr>
  </w:style>
  <w:style w:type="character" w:customStyle="1" w:styleId="112">
    <w:name w:val="正文文本 3 字符"/>
    <w:basedOn w:val="49"/>
    <w:link w:val="20"/>
    <w:qFormat/>
    <w:uiPriority w:val="0"/>
    <w:rPr>
      <w:rFonts w:ascii="Times New Roman" w:hAnsi="Times New Roman"/>
      <w:kern w:val="2"/>
      <w:sz w:val="16"/>
      <w:szCs w:val="16"/>
    </w:rPr>
  </w:style>
  <w:style w:type="character" w:customStyle="1" w:styleId="113">
    <w:name w:val="正文文本缩进 字符"/>
    <w:basedOn w:val="49"/>
    <w:link w:val="3"/>
    <w:qFormat/>
    <w:uiPriority w:val="0"/>
    <w:rPr>
      <w:rFonts w:ascii="宋体" w:hAnsi="Times New Roman"/>
      <w:kern w:val="2"/>
      <w:sz w:val="24"/>
    </w:rPr>
  </w:style>
  <w:style w:type="character" w:customStyle="1" w:styleId="114">
    <w:name w:val="日期 字符"/>
    <w:basedOn w:val="49"/>
    <w:link w:val="26"/>
    <w:qFormat/>
    <w:uiPriority w:val="0"/>
    <w:rPr>
      <w:rFonts w:ascii="Times New Roman" w:hAnsi="Times New Roman"/>
      <w:kern w:val="2"/>
      <w:sz w:val="28"/>
    </w:rPr>
  </w:style>
  <w:style w:type="character" w:customStyle="1" w:styleId="115">
    <w:name w:val="正文文本缩进 3 字符"/>
    <w:basedOn w:val="49"/>
    <w:link w:val="37"/>
    <w:qFormat/>
    <w:uiPriority w:val="0"/>
    <w:rPr>
      <w:rFonts w:ascii="宋体" w:hAnsi="Times New Roman"/>
      <w:color w:val="0000FF"/>
      <w:kern w:val="2"/>
      <w:sz w:val="24"/>
    </w:rPr>
  </w:style>
  <w:style w:type="paragraph" w:customStyle="1" w:styleId="11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szCs w:val="24"/>
    </w:rPr>
  </w:style>
  <w:style w:type="character" w:customStyle="1" w:styleId="117">
    <w:name w:val="fs"/>
    <w:basedOn w:val="49"/>
    <w:qFormat/>
    <w:uiPriority w:val="0"/>
  </w:style>
  <w:style w:type="paragraph" w:customStyle="1" w:styleId="118">
    <w:name w:val="正文王"/>
    <w:basedOn w:val="24"/>
    <w:qFormat/>
    <w:uiPriority w:val="0"/>
    <w:pPr>
      <w:spacing w:line="440" w:lineRule="exact"/>
    </w:pPr>
    <w:rPr>
      <w:rFonts w:ascii="Arial" w:hAnsi="Arial"/>
      <w:snapToGrid w:val="0"/>
      <w:kern w:val="0"/>
      <w:sz w:val="24"/>
      <w:szCs w:val="24"/>
      <w:lang w:val="zh-CN"/>
    </w:rPr>
  </w:style>
  <w:style w:type="paragraph" w:customStyle="1" w:styleId="119">
    <w:name w:val="reader-word-layer reader-word-s4-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0">
    <w:name w:val="reader-word-layer reader-word-s4-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1">
    <w:name w:val="reader-word-layer reader-word-s4-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2">
    <w:name w:val="Char Char Char Char Char Char Char Char Char Char Char Char Char"/>
    <w:basedOn w:val="7"/>
    <w:qFormat/>
    <w:uiPriority w:val="0"/>
    <w:pPr>
      <w:tabs>
        <w:tab w:val="left" w:pos="360"/>
        <w:tab w:val="left" w:pos="900"/>
      </w:tabs>
      <w:snapToGrid w:val="0"/>
      <w:spacing w:before="120" w:after="120"/>
      <w:ind w:left="542" w:leftChars="-12" w:firstLine="200" w:firstLineChars="200"/>
    </w:pPr>
    <w:rPr>
      <w:rFonts w:eastAsia="黑体"/>
      <w:b w:val="0"/>
      <w:snapToGrid w:val="0"/>
      <w:sz w:val="24"/>
    </w:rPr>
  </w:style>
  <w:style w:type="paragraph" w:customStyle="1" w:styleId="123">
    <w:name w:val="0"/>
    <w:basedOn w:val="1"/>
    <w:qFormat/>
    <w:uiPriority w:val="0"/>
    <w:pPr>
      <w:widowControl/>
      <w:snapToGrid w:val="0"/>
    </w:pPr>
    <w:rPr>
      <w:kern w:val="0"/>
      <w:sz w:val="24"/>
    </w:rPr>
  </w:style>
  <w:style w:type="paragraph" w:customStyle="1" w:styleId="124">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5">
    <w:name w:val="Char Char Char Char Char Char Char"/>
    <w:basedOn w:val="1"/>
    <w:qFormat/>
    <w:uiPriority w:val="0"/>
    <w:rPr>
      <w:szCs w:val="24"/>
    </w:rPr>
  </w:style>
  <w:style w:type="character" w:customStyle="1" w:styleId="126">
    <w:name w:val="普通(网站) 字符"/>
    <w:link w:val="43"/>
    <w:qFormat/>
    <w:uiPriority w:val="0"/>
    <w:rPr>
      <w:rFonts w:ascii="宋体" w:hAnsi="宋体"/>
      <w:sz w:val="24"/>
      <w:szCs w:val="24"/>
    </w:rPr>
  </w:style>
  <w:style w:type="paragraph" w:customStyle="1" w:styleId="127">
    <w:name w:val="p15"/>
    <w:basedOn w:val="1"/>
    <w:qFormat/>
    <w:uiPriority w:val="0"/>
    <w:pPr>
      <w:widowControl/>
      <w:ind w:firstLine="420"/>
    </w:pPr>
    <w:rPr>
      <w:rFonts w:ascii="Calibri" w:hAnsi="Calibri" w:cs="宋体"/>
      <w:kern w:val="0"/>
      <w:szCs w:val="21"/>
    </w:rPr>
  </w:style>
  <w:style w:type="paragraph" w:customStyle="1" w:styleId="128">
    <w:name w:val="p0"/>
    <w:basedOn w:val="1"/>
    <w:qFormat/>
    <w:uiPriority w:val="0"/>
    <w:pPr>
      <w:widowControl/>
    </w:pPr>
    <w:rPr>
      <w:rFonts w:ascii="Calibri" w:hAnsi="Calibri" w:cs="宋体"/>
      <w:kern w:val="0"/>
      <w:szCs w:val="21"/>
    </w:rPr>
  </w:style>
  <w:style w:type="paragraph" w:customStyle="1" w:styleId="129">
    <w:name w:val="样式 四号 首行缩进:  2 字符"/>
    <w:basedOn w:val="1"/>
    <w:qFormat/>
    <w:uiPriority w:val="0"/>
    <w:pPr>
      <w:spacing w:line="480" w:lineRule="atLeast"/>
      <w:ind w:firstLine="200" w:firstLineChars="200"/>
    </w:pPr>
    <w:rPr>
      <w:sz w:val="24"/>
      <w:szCs w:val="24"/>
    </w:rPr>
  </w:style>
  <w:style w:type="paragraph" w:customStyle="1" w:styleId="130">
    <w:name w:val="Char Char Char Char"/>
    <w:basedOn w:val="1"/>
    <w:qFormat/>
    <w:uiPriority w:val="0"/>
    <w:pPr>
      <w:adjustRightInd w:val="0"/>
      <w:spacing w:line="360" w:lineRule="auto"/>
    </w:pPr>
    <w:rPr>
      <w:kern w:val="0"/>
      <w:sz w:val="24"/>
      <w:szCs w:val="24"/>
    </w:rPr>
  </w:style>
  <w:style w:type="character" w:customStyle="1" w:styleId="131">
    <w:name w:val="普通文字 Char Char1"/>
    <w:qFormat/>
    <w:uiPriority w:val="0"/>
    <w:rPr>
      <w:rFonts w:ascii="宋体" w:hAnsi="Courier New" w:eastAsia="宋体"/>
      <w:spacing w:val="5"/>
      <w:kern w:val="2"/>
      <w:sz w:val="25"/>
      <w:szCs w:val="25"/>
      <w:lang w:val="en-US" w:eastAsia="zh-CN" w:bidi="ar-SA"/>
    </w:rPr>
  </w:style>
  <w:style w:type="paragraph" w:customStyle="1" w:styleId="132">
    <w:name w:val="样式333333"/>
    <w:basedOn w:val="1"/>
    <w:qFormat/>
    <w:uiPriority w:val="0"/>
    <w:pPr>
      <w:snapToGrid w:val="0"/>
      <w:spacing w:line="484" w:lineRule="atLeast"/>
      <w:outlineLvl w:val="2"/>
    </w:pPr>
    <w:rPr>
      <w:b/>
      <w:bCs/>
      <w:sz w:val="28"/>
      <w:szCs w:val="28"/>
    </w:rPr>
  </w:style>
  <w:style w:type="character" w:customStyle="1" w:styleId="133">
    <w:name w:val="正文111 Char"/>
    <w:link w:val="134"/>
    <w:qFormat/>
    <w:uiPriority w:val="0"/>
    <w:rPr>
      <w:rFonts w:eastAsia="仿宋_GB2312"/>
      <w:sz w:val="24"/>
      <w:szCs w:val="24"/>
    </w:rPr>
  </w:style>
  <w:style w:type="paragraph" w:customStyle="1" w:styleId="134">
    <w:name w:val="正文111"/>
    <w:basedOn w:val="1"/>
    <w:link w:val="133"/>
    <w:qFormat/>
    <w:uiPriority w:val="0"/>
    <w:pPr>
      <w:spacing w:line="520" w:lineRule="exact"/>
      <w:ind w:firstLine="480" w:firstLineChars="200"/>
    </w:pPr>
    <w:rPr>
      <w:rFonts w:ascii="Calibri" w:hAnsi="Calibri" w:eastAsia="仿宋_GB2312"/>
      <w:kern w:val="0"/>
      <w:sz w:val="24"/>
      <w:szCs w:val="24"/>
    </w:rPr>
  </w:style>
  <w:style w:type="character" w:customStyle="1" w:styleId="135">
    <w:name w:val="headline-content2"/>
    <w:basedOn w:val="49"/>
    <w:qFormat/>
    <w:uiPriority w:val="0"/>
  </w:style>
  <w:style w:type="character" w:customStyle="1" w:styleId="136">
    <w:name w:val="节编号 Char"/>
    <w:link w:val="137"/>
    <w:qFormat/>
    <w:uiPriority w:val="0"/>
    <w:rPr>
      <w:rFonts w:ascii="Cambria" w:hAnsi="Cambria" w:eastAsia="黑体"/>
      <w:b/>
      <w:bCs/>
      <w:sz w:val="32"/>
      <w:szCs w:val="32"/>
    </w:rPr>
  </w:style>
  <w:style w:type="paragraph" w:customStyle="1" w:styleId="137">
    <w:name w:val="节编号"/>
    <w:basedOn w:val="6"/>
    <w:link w:val="136"/>
    <w:qFormat/>
    <w:uiPriority w:val="0"/>
    <w:pPr>
      <w:tabs>
        <w:tab w:val="left" w:pos="570"/>
      </w:tabs>
      <w:spacing w:beforeLines="100"/>
      <w:ind w:left="570" w:firstLine="113"/>
    </w:pPr>
    <w:rPr>
      <w:rFonts w:ascii="Cambria" w:hAnsi="Cambria" w:eastAsia="黑体"/>
      <w:bCs/>
      <w:kern w:val="0"/>
      <w:sz w:val="32"/>
      <w:szCs w:val="32"/>
    </w:rPr>
  </w:style>
  <w:style w:type="character" w:customStyle="1" w:styleId="138">
    <w:name w:val="无间隔 Char"/>
    <w:qFormat/>
    <w:uiPriority w:val="1"/>
    <w:rPr>
      <w:rFonts w:ascii="Times New Roman" w:hAnsi="Times New Roman" w:eastAsia="宋体"/>
    </w:rPr>
  </w:style>
  <w:style w:type="character" w:customStyle="1" w:styleId="139">
    <w:name w:val="Footer1 Char Char"/>
    <w:qFormat/>
    <w:uiPriority w:val="0"/>
    <w:rPr>
      <w:rFonts w:eastAsia="宋体"/>
      <w:kern w:val="2"/>
      <w:sz w:val="18"/>
      <w:szCs w:val="18"/>
      <w:lang w:val="en-US" w:eastAsia="zh-CN" w:bidi="ar-SA"/>
    </w:rPr>
  </w:style>
  <w:style w:type="character" w:customStyle="1" w:styleId="140">
    <w:name w:val="Body text (2)_"/>
    <w:link w:val="141"/>
    <w:qFormat/>
    <w:locked/>
    <w:uiPriority w:val="99"/>
    <w:rPr>
      <w:rFonts w:ascii="MingLiU" w:hAnsi="MingLiU" w:eastAsia="MingLiU" w:cs="MingLiU"/>
      <w:b/>
      <w:bCs/>
      <w:sz w:val="23"/>
      <w:szCs w:val="23"/>
      <w:shd w:val="clear" w:color="auto" w:fill="FFFFFF"/>
    </w:rPr>
  </w:style>
  <w:style w:type="paragraph" w:customStyle="1" w:styleId="141">
    <w:name w:val="Body text (2)"/>
    <w:basedOn w:val="1"/>
    <w:link w:val="140"/>
    <w:qFormat/>
    <w:uiPriority w:val="99"/>
    <w:pPr>
      <w:shd w:val="clear" w:color="auto" w:fill="FFFFFF"/>
      <w:spacing w:line="403" w:lineRule="exact"/>
      <w:jc w:val="distribute"/>
    </w:pPr>
    <w:rPr>
      <w:rFonts w:ascii="MingLiU" w:hAnsi="MingLiU" w:eastAsia="MingLiU" w:cs="MingLiU"/>
      <w:b/>
      <w:bCs/>
      <w:kern w:val="0"/>
      <w:sz w:val="23"/>
      <w:szCs w:val="23"/>
    </w:rPr>
  </w:style>
  <w:style w:type="character" w:customStyle="1" w:styleId="142">
    <w:name w:val="三级编号 Char"/>
    <w:link w:val="143"/>
    <w:qFormat/>
    <w:uiPriority w:val="0"/>
    <w:rPr>
      <w:b/>
      <w:bCs/>
      <w:sz w:val="30"/>
      <w:szCs w:val="32"/>
    </w:rPr>
  </w:style>
  <w:style w:type="paragraph" w:customStyle="1" w:styleId="143">
    <w:name w:val="三级编号"/>
    <w:basedOn w:val="7"/>
    <w:link w:val="142"/>
    <w:qFormat/>
    <w:uiPriority w:val="0"/>
    <w:pPr>
      <w:keepLines w:val="0"/>
      <w:tabs>
        <w:tab w:val="left" w:pos="570"/>
      </w:tabs>
      <w:ind w:left="570" w:right="100" w:rightChars="100" w:firstLine="57"/>
    </w:pPr>
    <w:rPr>
      <w:rFonts w:ascii="Calibri" w:hAnsi="Calibri"/>
      <w:bCs/>
      <w:kern w:val="0"/>
      <w:sz w:val="30"/>
      <w:szCs w:val="32"/>
    </w:rPr>
  </w:style>
  <w:style w:type="character" w:customStyle="1" w:styleId="144">
    <w:name w:val="Char Char"/>
    <w:qFormat/>
    <w:uiPriority w:val="0"/>
    <w:rPr>
      <w:rFonts w:ascii="宋体" w:hAnsi="宋体" w:eastAsia="宋体"/>
      <w:bCs/>
      <w:kern w:val="2"/>
      <w:sz w:val="32"/>
      <w:lang w:val="en-US" w:eastAsia="zh-CN" w:bidi="ar-SA"/>
    </w:rPr>
  </w:style>
  <w:style w:type="character" w:customStyle="1" w:styleId="145">
    <w:name w:val="Body text (11)_"/>
    <w:link w:val="146"/>
    <w:qFormat/>
    <w:locked/>
    <w:uiPriority w:val="99"/>
    <w:rPr>
      <w:rFonts w:ascii="Sylfaen" w:hAnsi="Sylfaen" w:cs="Sylfaen"/>
      <w:i/>
      <w:iCs/>
      <w:sz w:val="29"/>
      <w:szCs w:val="29"/>
      <w:shd w:val="clear" w:color="auto" w:fill="FFFFFF"/>
      <w:lang w:eastAsia="en-US"/>
    </w:rPr>
  </w:style>
  <w:style w:type="paragraph" w:customStyle="1" w:styleId="146">
    <w:name w:val="Body text (11)"/>
    <w:basedOn w:val="1"/>
    <w:link w:val="145"/>
    <w:qFormat/>
    <w:uiPriority w:val="99"/>
    <w:pPr>
      <w:shd w:val="clear" w:color="auto" w:fill="FFFFFF"/>
      <w:spacing w:line="240" w:lineRule="atLeast"/>
      <w:jc w:val="center"/>
    </w:pPr>
    <w:rPr>
      <w:rFonts w:ascii="Sylfaen" w:hAnsi="Sylfaen" w:cs="Sylfaen"/>
      <w:i/>
      <w:iCs/>
      <w:kern w:val="0"/>
      <w:sz w:val="29"/>
      <w:szCs w:val="29"/>
      <w:lang w:eastAsia="en-US"/>
    </w:rPr>
  </w:style>
  <w:style w:type="paragraph" w:customStyle="1" w:styleId="14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9">
    <w:name w:val="表格内容"/>
    <w:basedOn w:val="1"/>
    <w:qFormat/>
    <w:uiPriority w:val="0"/>
    <w:pPr>
      <w:overflowPunct w:val="0"/>
      <w:adjustRightInd w:val="0"/>
      <w:snapToGrid w:val="0"/>
      <w:spacing w:line="200" w:lineRule="atLeast"/>
      <w:textAlignment w:val="baseline"/>
    </w:pPr>
    <w:rPr>
      <w:rFonts w:ascii="Arial" w:hAnsi="Arial"/>
      <w:kern w:val="0"/>
      <w:sz w:val="24"/>
    </w:rPr>
  </w:style>
  <w:style w:type="paragraph" w:customStyle="1" w:styleId="150">
    <w:name w:val="font19"/>
    <w:basedOn w:val="1"/>
    <w:qFormat/>
    <w:uiPriority w:val="0"/>
    <w:pPr>
      <w:widowControl/>
      <w:spacing w:before="100" w:beforeAutospacing="1" w:after="100" w:afterAutospacing="1"/>
      <w:jc w:val="left"/>
    </w:pPr>
    <w:rPr>
      <w:rFonts w:ascii="宋体" w:hAnsi="宋体" w:cs="宋体"/>
      <w:kern w:val="0"/>
      <w:szCs w:val="21"/>
    </w:rPr>
  </w:style>
  <w:style w:type="paragraph" w:customStyle="1" w:styleId="151">
    <w:name w:val="Char1"/>
    <w:basedOn w:val="1"/>
    <w:qFormat/>
    <w:uiPriority w:val="0"/>
    <w:rPr>
      <w:szCs w:val="24"/>
    </w:rPr>
  </w:style>
  <w:style w:type="paragraph" w:customStyle="1" w:styleId="152">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Cs w:val="21"/>
    </w:rPr>
  </w:style>
  <w:style w:type="paragraph" w:customStyle="1" w:styleId="153">
    <w:name w:val="可研文字小四"/>
    <w:basedOn w:val="1"/>
    <w:qFormat/>
    <w:uiPriority w:val="0"/>
    <w:pPr>
      <w:spacing w:line="360" w:lineRule="auto"/>
      <w:ind w:firstLine="200" w:firstLineChars="200"/>
    </w:pPr>
    <w:rPr>
      <w:rFonts w:ascii="宋体" w:hAnsi="宋体"/>
      <w:snapToGrid w:val="0"/>
      <w:kern w:val="32"/>
      <w:sz w:val="24"/>
      <w:szCs w:val="32"/>
    </w:rPr>
  </w:style>
  <w:style w:type="paragraph" w:customStyle="1" w:styleId="154">
    <w:name w:val="xl128"/>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FF0000"/>
      <w:kern w:val="0"/>
      <w:szCs w:val="21"/>
    </w:rPr>
  </w:style>
  <w:style w:type="paragraph" w:customStyle="1" w:styleId="155">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FF0000"/>
      <w:kern w:val="0"/>
      <w:szCs w:val="21"/>
    </w:rPr>
  </w:style>
  <w:style w:type="paragraph" w:customStyle="1" w:styleId="156">
    <w:name w:val="font18"/>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57">
    <w:name w:val="xl13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158">
    <w:name w:val="font10"/>
    <w:basedOn w:val="1"/>
    <w:qFormat/>
    <w:uiPriority w:val="0"/>
    <w:pPr>
      <w:widowControl/>
      <w:spacing w:before="100" w:beforeAutospacing="1" w:after="100" w:afterAutospacing="1"/>
      <w:jc w:val="left"/>
    </w:pPr>
    <w:rPr>
      <w:rFonts w:ascii="Arial" w:hAnsi="Arial" w:cs="Arial"/>
      <w:kern w:val="0"/>
      <w:szCs w:val="21"/>
    </w:rPr>
  </w:style>
  <w:style w:type="paragraph" w:customStyle="1" w:styleId="159">
    <w:name w:val="font13"/>
    <w:basedOn w:val="1"/>
    <w:qFormat/>
    <w:uiPriority w:val="0"/>
    <w:pPr>
      <w:widowControl/>
      <w:spacing w:before="100" w:beforeAutospacing="1" w:after="100" w:afterAutospacing="1"/>
      <w:jc w:val="left"/>
    </w:pPr>
    <w:rPr>
      <w:rFonts w:ascii="Arial" w:hAnsi="Arial" w:cs="Arial"/>
      <w:kern w:val="0"/>
      <w:szCs w:val="21"/>
    </w:rPr>
  </w:style>
  <w:style w:type="paragraph" w:customStyle="1" w:styleId="160">
    <w:name w:val="font20"/>
    <w:basedOn w:val="1"/>
    <w:qFormat/>
    <w:uiPriority w:val="0"/>
    <w:pPr>
      <w:widowControl/>
      <w:spacing w:before="100" w:beforeAutospacing="1" w:after="100" w:afterAutospacing="1"/>
      <w:jc w:val="left"/>
    </w:pPr>
    <w:rPr>
      <w:rFonts w:ascii="Arial" w:hAnsi="Arial" w:cs="Arial"/>
      <w:color w:val="FF0000"/>
      <w:kern w:val="0"/>
      <w:szCs w:val="21"/>
    </w:rPr>
  </w:style>
  <w:style w:type="paragraph" w:customStyle="1" w:styleId="161">
    <w:name w:val="font6"/>
    <w:basedOn w:val="1"/>
    <w:qFormat/>
    <w:uiPriority w:val="0"/>
    <w:pPr>
      <w:widowControl/>
      <w:spacing w:before="100" w:beforeAutospacing="1" w:after="100" w:afterAutospacing="1"/>
      <w:jc w:val="left"/>
    </w:pPr>
    <w:rPr>
      <w:rFonts w:ascii="黑体" w:hAnsi="宋体" w:eastAsia="黑体" w:cs="宋体"/>
      <w:b/>
      <w:bCs/>
      <w:kern w:val="0"/>
      <w:szCs w:val="21"/>
    </w:rPr>
  </w:style>
  <w:style w:type="paragraph" w:customStyle="1" w:styleId="162">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Cs w:val="21"/>
    </w:rPr>
  </w:style>
  <w:style w:type="paragraph" w:customStyle="1" w:styleId="163">
    <w:name w:val="font11"/>
    <w:basedOn w:val="1"/>
    <w:qFormat/>
    <w:uiPriority w:val="0"/>
    <w:pPr>
      <w:widowControl/>
      <w:spacing w:before="100" w:beforeAutospacing="1" w:after="100" w:afterAutospacing="1"/>
      <w:jc w:val="left"/>
    </w:pPr>
    <w:rPr>
      <w:rFonts w:ascii="Arial" w:hAnsi="Arial" w:cs="Arial"/>
      <w:color w:val="FF0000"/>
      <w:kern w:val="0"/>
      <w:szCs w:val="21"/>
    </w:rPr>
  </w:style>
  <w:style w:type="paragraph" w:customStyle="1" w:styleId="164">
    <w:name w:val="xl12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FF0000"/>
      <w:kern w:val="0"/>
      <w:szCs w:val="21"/>
    </w:rPr>
  </w:style>
  <w:style w:type="paragraph" w:customStyle="1" w:styleId="165">
    <w:name w:val="+正文标题"/>
    <w:basedOn w:val="1"/>
    <w:qFormat/>
    <w:uiPriority w:val="0"/>
    <w:pPr>
      <w:spacing w:beforeLines="100" w:afterLines="100" w:line="360" w:lineRule="auto"/>
      <w:jc w:val="center"/>
    </w:pPr>
    <w:rPr>
      <w:rFonts w:eastAsia="黑体"/>
      <w:b/>
      <w:sz w:val="32"/>
      <w:szCs w:val="32"/>
    </w:rPr>
  </w:style>
  <w:style w:type="paragraph" w:customStyle="1" w:styleId="166">
    <w:name w:val="xl102"/>
    <w:basedOn w:val="1"/>
    <w:qFormat/>
    <w:uiPriority w:val="0"/>
    <w:pPr>
      <w:widowControl/>
      <w:spacing w:before="100" w:beforeAutospacing="1" w:after="100" w:afterAutospacing="1"/>
      <w:jc w:val="left"/>
    </w:pPr>
    <w:rPr>
      <w:rFonts w:ascii="Arial" w:hAnsi="Arial" w:cs="Arial"/>
      <w:kern w:val="0"/>
      <w:sz w:val="24"/>
      <w:szCs w:val="24"/>
    </w:rPr>
  </w:style>
  <w:style w:type="paragraph" w:customStyle="1" w:styleId="167">
    <w:name w:val="xl112"/>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kern w:val="0"/>
      <w:szCs w:val="21"/>
    </w:rPr>
  </w:style>
  <w:style w:type="paragraph" w:customStyle="1" w:styleId="168">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Cs w:val="21"/>
    </w:rPr>
  </w:style>
  <w:style w:type="paragraph" w:customStyle="1" w:styleId="169">
    <w:name w:val="xl125"/>
    <w:basedOn w:val="1"/>
    <w:qFormat/>
    <w:uiPriority w:val="0"/>
    <w:pPr>
      <w:widowControl/>
      <w:pBdr>
        <w:left w:val="single" w:color="auto" w:sz="4" w:space="0"/>
        <w:bottom w:val="single" w:color="auto" w:sz="4" w:space="0"/>
        <w:right w:val="single" w:color="auto" w:sz="4" w:space="0"/>
      </w:pBdr>
      <w:shd w:val="clear" w:color="000000" w:fill="C5D9F1"/>
      <w:spacing w:before="100" w:beforeAutospacing="1" w:after="100" w:afterAutospacing="1"/>
      <w:jc w:val="left"/>
    </w:pPr>
    <w:rPr>
      <w:rFonts w:ascii="Arial" w:hAnsi="Arial" w:cs="Arial"/>
      <w:kern w:val="0"/>
      <w:szCs w:val="21"/>
    </w:rPr>
  </w:style>
  <w:style w:type="paragraph" w:customStyle="1" w:styleId="170">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Cs w:val="21"/>
    </w:rPr>
  </w:style>
  <w:style w:type="paragraph" w:customStyle="1" w:styleId="171">
    <w:name w:val="xl135"/>
    <w:basedOn w:val="1"/>
    <w:qFormat/>
    <w:uiPriority w:val="0"/>
    <w:pPr>
      <w:widowControl/>
      <w:pBdr>
        <w:left w:val="single" w:color="auto" w:sz="4" w:space="0"/>
        <w:right w:val="single" w:color="auto" w:sz="4" w:space="0"/>
      </w:pBdr>
      <w:spacing w:before="100" w:beforeAutospacing="1" w:after="100" w:afterAutospacing="1"/>
      <w:jc w:val="left"/>
    </w:pPr>
    <w:rPr>
      <w:rFonts w:ascii="Arial" w:hAnsi="Arial" w:cs="Arial"/>
      <w:kern w:val="0"/>
      <w:szCs w:val="21"/>
    </w:rPr>
  </w:style>
  <w:style w:type="paragraph" w:customStyle="1" w:styleId="172">
    <w:name w:val="样式3"/>
    <w:basedOn w:val="34"/>
    <w:qFormat/>
    <w:uiPriority w:val="0"/>
    <w:pPr>
      <w:snapToGrid w:val="0"/>
      <w:spacing w:line="480" w:lineRule="exact"/>
      <w:ind w:left="0" w:firstLine="0" w:firstLineChars="0"/>
      <w:jc w:val="center"/>
    </w:pPr>
    <w:rPr>
      <w:rFonts w:ascii="Times New Roman" w:hAnsi="Times New Roman" w:eastAsia="黑体" w:cs="Times New Roman"/>
      <w:sz w:val="24"/>
      <w:szCs w:val="20"/>
    </w:rPr>
  </w:style>
  <w:style w:type="paragraph" w:customStyle="1" w:styleId="173">
    <w:name w:val="font12"/>
    <w:basedOn w:val="1"/>
    <w:qFormat/>
    <w:uiPriority w:val="0"/>
    <w:pPr>
      <w:widowControl/>
      <w:spacing w:before="100" w:beforeAutospacing="1" w:after="100" w:afterAutospacing="1"/>
      <w:jc w:val="left"/>
    </w:pPr>
    <w:rPr>
      <w:rFonts w:ascii="宋体" w:hAnsi="宋体" w:cs="宋体"/>
      <w:kern w:val="0"/>
      <w:szCs w:val="21"/>
    </w:rPr>
  </w:style>
  <w:style w:type="paragraph" w:customStyle="1" w:styleId="174">
    <w:name w:val="表格标题"/>
    <w:basedOn w:val="1"/>
    <w:next w:val="149"/>
    <w:qFormat/>
    <w:uiPriority w:val="0"/>
    <w:pPr>
      <w:keepNext/>
      <w:widowControl/>
      <w:numPr>
        <w:ilvl w:val="0"/>
        <w:numId w:val="1"/>
      </w:numPr>
      <w:tabs>
        <w:tab w:val="left" w:pos="1104"/>
      </w:tabs>
      <w:overflowPunct w:val="0"/>
      <w:adjustRightInd w:val="0"/>
      <w:snapToGrid w:val="0"/>
      <w:spacing w:line="300" w:lineRule="auto"/>
      <w:ind w:left="0" w:firstLine="0"/>
      <w:textAlignment w:val="baseline"/>
    </w:pPr>
    <w:rPr>
      <w:rFonts w:ascii="Arial" w:hAnsi="Arial"/>
      <w:b/>
      <w:sz w:val="28"/>
    </w:rPr>
  </w:style>
  <w:style w:type="paragraph" w:customStyle="1" w:styleId="175">
    <w:name w:val="xl117"/>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color w:val="FF0000"/>
      <w:kern w:val="0"/>
      <w:szCs w:val="21"/>
    </w:rPr>
  </w:style>
  <w:style w:type="paragraph" w:customStyle="1" w:styleId="176">
    <w:name w:val="正文＋缩进"/>
    <w:basedOn w:val="1"/>
    <w:qFormat/>
    <w:uiPriority w:val="0"/>
    <w:pPr>
      <w:autoSpaceDE w:val="0"/>
      <w:autoSpaceDN w:val="0"/>
      <w:adjustRightInd w:val="0"/>
      <w:spacing w:line="380" w:lineRule="atLeast"/>
      <w:ind w:firstLine="482"/>
      <w:jc w:val="left"/>
      <w:textAlignment w:val="baseline"/>
    </w:pPr>
    <w:rPr>
      <w:spacing w:val="4"/>
      <w:kern w:val="0"/>
      <w:sz w:val="28"/>
    </w:rPr>
  </w:style>
  <w:style w:type="paragraph" w:customStyle="1" w:styleId="177">
    <w:name w:val="font7"/>
    <w:basedOn w:val="1"/>
    <w:qFormat/>
    <w:uiPriority w:val="0"/>
    <w:pPr>
      <w:widowControl/>
      <w:spacing w:before="100" w:beforeAutospacing="1" w:after="100" w:afterAutospacing="1"/>
      <w:jc w:val="left"/>
    </w:pPr>
    <w:rPr>
      <w:rFonts w:ascii="Arial" w:hAnsi="Arial" w:cs="Arial"/>
      <w:kern w:val="0"/>
      <w:szCs w:val="21"/>
    </w:rPr>
  </w:style>
  <w:style w:type="paragraph" w:customStyle="1" w:styleId="178">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179">
    <w:name w:val="正文缩进2"/>
    <w:basedOn w:val="1"/>
    <w:qFormat/>
    <w:uiPriority w:val="0"/>
    <w:pPr>
      <w:spacing w:line="360" w:lineRule="auto"/>
      <w:ind w:firstLine="420"/>
    </w:pPr>
    <w:rPr>
      <w:rFonts w:hint="eastAsia"/>
      <w:sz w:val="26"/>
      <w:szCs w:val="26"/>
    </w:rPr>
  </w:style>
  <w:style w:type="paragraph" w:customStyle="1" w:styleId="180">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FF0000"/>
      <w:kern w:val="0"/>
      <w:szCs w:val="21"/>
    </w:rPr>
  </w:style>
  <w:style w:type="paragraph" w:customStyle="1" w:styleId="181">
    <w:name w:val="font23"/>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82">
    <w:name w:val="xl124"/>
    <w:basedOn w:val="1"/>
    <w:qFormat/>
    <w:uiPriority w:val="0"/>
    <w:pPr>
      <w:widowControl/>
      <w:pBdr>
        <w:left w:val="single" w:color="auto" w:sz="4" w:space="0"/>
        <w:bottom w:val="single" w:color="auto" w:sz="4" w:space="0"/>
        <w:right w:val="single" w:color="auto" w:sz="4" w:space="0"/>
      </w:pBdr>
      <w:shd w:val="clear" w:color="000000" w:fill="C5D9F1"/>
      <w:spacing w:before="100" w:beforeAutospacing="1" w:after="100" w:afterAutospacing="1"/>
      <w:jc w:val="center"/>
    </w:pPr>
    <w:rPr>
      <w:rFonts w:ascii="Arial" w:hAnsi="Arial" w:cs="Arial"/>
      <w:kern w:val="0"/>
      <w:szCs w:val="21"/>
    </w:rPr>
  </w:style>
  <w:style w:type="paragraph" w:customStyle="1" w:styleId="183">
    <w:name w:val="xl1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Cs w:val="21"/>
    </w:rPr>
  </w:style>
  <w:style w:type="paragraph" w:customStyle="1" w:styleId="184">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left"/>
    </w:pPr>
    <w:rPr>
      <w:rFonts w:ascii="Arial" w:hAnsi="Arial" w:cs="Arial"/>
      <w:b/>
      <w:bCs/>
      <w:kern w:val="0"/>
      <w:szCs w:val="21"/>
    </w:rPr>
  </w:style>
  <w:style w:type="paragraph" w:customStyle="1" w:styleId="185">
    <w:name w:val="xl105"/>
    <w:basedOn w:val="1"/>
    <w:qFormat/>
    <w:uiPriority w:val="0"/>
    <w:pPr>
      <w:widowControl/>
      <w:spacing w:before="100" w:beforeAutospacing="1" w:after="100" w:afterAutospacing="1"/>
    </w:pPr>
    <w:rPr>
      <w:rFonts w:ascii="Arial" w:hAnsi="Arial" w:cs="Arial"/>
      <w:kern w:val="0"/>
      <w:szCs w:val="21"/>
    </w:rPr>
  </w:style>
  <w:style w:type="paragraph" w:customStyle="1" w:styleId="186">
    <w:name w:val="xl13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w:hAnsi="Arial" w:cs="Arial"/>
      <w:kern w:val="0"/>
      <w:szCs w:val="21"/>
    </w:rPr>
  </w:style>
  <w:style w:type="paragraph" w:customStyle="1" w:styleId="187">
    <w:name w:val="+正文"/>
    <w:basedOn w:val="1"/>
    <w:qFormat/>
    <w:uiPriority w:val="0"/>
    <w:pPr>
      <w:spacing w:line="360" w:lineRule="auto"/>
      <w:ind w:firstLine="200" w:firstLineChars="200"/>
    </w:pPr>
    <w:rPr>
      <w:sz w:val="28"/>
      <w:szCs w:val="28"/>
    </w:rPr>
  </w:style>
  <w:style w:type="paragraph" w:customStyle="1" w:styleId="188">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color w:val="FF0000"/>
      <w:kern w:val="0"/>
      <w:szCs w:val="21"/>
    </w:rPr>
  </w:style>
  <w:style w:type="paragraph" w:customStyle="1" w:styleId="189">
    <w:name w:val="xl13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Arial"/>
      <w:color w:val="FF0000"/>
      <w:kern w:val="0"/>
      <w:szCs w:val="21"/>
    </w:rPr>
  </w:style>
  <w:style w:type="paragraph" w:customStyle="1" w:styleId="190">
    <w:name w:val="xl13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Cs w:val="21"/>
    </w:rPr>
  </w:style>
  <w:style w:type="paragraph" w:customStyle="1" w:styleId="191">
    <w:name w:val="xl101"/>
    <w:basedOn w:val="1"/>
    <w:qFormat/>
    <w:uiPriority w:val="0"/>
    <w:pPr>
      <w:widowControl/>
      <w:spacing w:before="100" w:beforeAutospacing="1" w:after="100" w:afterAutospacing="1"/>
      <w:jc w:val="center"/>
    </w:pPr>
    <w:rPr>
      <w:rFonts w:ascii="Arial" w:hAnsi="Arial" w:cs="Arial"/>
      <w:kern w:val="0"/>
      <w:sz w:val="24"/>
      <w:szCs w:val="24"/>
    </w:rPr>
  </w:style>
  <w:style w:type="paragraph" w:customStyle="1" w:styleId="192">
    <w:name w:val="Char Char Char Char Char Char Char Char Char Char"/>
    <w:basedOn w:val="1"/>
    <w:qFormat/>
    <w:uiPriority w:val="0"/>
    <w:pPr>
      <w:widowControl/>
      <w:spacing w:after="160" w:line="240" w:lineRule="exact"/>
      <w:ind w:firstLine="602" w:firstLineChars="250"/>
      <w:jc w:val="center"/>
    </w:pPr>
    <w:rPr>
      <w:szCs w:val="24"/>
    </w:rPr>
  </w:style>
  <w:style w:type="paragraph" w:customStyle="1" w:styleId="193">
    <w:name w:val="xl118"/>
    <w:basedOn w:val="1"/>
    <w:qFormat/>
    <w:uiPriority w:val="0"/>
    <w:pPr>
      <w:widowControl/>
      <w:pBdr>
        <w:left w:val="single" w:color="auto" w:sz="4" w:space="0"/>
        <w:right w:val="single" w:color="auto" w:sz="4" w:space="0"/>
      </w:pBdr>
      <w:spacing w:before="100" w:beforeAutospacing="1" w:after="100" w:afterAutospacing="1"/>
      <w:jc w:val="left"/>
    </w:pPr>
    <w:rPr>
      <w:rFonts w:ascii="Arial" w:hAnsi="Arial" w:cs="Arial"/>
      <w:color w:val="FF0000"/>
      <w:kern w:val="0"/>
      <w:szCs w:val="21"/>
    </w:rPr>
  </w:style>
  <w:style w:type="paragraph" w:customStyle="1" w:styleId="194">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FF0000"/>
      <w:kern w:val="0"/>
      <w:szCs w:val="21"/>
    </w:rPr>
  </w:style>
  <w:style w:type="paragraph" w:customStyle="1" w:styleId="195">
    <w:name w:val="xl11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w:hAnsi="Arial" w:cs="Arial"/>
      <w:kern w:val="0"/>
      <w:szCs w:val="21"/>
    </w:rPr>
  </w:style>
  <w:style w:type="paragraph" w:customStyle="1" w:styleId="196">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left"/>
    </w:pPr>
    <w:rPr>
      <w:rFonts w:ascii="Arial" w:hAnsi="Arial" w:cs="Arial"/>
      <w:kern w:val="0"/>
      <w:szCs w:val="21"/>
    </w:rPr>
  </w:style>
  <w:style w:type="paragraph" w:customStyle="1" w:styleId="197">
    <w:name w:val="font17"/>
    <w:basedOn w:val="1"/>
    <w:qFormat/>
    <w:uiPriority w:val="0"/>
    <w:pPr>
      <w:widowControl/>
      <w:spacing w:before="100" w:beforeAutospacing="1" w:after="100" w:afterAutospacing="1"/>
      <w:jc w:val="left"/>
    </w:pPr>
    <w:rPr>
      <w:rFonts w:ascii="Arial" w:hAnsi="Arial" w:cs="Arial"/>
      <w:color w:val="FF0000"/>
      <w:kern w:val="0"/>
      <w:szCs w:val="21"/>
    </w:rPr>
  </w:style>
  <w:style w:type="paragraph" w:customStyle="1" w:styleId="198">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center"/>
    </w:pPr>
    <w:rPr>
      <w:rFonts w:ascii="Arial" w:hAnsi="Arial" w:cs="Arial"/>
      <w:kern w:val="0"/>
      <w:szCs w:val="21"/>
    </w:rPr>
  </w:style>
  <w:style w:type="paragraph" w:customStyle="1" w:styleId="199">
    <w:name w:val="font21"/>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200">
    <w:name w:val="TOC 标题11"/>
    <w:basedOn w:val="5"/>
    <w:next w:val="1"/>
    <w:qFormat/>
    <w:uiPriority w:val="39"/>
    <w:pPr>
      <w:widowControl/>
      <w:numPr>
        <w:ilvl w:val="0"/>
        <w:numId w:val="2"/>
      </w:numPr>
      <w:spacing w:before="480" w:line="276" w:lineRule="auto"/>
      <w:outlineLvl w:val="9"/>
    </w:pPr>
    <w:rPr>
      <w:rFonts w:ascii="Cambria" w:hAnsi="Cambria"/>
      <w:bCs/>
      <w:color w:val="365F91"/>
      <w:kern w:val="0"/>
      <w:sz w:val="28"/>
      <w:szCs w:val="28"/>
    </w:rPr>
  </w:style>
  <w:style w:type="paragraph" w:customStyle="1" w:styleId="201">
    <w:name w:val="xl131"/>
    <w:basedOn w:val="1"/>
    <w:qFormat/>
    <w:uiPriority w:val="0"/>
    <w:pPr>
      <w:widowControl/>
      <w:pBdr>
        <w:left w:val="single" w:color="auto" w:sz="4" w:space="0"/>
        <w:right w:val="single" w:color="auto" w:sz="4" w:space="0"/>
      </w:pBdr>
      <w:shd w:val="clear" w:color="000000" w:fill="C5D9F1"/>
      <w:spacing w:before="100" w:beforeAutospacing="1" w:after="100" w:afterAutospacing="1"/>
      <w:jc w:val="center"/>
    </w:pPr>
    <w:rPr>
      <w:rFonts w:ascii="Arial" w:hAnsi="Arial" w:cs="Arial"/>
      <w:kern w:val="0"/>
      <w:szCs w:val="21"/>
    </w:rPr>
  </w:style>
  <w:style w:type="paragraph" w:customStyle="1" w:styleId="202">
    <w:name w:val="font14"/>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203">
    <w:name w:val="font15"/>
    <w:basedOn w:val="1"/>
    <w:qFormat/>
    <w:uiPriority w:val="0"/>
    <w:pPr>
      <w:widowControl/>
      <w:spacing w:before="100" w:beforeAutospacing="1" w:after="100" w:afterAutospacing="1"/>
      <w:jc w:val="left"/>
    </w:pPr>
    <w:rPr>
      <w:rFonts w:ascii="Arial" w:hAnsi="Arial" w:cs="Arial"/>
      <w:color w:val="FF0000"/>
      <w:kern w:val="0"/>
      <w:szCs w:val="21"/>
    </w:rPr>
  </w:style>
  <w:style w:type="paragraph" w:customStyle="1" w:styleId="204">
    <w:name w:val="首缩"/>
    <w:basedOn w:val="1"/>
    <w:qFormat/>
    <w:uiPriority w:val="0"/>
    <w:pPr>
      <w:adjustRightInd w:val="0"/>
      <w:spacing w:line="312" w:lineRule="atLeast"/>
      <w:ind w:firstLine="454"/>
      <w:textAlignment w:val="baseline"/>
    </w:pPr>
    <w:rPr>
      <w:kern w:val="0"/>
    </w:rPr>
  </w:style>
  <w:style w:type="paragraph" w:customStyle="1" w:styleId="205">
    <w:name w:val="xl132"/>
    <w:basedOn w:val="1"/>
    <w:qFormat/>
    <w:uiPriority w:val="0"/>
    <w:pPr>
      <w:widowControl/>
      <w:pBdr>
        <w:left w:val="single" w:color="auto" w:sz="4" w:space="0"/>
        <w:right w:val="single" w:color="auto" w:sz="4" w:space="0"/>
      </w:pBdr>
      <w:shd w:val="clear" w:color="000000" w:fill="C5D9F1"/>
      <w:spacing w:before="100" w:beforeAutospacing="1" w:after="100" w:afterAutospacing="1"/>
      <w:jc w:val="left"/>
    </w:pPr>
    <w:rPr>
      <w:rFonts w:ascii="Arial" w:hAnsi="Arial" w:cs="Arial"/>
      <w:kern w:val="0"/>
      <w:szCs w:val="21"/>
    </w:rPr>
  </w:style>
  <w:style w:type="paragraph" w:customStyle="1" w:styleId="206">
    <w:name w:val="font16"/>
    <w:basedOn w:val="1"/>
    <w:qFormat/>
    <w:uiPriority w:val="0"/>
    <w:pPr>
      <w:widowControl/>
      <w:spacing w:before="100" w:beforeAutospacing="1" w:after="100" w:afterAutospacing="1"/>
      <w:jc w:val="left"/>
    </w:pPr>
    <w:rPr>
      <w:rFonts w:ascii="宋体" w:hAnsi="宋体" w:cs="宋体"/>
      <w:kern w:val="0"/>
      <w:szCs w:val="21"/>
    </w:rPr>
  </w:style>
  <w:style w:type="paragraph" w:customStyle="1" w:styleId="207">
    <w:name w:val="xl13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w:hAnsi="Arial" w:cs="Arial"/>
      <w:color w:val="FF0000"/>
      <w:kern w:val="0"/>
      <w:szCs w:val="21"/>
    </w:rPr>
  </w:style>
  <w:style w:type="paragraph" w:customStyle="1" w:styleId="208">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Arial" w:hAnsi="Arial" w:cs="Arial"/>
      <w:b/>
      <w:bCs/>
      <w:kern w:val="0"/>
      <w:szCs w:val="21"/>
    </w:rPr>
  </w:style>
  <w:style w:type="paragraph" w:customStyle="1" w:styleId="209">
    <w:name w:val="xl14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w:hAnsi="Arial" w:cs="Arial"/>
      <w:color w:val="FF0000"/>
      <w:kern w:val="0"/>
      <w:szCs w:val="21"/>
    </w:rPr>
  </w:style>
  <w:style w:type="paragraph" w:customStyle="1" w:styleId="210">
    <w:name w:val="xl120"/>
    <w:basedOn w:val="1"/>
    <w:qFormat/>
    <w:uiPriority w:val="0"/>
    <w:pPr>
      <w:widowControl/>
      <w:pBdr>
        <w:top w:val="single" w:color="auto" w:sz="4" w:space="0"/>
        <w:left w:val="single" w:color="auto" w:sz="4" w:space="0"/>
        <w:right w:val="single" w:color="auto" w:sz="4" w:space="0"/>
      </w:pBdr>
      <w:shd w:val="clear" w:color="000000" w:fill="C5D9F1"/>
      <w:spacing w:before="100" w:beforeAutospacing="1" w:after="100" w:afterAutospacing="1"/>
      <w:jc w:val="center"/>
    </w:pPr>
    <w:rPr>
      <w:rFonts w:ascii="Arial" w:hAnsi="Arial" w:cs="Arial"/>
      <w:kern w:val="0"/>
      <w:szCs w:val="21"/>
    </w:rPr>
  </w:style>
  <w:style w:type="paragraph" w:customStyle="1" w:styleId="211">
    <w:name w:val="Char2"/>
    <w:basedOn w:val="1"/>
    <w:qFormat/>
    <w:uiPriority w:val="0"/>
    <w:pPr>
      <w:widowControl/>
      <w:topLinePunct/>
      <w:snapToGrid w:val="0"/>
      <w:spacing w:line="480" w:lineRule="exact"/>
      <w:jc w:val="left"/>
    </w:pPr>
    <w:rPr>
      <w:rFonts w:eastAsia="仿宋_GB2312"/>
      <w:w w:val="90"/>
      <w:kern w:val="0"/>
      <w:sz w:val="28"/>
      <w:szCs w:val="36"/>
      <w:lang w:val="en-GB" w:eastAsia="en-GB"/>
    </w:rPr>
  </w:style>
  <w:style w:type="paragraph" w:customStyle="1" w:styleId="212">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13">
    <w:name w:val="Char Char1 Char Char Char Char"/>
    <w:basedOn w:val="1"/>
    <w:qFormat/>
    <w:uiPriority w:val="0"/>
    <w:rPr>
      <w:szCs w:val="24"/>
    </w:rPr>
  </w:style>
  <w:style w:type="paragraph" w:customStyle="1" w:styleId="214">
    <w:name w:val="xl113"/>
    <w:basedOn w:val="1"/>
    <w:qFormat/>
    <w:uiPriority w:val="0"/>
    <w:pPr>
      <w:widowControl/>
      <w:pBdr>
        <w:left w:val="single" w:color="auto" w:sz="4" w:space="0"/>
        <w:right w:val="single" w:color="auto" w:sz="4" w:space="0"/>
      </w:pBdr>
      <w:spacing w:before="100" w:beforeAutospacing="1" w:after="100" w:afterAutospacing="1"/>
      <w:jc w:val="left"/>
    </w:pPr>
    <w:rPr>
      <w:rFonts w:ascii="Arial" w:hAnsi="Arial" w:cs="Arial"/>
      <w:kern w:val="0"/>
      <w:szCs w:val="21"/>
    </w:rPr>
  </w:style>
  <w:style w:type="paragraph" w:customStyle="1" w:styleId="215">
    <w:name w:val="M表格竖"/>
    <w:basedOn w:val="1"/>
    <w:qFormat/>
    <w:uiPriority w:val="99"/>
    <w:pPr>
      <w:jc w:val="center"/>
    </w:pPr>
    <w:rPr>
      <w:sz w:val="18"/>
      <w:szCs w:val="18"/>
    </w:rPr>
  </w:style>
  <w:style w:type="paragraph" w:customStyle="1" w:styleId="216">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pPr>
    <w:rPr>
      <w:rFonts w:ascii="Arial" w:hAnsi="Arial" w:cs="Arial"/>
      <w:b/>
      <w:bCs/>
      <w:kern w:val="0"/>
      <w:szCs w:val="21"/>
    </w:rPr>
  </w:style>
  <w:style w:type="paragraph" w:customStyle="1" w:styleId="217">
    <w:name w:val="table footnote"/>
    <w:qFormat/>
    <w:uiPriority w:val="0"/>
    <w:pPr>
      <w:spacing w:before="60" w:after="30"/>
      <w:jc w:val="right"/>
    </w:pPr>
    <w:rPr>
      <w:rFonts w:ascii="Times New Roman" w:hAnsi="Times New Roman" w:eastAsia="宋体" w:cs="Times New Roman"/>
      <w:sz w:val="12"/>
      <w:szCs w:val="12"/>
      <w:lang w:val="en-US" w:eastAsia="en-US" w:bidi="ar-SA"/>
    </w:rPr>
  </w:style>
  <w:style w:type="paragraph" w:customStyle="1" w:styleId="218">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Cs w:val="21"/>
    </w:rPr>
  </w:style>
  <w:style w:type="paragraph" w:customStyle="1" w:styleId="219">
    <w:name w:val="Char Char Char Char1"/>
    <w:basedOn w:val="1"/>
    <w:qFormat/>
    <w:uiPriority w:val="0"/>
    <w:pPr>
      <w:snapToGrid w:val="0"/>
      <w:spacing w:line="440" w:lineRule="atLeast"/>
    </w:pPr>
    <w:rPr>
      <w:rFonts w:ascii="宋体"/>
      <w:sz w:val="24"/>
      <w:szCs w:val="24"/>
    </w:rPr>
  </w:style>
  <w:style w:type="paragraph" w:customStyle="1" w:styleId="220">
    <w:name w:val="font22"/>
    <w:basedOn w:val="1"/>
    <w:qFormat/>
    <w:uiPriority w:val="0"/>
    <w:pPr>
      <w:widowControl/>
      <w:spacing w:before="100" w:beforeAutospacing="1" w:after="100" w:afterAutospacing="1"/>
      <w:jc w:val="left"/>
    </w:pPr>
    <w:rPr>
      <w:rFonts w:ascii="Arial" w:hAnsi="Arial" w:cs="Arial"/>
      <w:color w:val="FF0000"/>
      <w:kern w:val="0"/>
      <w:szCs w:val="21"/>
    </w:rPr>
  </w:style>
  <w:style w:type="paragraph" w:customStyle="1" w:styleId="221">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22">
    <w:name w:val="font8"/>
    <w:basedOn w:val="1"/>
    <w:qFormat/>
    <w:uiPriority w:val="0"/>
    <w:pPr>
      <w:widowControl/>
      <w:spacing w:before="100" w:beforeAutospacing="1" w:after="100" w:afterAutospacing="1"/>
      <w:jc w:val="left"/>
    </w:pPr>
    <w:rPr>
      <w:rFonts w:ascii="Arial" w:hAnsi="Arial" w:cs="Arial"/>
      <w:b/>
      <w:bCs/>
      <w:kern w:val="0"/>
      <w:szCs w:val="21"/>
    </w:rPr>
  </w:style>
  <w:style w:type="paragraph" w:customStyle="1" w:styleId="223">
    <w:name w:val="xl121"/>
    <w:basedOn w:val="1"/>
    <w:qFormat/>
    <w:uiPriority w:val="0"/>
    <w:pPr>
      <w:widowControl/>
      <w:pBdr>
        <w:top w:val="single" w:color="auto" w:sz="4" w:space="0"/>
        <w:left w:val="single" w:color="auto" w:sz="4" w:space="0"/>
        <w:right w:val="single" w:color="auto" w:sz="4" w:space="0"/>
      </w:pBdr>
      <w:shd w:val="clear" w:color="000000" w:fill="C5D9F1"/>
      <w:spacing w:before="100" w:beforeAutospacing="1" w:after="100" w:afterAutospacing="1"/>
      <w:jc w:val="left"/>
    </w:pPr>
    <w:rPr>
      <w:rFonts w:ascii="Arial" w:hAnsi="Arial" w:cs="Arial"/>
      <w:kern w:val="0"/>
      <w:szCs w:val="21"/>
    </w:rPr>
  </w:style>
  <w:style w:type="paragraph" w:customStyle="1" w:styleId="224">
    <w:name w:val="M表头"/>
    <w:basedOn w:val="1"/>
    <w:next w:val="1"/>
    <w:qFormat/>
    <w:uiPriority w:val="99"/>
    <w:pPr>
      <w:spacing w:beforeLines="70" w:line="360" w:lineRule="auto"/>
      <w:ind w:firstLine="200" w:firstLineChars="200"/>
    </w:pPr>
    <w:rPr>
      <w:rFonts w:eastAsia="黑体"/>
      <w:bCs/>
      <w:sz w:val="24"/>
      <w:szCs w:val="21"/>
    </w:rPr>
  </w:style>
  <w:style w:type="paragraph" w:customStyle="1" w:styleId="225">
    <w:name w:val="Char"/>
    <w:basedOn w:val="1"/>
    <w:qFormat/>
    <w:uiPriority w:val="0"/>
    <w:pPr>
      <w:widowControl/>
      <w:spacing w:after="160" w:line="240" w:lineRule="exact"/>
      <w:jc w:val="left"/>
    </w:pPr>
    <w:rPr>
      <w:rFonts w:eastAsia="Times New Roman"/>
      <w:kern w:val="0"/>
      <w:sz w:val="20"/>
    </w:rPr>
  </w:style>
  <w:style w:type="paragraph" w:customStyle="1" w:styleId="226">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left"/>
    </w:pPr>
    <w:rPr>
      <w:rFonts w:ascii="Arial" w:hAnsi="Arial" w:cs="Arial"/>
      <w:kern w:val="0"/>
      <w:szCs w:val="21"/>
    </w:rPr>
  </w:style>
  <w:style w:type="paragraph" w:customStyle="1" w:styleId="22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Cs w:val="21"/>
    </w:rPr>
  </w:style>
  <w:style w:type="character" w:customStyle="1" w:styleId="228">
    <w:name w:val="段落 Char"/>
    <w:link w:val="229"/>
    <w:qFormat/>
    <w:uiPriority w:val="0"/>
    <w:rPr>
      <w:rFonts w:ascii="宋体" w:hAnsi="宋体"/>
      <w:bCs/>
      <w:spacing w:val="-4"/>
      <w:sz w:val="24"/>
      <w:szCs w:val="24"/>
    </w:rPr>
  </w:style>
  <w:style w:type="paragraph" w:customStyle="1" w:styleId="229">
    <w:name w:val="段落"/>
    <w:basedOn w:val="1"/>
    <w:link w:val="228"/>
    <w:qFormat/>
    <w:uiPriority w:val="0"/>
    <w:pPr>
      <w:snapToGrid w:val="0"/>
      <w:spacing w:line="440" w:lineRule="exact"/>
      <w:ind w:firstLine="466" w:firstLineChars="200"/>
      <w:jc w:val="left"/>
    </w:pPr>
    <w:rPr>
      <w:rFonts w:ascii="宋体" w:hAnsi="宋体"/>
      <w:bCs/>
      <w:spacing w:val="-4"/>
      <w:kern w:val="0"/>
      <w:sz w:val="24"/>
      <w:szCs w:val="24"/>
    </w:rPr>
  </w:style>
  <w:style w:type="character" w:customStyle="1" w:styleId="230">
    <w:name w:val="4级标题 Char Char"/>
    <w:qFormat/>
    <w:uiPriority w:val="0"/>
    <w:rPr>
      <w:rFonts w:ascii="宋体" w:hAnsi="宋体" w:eastAsia="宋体"/>
      <w:bCs/>
      <w:kern w:val="2"/>
      <w:sz w:val="24"/>
      <w:szCs w:val="24"/>
      <w:lang w:val="en-US" w:eastAsia="zh-CN" w:bidi="ar-SA"/>
    </w:rPr>
  </w:style>
  <w:style w:type="character" w:customStyle="1" w:styleId="231">
    <w:name w:val="样式 首行缩进:  2 字符 Char"/>
    <w:link w:val="232"/>
    <w:qFormat/>
    <w:uiPriority w:val="0"/>
    <w:rPr>
      <w:rFonts w:cs="宋体"/>
      <w:sz w:val="24"/>
      <w:szCs w:val="24"/>
    </w:rPr>
  </w:style>
  <w:style w:type="paragraph" w:customStyle="1" w:styleId="232">
    <w:name w:val="样式 首行缩进:  2 字符"/>
    <w:basedOn w:val="1"/>
    <w:link w:val="231"/>
    <w:qFormat/>
    <w:uiPriority w:val="0"/>
    <w:pPr>
      <w:spacing w:line="460" w:lineRule="exact"/>
      <w:ind w:firstLine="471"/>
    </w:pPr>
    <w:rPr>
      <w:rFonts w:ascii="Calibri" w:hAnsi="Calibri" w:cs="宋体"/>
      <w:kern w:val="0"/>
      <w:sz w:val="24"/>
      <w:szCs w:val="24"/>
    </w:rPr>
  </w:style>
  <w:style w:type="paragraph" w:customStyle="1" w:styleId="233">
    <w:name w:val="正文样式1"/>
    <w:basedOn w:val="1"/>
    <w:link w:val="234"/>
    <w:qFormat/>
    <w:uiPriority w:val="0"/>
    <w:pPr>
      <w:adjustRightInd w:val="0"/>
      <w:ind w:firstLine="420" w:firstLineChars="200"/>
      <w:textAlignment w:val="baseline"/>
    </w:pPr>
    <w:rPr>
      <w:kern w:val="0"/>
    </w:rPr>
  </w:style>
  <w:style w:type="character" w:customStyle="1" w:styleId="234">
    <w:name w:val="正文样式1 Char1"/>
    <w:link w:val="233"/>
    <w:qFormat/>
    <w:uiPriority w:val="0"/>
    <w:rPr>
      <w:rFonts w:ascii="Times New Roman" w:hAnsi="Times New Roman"/>
      <w:sz w:val="21"/>
    </w:rPr>
  </w:style>
  <w:style w:type="paragraph" w:customStyle="1" w:styleId="235">
    <w:name w:val="表文"/>
    <w:basedOn w:val="1"/>
    <w:qFormat/>
    <w:uiPriority w:val="0"/>
    <w:pPr>
      <w:spacing w:line="280" w:lineRule="exact"/>
      <w:jc w:val="center"/>
    </w:pPr>
    <w:rPr>
      <w:spacing w:val="-2"/>
      <w:kern w:val="0"/>
      <w:szCs w:val="21"/>
    </w:rPr>
  </w:style>
  <w:style w:type="character" w:customStyle="1" w:styleId="236">
    <w:name w:val="表头 Char"/>
    <w:qFormat/>
    <w:uiPriority w:val="0"/>
    <w:rPr>
      <w:b/>
      <w:kern w:val="2"/>
      <w:sz w:val="24"/>
      <w:szCs w:val="30"/>
      <w:lang w:val="zh-CN" w:eastAsia="zh-CN"/>
    </w:rPr>
  </w:style>
  <w:style w:type="paragraph" w:customStyle="1" w:styleId="237">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238">
    <w:name w:val="表格-表头"/>
    <w:basedOn w:val="1"/>
    <w:qFormat/>
    <w:uiPriority w:val="0"/>
    <w:pPr>
      <w:spacing w:after="120" w:line="0" w:lineRule="atLeast"/>
      <w:ind w:firstLine="720" w:firstLineChars="200"/>
      <w:jc w:val="center"/>
    </w:pPr>
    <w:rPr>
      <w:b/>
      <w:sz w:val="24"/>
      <w:szCs w:val="22"/>
    </w:rPr>
  </w:style>
  <w:style w:type="paragraph" w:customStyle="1" w:styleId="239">
    <w:name w:val="我的样式（正文）"/>
    <w:basedOn w:val="1"/>
    <w:qFormat/>
    <w:uiPriority w:val="0"/>
    <w:pPr>
      <w:spacing w:line="440" w:lineRule="exact"/>
    </w:pPr>
    <w:rPr>
      <w:rFonts w:ascii="宋体"/>
      <w:sz w:val="28"/>
      <w:szCs w:val="22"/>
    </w:rPr>
  </w:style>
  <w:style w:type="paragraph" w:customStyle="1" w:styleId="240">
    <w:name w:val="中文报告书"/>
    <w:basedOn w:val="1"/>
    <w:qFormat/>
    <w:uiPriority w:val="0"/>
    <w:pPr>
      <w:adjustRightInd w:val="0"/>
      <w:spacing w:after="80" w:line="360" w:lineRule="auto"/>
      <w:jc w:val="left"/>
      <w:textAlignment w:val="baseline"/>
    </w:pPr>
    <w:rPr>
      <w:rFonts w:ascii="宋体"/>
      <w:kern w:val="0"/>
      <w:sz w:val="24"/>
      <w:lang w:val="zh-CN"/>
    </w:rPr>
  </w:style>
  <w:style w:type="character" w:customStyle="1" w:styleId="241">
    <w:name w:val="样式 样式 正文@ + 首行缩进:  2 字符 字距调整小四 紧缩量  0.2 磅 + 首行缩进:  2 字符 Char Char"/>
    <w:link w:val="242"/>
    <w:qFormat/>
    <w:uiPriority w:val="0"/>
    <w:rPr>
      <w:rFonts w:ascii="宋体" w:hAnsi="宋体" w:cs="宋体"/>
      <w:kern w:val="24"/>
      <w:sz w:val="24"/>
      <w:szCs w:val="24"/>
    </w:rPr>
  </w:style>
  <w:style w:type="paragraph" w:customStyle="1" w:styleId="242">
    <w:name w:val="样式 样式 正文@ + 首行缩进:  2 字符 字距调整小四 紧缩量  0.2 磅 + 首行缩进:  2 字符"/>
    <w:basedOn w:val="1"/>
    <w:link w:val="241"/>
    <w:qFormat/>
    <w:uiPriority w:val="0"/>
    <w:pPr>
      <w:spacing w:line="360" w:lineRule="auto"/>
      <w:ind w:firstLine="480" w:firstLineChars="200"/>
    </w:pPr>
    <w:rPr>
      <w:rFonts w:ascii="宋体" w:hAnsi="宋体" w:cs="宋体"/>
      <w:kern w:val="24"/>
      <w:sz w:val="24"/>
      <w:szCs w:val="24"/>
    </w:rPr>
  </w:style>
  <w:style w:type="character" w:customStyle="1" w:styleId="243">
    <w:name w:val="表格 Char Char"/>
    <w:qFormat/>
    <w:uiPriority w:val="0"/>
    <w:rPr>
      <w:rFonts w:ascii="Arial" w:hAnsi="Arial" w:cs="Arial"/>
      <w:sz w:val="24"/>
    </w:rPr>
  </w:style>
  <w:style w:type="paragraph" w:customStyle="1" w:styleId="244">
    <w:name w:val="Char Char Char Char Char Char Char Char Char Char Char Char Char1"/>
    <w:basedOn w:val="7"/>
    <w:qFormat/>
    <w:uiPriority w:val="0"/>
    <w:pPr>
      <w:widowControl/>
      <w:tabs>
        <w:tab w:val="left" w:pos="360"/>
        <w:tab w:val="left" w:pos="900"/>
      </w:tabs>
      <w:snapToGrid w:val="0"/>
      <w:spacing w:before="120" w:after="120"/>
      <w:ind w:left="542" w:leftChars="-12" w:firstLine="200" w:firstLineChars="200"/>
    </w:pPr>
    <w:rPr>
      <w:rFonts w:eastAsia="黑体"/>
      <w:b w:val="0"/>
      <w:snapToGrid w:val="0"/>
      <w:kern w:val="0"/>
      <w:sz w:val="24"/>
    </w:rPr>
  </w:style>
  <w:style w:type="paragraph" w:customStyle="1" w:styleId="245">
    <w:name w:val="三级标题"/>
    <w:basedOn w:val="1"/>
    <w:next w:val="1"/>
    <w:qFormat/>
    <w:uiPriority w:val="0"/>
    <w:pPr>
      <w:spacing w:line="360" w:lineRule="auto"/>
    </w:pPr>
    <w:rPr>
      <w:sz w:val="24"/>
      <w:szCs w:val="24"/>
    </w:rPr>
  </w:style>
  <w:style w:type="character" w:customStyle="1" w:styleId="246">
    <w:name w:val="on1"/>
    <w:basedOn w:val="49"/>
    <w:qFormat/>
    <w:uiPriority w:val="0"/>
    <w:rPr>
      <w:color w:val="2D64B3"/>
    </w:rPr>
  </w:style>
  <w:style w:type="character" w:customStyle="1" w:styleId="247">
    <w:name w:val="num"/>
    <w:basedOn w:val="49"/>
    <w:qFormat/>
    <w:uiPriority w:val="0"/>
    <w:rPr>
      <w:b/>
      <w:color w:val="FF7800"/>
    </w:rPr>
  </w:style>
  <w:style w:type="character" w:customStyle="1" w:styleId="248">
    <w:name w:val="nc-lang-cnt"/>
    <w:basedOn w:val="49"/>
    <w:qFormat/>
    <w:uiPriority w:val="0"/>
  </w:style>
  <w:style w:type="character" w:customStyle="1" w:styleId="249">
    <w:name w:val="nc-lang-cnt1"/>
    <w:basedOn w:val="49"/>
    <w:qFormat/>
    <w:uiPriority w:val="0"/>
  </w:style>
  <w:style w:type="character" w:customStyle="1" w:styleId="250">
    <w:name w:val="nc-lang-cnt2"/>
    <w:basedOn w:val="49"/>
    <w:qFormat/>
    <w:uiPriority w:val="0"/>
  </w:style>
  <w:style w:type="character" w:customStyle="1" w:styleId="251">
    <w:name w:val="nc-lang-cnt3"/>
    <w:basedOn w:val="49"/>
    <w:qFormat/>
    <w:uiPriority w:val="0"/>
    <w:rPr>
      <w:rtl/>
    </w:rPr>
  </w:style>
  <w:style w:type="character" w:customStyle="1" w:styleId="252">
    <w:name w:val="nc-lang-cnt4"/>
    <w:basedOn w:val="49"/>
    <w:qFormat/>
    <w:uiPriority w:val="0"/>
    <w:rPr>
      <w:rtl/>
    </w:rPr>
  </w:style>
  <w:style w:type="character" w:customStyle="1" w:styleId="253">
    <w:name w:val="nc-lang-cnt5"/>
    <w:basedOn w:val="49"/>
    <w:qFormat/>
    <w:uiPriority w:val="0"/>
    <w:rPr>
      <w:rtl/>
    </w:rPr>
  </w:style>
  <w:style w:type="character" w:customStyle="1" w:styleId="254">
    <w:name w:val="nc-lang-cnt6"/>
    <w:basedOn w:val="49"/>
    <w:qFormat/>
    <w:uiPriority w:val="0"/>
    <w:rPr>
      <w:rtl/>
    </w:rPr>
  </w:style>
  <w:style w:type="character" w:customStyle="1" w:styleId="255">
    <w:name w:val="strength-txt"/>
    <w:basedOn w:val="49"/>
    <w:qFormat/>
    <w:uiPriority w:val="0"/>
  </w:style>
  <w:style w:type="character" w:customStyle="1" w:styleId="256">
    <w:name w:val="meter-bar"/>
    <w:basedOn w:val="49"/>
    <w:qFormat/>
    <w:uiPriority w:val="0"/>
  </w:style>
  <w:style w:type="character" w:customStyle="1" w:styleId="257">
    <w:name w:val="close6"/>
    <w:basedOn w:val="49"/>
    <w:qFormat/>
    <w:uiPriority w:val="0"/>
  </w:style>
  <w:style w:type="character" w:customStyle="1" w:styleId="258">
    <w:name w:val="price"/>
    <w:basedOn w:val="49"/>
    <w:qFormat/>
    <w:uiPriority w:val="0"/>
    <w:rPr>
      <w:rFonts w:ascii="微软雅黑" w:hAnsi="微软雅黑" w:eastAsia="微软雅黑" w:cs="微软雅黑"/>
      <w:b/>
      <w:color w:val="FF5A00"/>
      <w:sz w:val="33"/>
      <w:szCs w:val="33"/>
    </w:rPr>
  </w:style>
  <w:style w:type="character" w:customStyle="1" w:styleId="259">
    <w:name w:val="icon-qq"/>
    <w:basedOn w:val="49"/>
    <w:qFormat/>
    <w:uiPriority w:val="0"/>
  </w:style>
  <w:style w:type="character" w:customStyle="1" w:styleId="260">
    <w:name w:val="v-qiye"/>
    <w:basedOn w:val="49"/>
    <w:qFormat/>
    <w:uiPriority w:val="0"/>
  </w:style>
  <w:style w:type="character" w:customStyle="1" w:styleId="261">
    <w:name w:val="first-child1"/>
    <w:basedOn w:val="49"/>
    <w:qFormat/>
    <w:uiPriority w:val="0"/>
    <w:rPr>
      <w:color w:val="333333"/>
      <w:spacing w:val="75"/>
      <w:sz w:val="21"/>
      <w:szCs w:val="21"/>
    </w:rPr>
  </w:style>
  <w:style w:type="character" w:customStyle="1" w:styleId="262">
    <w:name w:val="v-geren"/>
    <w:basedOn w:val="49"/>
    <w:qFormat/>
    <w:uiPriority w:val="0"/>
  </w:style>
  <w:style w:type="character" w:customStyle="1" w:styleId="263">
    <w:name w:val="day"/>
    <w:basedOn w:val="49"/>
    <w:qFormat/>
    <w:uiPriority w:val="0"/>
    <w:rPr>
      <w:sz w:val="18"/>
      <w:szCs w:val="18"/>
    </w:rPr>
  </w:style>
  <w:style w:type="character" w:customStyle="1" w:styleId="264">
    <w:name w:val="dianpingtip"/>
    <w:basedOn w:val="49"/>
    <w:qFormat/>
    <w:uiPriority w:val="0"/>
  </w:style>
  <w:style w:type="character" w:customStyle="1" w:styleId="265">
    <w:name w:val="before"/>
    <w:basedOn w:val="49"/>
    <w:qFormat/>
    <w:uiPriority w:val="0"/>
  </w:style>
  <w:style w:type="character" w:customStyle="1" w:styleId="266">
    <w:name w:val="first-child"/>
    <w:basedOn w:val="49"/>
    <w:qFormat/>
    <w:uiPriority w:val="0"/>
    <w:rPr>
      <w:color w:val="333333"/>
      <w:spacing w:val="75"/>
      <w:sz w:val="21"/>
      <w:szCs w:val="21"/>
    </w:rPr>
  </w:style>
  <w:style w:type="character" w:customStyle="1" w:styleId="267">
    <w:name w:val="font31"/>
    <w:basedOn w:val="49"/>
    <w:qFormat/>
    <w:uiPriority w:val="0"/>
    <w:rPr>
      <w:rFonts w:hint="default" w:ascii="Times New Roman" w:hAnsi="Times New Roman" w:cs="Times New Roman"/>
      <w:color w:val="000000"/>
      <w:sz w:val="21"/>
      <w:szCs w:val="21"/>
      <w:u w:val="none"/>
    </w:rPr>
  </w:style>
  <w:style w:type="character" w:customStyle="1" w:styleId="268">
    <w:name w:val="font41"/>
    <w:basedOn w:val="49"/>
    <w:qFormat/>
    <w:uiPriority w:val="0"/>
    <w:rPr>
      <w:rFonts w:hint="eastAsia" w:ascii="宋体" w:hAnsi="宋体" w:eastAsia="宋体"/>
      <w:color w:val="000000"/>
      <w:sz w:val="21"/>
      <w:szCs w:val="21"/>
      <w:u w:val="none"/>
    </w:rPr>
  </w:style>
  <w:style w:type="paragraph" w:customStyle="1" w:styleId="269">
    <w:name w:val="标题4 1.1.1.1"/>
    <w:basedOn w:val="1"/>
    <w:next w:val="1"/>
    <w:qFormat/>
    <w:uiPriority w:val="0"/>
    <w:pPr>
      <w:widowControl/>
      <w:spacing w:line="480" w:lineRule="exact"/>
      <w:jc w:val="left"/>
      <w:outlineLvl w:val="3"/>
    </w:pPr>
    <w:rPr>
      <w:b/>
      <w:bCs/>
      <w:sz w:val="24"/>
      <w:szCs w:val="24"/>
    </w:rPr>
  </w:style>
  <w:style w:type="character" w:customStyle="1" w:styleId="270">
    <w:name w:val="15"/>
    <w:basedOn w:val="49"/>
    <w:qFormat/>
    <w:uiPriority w:val="0"/>
    <w:rPr>
      <w:rFonts w:hint="eastAsia" w:ascii="宋体" w:hAnsi="宋体" w:eastAsia="宋体"/>
      <w:color w:val="000000"/>
      <w:sz w:val="22"/>
      <w:szCs w:val="22"/>
    </w:rPr>
  </w:style>
  <w:style w:type="character" w:customStyle="1" w:styleId="271">
    <w:name w:val="16"/>
    <w:basedOn w:val="49"/>
    <w:qFormat/>
    <w:uiPriority w:val="0"/>
    <w:rPr>
      <w:rFonts w:hint="default" w:ascii="Times New Roman" w:hAnsi="Times New Roman" w:cs="Times New Roman"/>
      <w:color w:val="000000"/>
      <w:sz w:val="20"/>
      <w:szCs w:val="20"/>
    </w:rPr>
  </w:style>
  <w:style w:type="character" w:customStyle="1" w:styleId="272">
    <w:name w:val="17"/>
    <w:basedOn w:val="49"/>
    <w:qFormat/>
    <w:uiPriority w:val="0"/>
    <w:rPr>
      <w:rFonts w:hint="eastAsia" w:ascii="宋体" w:hAnsi="宋体" w:eastAsia="宋体"/>
      <w:color w:val="000000"/>
      <w:sz w:val="22"/>
      <w:szCs w:val="22"/>
    </w:rPr>
  </w:style>
  <w:style w:type="character" w:customStyle="1" w:styleId="273">
    <w:name w:val="18"/>
    <w:basedOn w:val="49"/>
    <w:qFormat/>
    <w:uiPriority w:val="0"/>
    <w:rPr>
      <w:rFonts w:hint="eastAsia" w:ascii="宋体" w:hAnsi="宋体" w:eastAsia="宋体"/>
      <w:color w:val="000000"/>
      <w:sz w:val="20"/>
      <w:szCs w:val="20"/>
    </w:rPr>
  </w:style>
  <w:style w:type="paragraph" w:customStyle="1" w:styleId="274">
    <w:name w:val="正文999"/>
    <w:basedOn w:val="1"/>
    <w:semiHidden/>
    <w:qFormat/>
    <w:uiPriority w:val="0"/>
    <w:pPr>
      <w:spacing w:line="360" w:lineRule="auto"/>
      <w:ind w:firstLine="480" w:firstLineChars="200"/>
    </w:pPr>
    <w:rPr>
      <w:rFonts w:ascii="宋体" w:hAnsi="宋体" w:cs="宋体"/>
      <w:sz w:val="24"/>
      <w:szCs w:val="24"/>
    </w:rPr>
  </w:style>
  <w:style w:type="paragraph" w:customStyle="1" w:styleId="275">
    <w:name w:val="深泽表头"/>
    <w:basedOn w:val="3"/>
    <w:qFormat/>
    <w:uiPriority w:val="0"/>
    <w:pPr>
      <w:spacing w:before="120" w:after="100" w:afterAutospacing="1" w:line="440" w:lineRule="exact"/>
      <w:ind w:firstLine="0"/>
      <w:jc w:val="center"/>
    </w:pPr>
    <w:rPr>
      <w:rFonts w:ascii="Times New Roman"/>
      <w:b/>
      <w:bCs/>
      <w:spacing w:val="4"/>
      <w:sz w:val="21"/>
      <w:szCs w:val="21"/>
    </w:rPr>
  </w:style>
  <w:style w:type="character" w:customStyle="1" w:styleId="276">
    <w:name w:val="fontborder"/>
    <w:basedOn w:val="49"/>
    <w:qFormat/>
    <w:uiPriority w:val="0"/>
    <w:rPr>
      <w:bdr w:val="single" w:color="000000" w:sz="6" w:space="0"/>
    </w:rPr>
  </w:style>
  <w:style w:type="character" w:customStyle="1" w:styleId="277">
    <w:name w:val="fontstrikethrough"/>
    <w:basedOn w:val="49"/>
    <w:qFormat/>
    <w:uiPriority w:val="0"/>
    <w:rPr>
      <w:strike/>
    </w:rPr>
  </w:style>
  <w:style w:type="character" w:customStyle="1" w:styleId="278">
    <w:name w:val="normal1"/>
    <w:basedOn w:val="49"/>
    <w:qFormat/>
    <w:uiPriority w:val="0"/>
    <w:rPr>
      <w:b/>
      <w:sz w:val="19"/>
      <w:szCs w:val="19"/>
    </w:rPr>
  </w:style>
  <w:style w:type="character" w:customStyle="1" w:styleId="279">
    <w:name w:val="标题4 字符"/>
    <w:basedOn w:val="101"/>
    <w:link w:val="10"/>
    <w:qFormat/>
    <w:uiPriority w:val="0"/>
    <w:rPr>
      <w:rFonts w:ascii="Times New Roman" w:hAnsi="Times New Roman"/>
      <w:kern w:val="2"/>
      <w:sz w:val="24"/>
      <w:szCs w:val="24"/>
    </w:rPr>
  </w:style>
  <w:style w:type="paragraph" w:customStyle="1" w:styleId="280">
    <w:name w:val="表格1"/>
    <w:basedOn w:val="1"/>
    <w:qFormat/>
    <w:uiPriority w:val="0"/>
    <w:pPr>
      <w:jc w:val="left"/>
    </w:pPr>
    <w:rPr>
      <w:kern w:val="0"/>
      <w:sz w:val="22"/>
      <w:szCs w:val="24"/>
      <w:lang w:eastAsia="en-US"/>
    </w:rPr>
  </w:style>
  <w:style w:type="paragraph" w:customStyle="1" w:styleId="281">
    <w:name w:val="Table Paragraph"/>
    <w:basedOn w:val="1"/>
    <w:qFormat/>
    <w:uiPriority w:val="1"/>
    <w:pPr>
      <w:autoSpaceDE w:val="0"/>
      <w:autoSpaceDN w:val="0"/>
      <w:adjustRightInd w:val="0"/>
      <w:jc w:val="left"/>
    </w:pPr>
    <w:rPr>
      <w:kern w:val="0"/>
      <w:sz w:val="24"/>
      <w:szCs w:val="24"/>
    </w:rPr>
  </w:style>
  <w:style w:type="character" w:customStyle="1" w:styleId="282">
    <w:name w:val="样式 样式 样式 样式 正文 + 首行缩进:  2 字符 + 首行缩进:  2 字符 + 首行缩进:  2 字符 + Char"/>
    <w:link w:val="283"/>
    <w:qFormat/>
    <w:uiPriority w:val="0"/>
    <w:rPr>
      <w:rFonts w:ascii="宋体" w:hAnsi="宋体" w:cs="宋体"/>
      <w:sz w:val="24"/>
    </w:rPr>
  </w:style>
  <w:style w:type="paragraph" w:customStyle="1" w:styleId="283">
    <w:name w:val="样式 样式 样式 样式 正文 + 首行缩进:  2 字符 + 首行缩进:  2 字符 + 首行缩进:  2 字符 +"/>
    <w:basedOn w:val="1"/>
    <w:link w:val="282"/>
    <w:qFormat/>
    <w:uiPriority w:val="0"/>
    <w:pPr>
      <w:ind w:firstLine="200" w:firstLineChars="200"/>
    </w:pPr>
    <w:rPr>
      <w:rFonts w:ascii="宋体" w:hAnsi="宋体" w:cs="宋体"/>
      <w:kern w:val="0"/>
      <w:sz w:val="24"/>
    </w:rPr>
  </w:style>
  <w:style w:type="paragraph" w:customStyle="1" w:styleId="284">
    <w:name w:val="报告正文"/>
    <w:basedOn w:val="1"/>
    <w:qFormat/>
    <w:uiPriority w:val="0"/>
    <w:pPr>
      <w:adjustRightInd w:val="0"/>
      <w:snapToGrid w:val="0"/>
      <w:spacing w:line="480" w:lineRule="atLeast"/>
      <w:ind w:firstLine="480" w:firstLineChars="200"/>
      <w:jc w:val="left"/>
    </w:pPr>
    <w:rPr>
      <w:rFonts w:cs="宋体"/>
      <w:sz w:val="24"/>
    </w:rPr>
  </w:style>
  <w:style w:type="character" w:customStyle="1" w:styleId="285">
    <w:name w:val="apple-converted-space"/>
    <w:basedOn w:val="49"/>
    <w:qFormat/>
    <w:uiPriority w:val="0"/>
  </w:style>
  <w:style w:type="paragraph" w:customStyle="1" w:styleId="286">
    <w:name w:val="宋体 13 磅 行距: 固定值 24 磅"/>
    <w:basedOn w:val="1"/>
    <w:qFormat/>
    <w:uiPriority w:val="0"/>
    <w:pPr>
      <w:spacing w:line="480" w:lineRule="exact"/>
      <w:ind w:firstLine="520" w:firstLineChars="200"/>
      <w:jc w:val="left"/>
    </w:pPr>
    <w:rPr>
      <w:rFonts w:ascii="宋体" w:hAnsi="宋体" w:cs="宋体"/>
      <w:sz w:val="26"/>
    </w:rPr>
  </w:style>
  <w:style w:type="character" w:customStyle="1" w:styleId="287">
    <w:name w:val="不明显强调1"/>
    <w:basedOn w:val="49"/>
    <w:qFormat/>
    <w:uiPriority w:val="19"/>
    <w:rPr>
      <w:rFonts w:ascii="Times New Roman" w:hAnsi="Times New Roman" w:eastAsia="宋体"/>
      <w:b/>
      <w:iCs/>
      <w:color w:val="auto"/>
      <w:sz w:val="21"/>
    </w:rPr>
  </w:style>
  <w:style w:type="paragraph" w:customStyle="1" w:styleId="288">
    <w:name w:val="无间隔1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89">
    <w:name w:val="深泽正文"/>
    <w:basedOn w:val="81"/>
    <w:next w:val="29"/>
    <w:qFormat/>
    <w:uiPriority w:val="0"/>
    <w:pPr>
      <w:spacing w:line="440" w:lineRule="exact"/>
      <w:ind w:firstLine="488" w:firstLineChars="200"/>
    </w:pPr>
    <w:rPr>
      <w:spacing w:val="4"/>
      <w:kern w:val="0"/>
      <w:sz w:val="24"/>
      <w:szCs w:val="24"/>
    </w:rPr>
  </w:style>
  <w:style w:type="paragraph" w:customStyle="1" w:styleId="290">
    <w:name w:val="深泽图名"/>
    <w:basedOn w:val="1"/>
    <w:qFormat/>
    <w:uiPriority w:val="0"/>
    <w:pPr>
      <w:spacing w:line="440" w:lineRule="exact"/>
      <w:ind w:firstLine="640" w:firstLineChars="200"/>
      <w:jc w:val="center"/>
    </w:pPr>
    <w:rPr>
      <w:b/>
      <w:sz w:val="24"/>
      <w:szCs w:val="21"/>
    </w:rPr>
  </w:style>
  <w:style w:type="character" w:customStyle="1" w:styleId="291">
    <w:name w:val="spelle"/>
    <w:basedOn w:val="49"/>
    <w:qFormat/>
    <w:uiPriority w:val="0"/>
  </w:style>
  <w:style w:type="paragraph" w:customStyle="1" w:styleId="292">
    <w:name w:val="无间隔12"/>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93">
    <w:name w:val="样式6"/>
    <w:basedOn w:val="1"/>
    <w:next w:val="284"/>
    <w:qFormat/>
    <w:uiPriority w:val="0"/>
    <w:pPr>
      <w:pBdr>
        <w:bottom w:val="thinThickSmallGap" w:color="auto" w:sz="12" w:space="0"/>
      </w:pBdr>
      <w:tabs>
        <w:tab w:val="center" w:pos="4153"/>
        <w:tab w:val="right" w:pos="8306"/>
      </w:tabs>
      <w:snapToGrid w:val="0"/>
      <w:jc w:val="left"/>
    </w:pPr>
    <w:rPr>
      <w:sz w:val="18"/>
      <w:szCs w:val="18"/>
    </w:rPr>
  </w:style>
  <w:style w:type="paragraph" w:customStyle="1" w:styleId="294">
    <w:name w:val="正文小四"/>
    <w:basedOn w:val="1"/>
    <w:qFormat/>
    <w:uiPriority w:val="0"/>
    <w:pPr>
      <w:spacing w:line="360" w:lineRule="auto"/>
      <w:ind w:firstLine="200" w:firstLineChars="200"/>
      <w:jc w:val="left"/>
    </w:pPr>
    <w:rPr>
      <w:sz w:val="24"/>
      <w:szCs w:val="24"/>
    </w:rPr>
  </w:style>
  <w:style w:type="paragraph" w:customStyle="1" w:styleId="295">
    <w:name w:val="样式 居中4"/>
    <w:basedOn w:val="1"/>
    <w:qFormat/>
    <w:uiPriority w:val="0"/>
    <w:pPr>
      <w:spacing w:line="300" w:lineRule="auto"/>
      <w:ind w:firstLine="640" w:firstLineChars="200"/>
      <w:jc w:val="center"/>
    </w:pPr>
    <w:rPr>
      <w:rFonts w:cs="宋体"/>
      <w:sz w:val="24"/>
    </w:rPr>
  </w:style>
  <w:style w:type="paragraph" w:customStyle="1" w:styleId="296">
    <w:name w:val="无间隔2"/>
    <w:qFormat/>
    <w:uiPriority w:val="1"/>
    <w:pPr>
      <w:widowControl w:val="0"/>
      <w:jc w:val="both"/>
    </w:pPr>
    <w:rPr>
      <w:rFonts w:ascii="Times New Roman" w:hAnsi="Times New Roman" w:eastAsia="宋体" w:cstheme="minorBidi"/>
      <w:kern w:val="2"/>
      <w:sz w:val="21"/>
      <w:szCs w:val="22"/>
      <w:lang w:val="en-US" w:eastAsia="zh-CN" w:bidi="ar-SA"/>
    </w:rPr>
  </w:style>
  <w:style w:type="character" w:customStyle="1" w:styleId="297">
    <w:name w:val="t-left"/>
    <w:basedOn w:val="49"/>
    <w:qFormat/>
    <w:uiPriority w:val="0"/>
    <w:rPr>
      <w:shd w:val="clear" w:color="auto" w:fill="008BF5"/>
    </w:rPr>
  </w:style>
  <w:style w:type="character" w:customStyle="1" w:styleId="298">
    <w:name w:val="w148"/>
    <w:basedOn w:val="49"/>
    <w:qFormat/>
    <w:uiPriority w:val="0"/>
  </w:style>
  <w:style w:type="character" w:customStyle="1" w:styleId="299">
    <w:name w:val="fr2"/>
    <w:basedOn w:val="49"/>
    <w:qFormat/>
    <w:uiPriority w:val="0"/>
    <w:rPr>
      <w:sz w:val="18"/>
      <w:szCs w:val="18"/>
    </w:rPr>
  </w:style>
  <w:style w:type="character" w:customStyle="1" w:styleId="300">
    <w:name w:val="fr3"/>
    <w:basedOn w:val="49"/>
    <w:qFormat/>
    <w:uiPriority w:val="0"/>
    <w:rPr>
      <w:sz w:val="18"/>
      <w:szCs w:val="18"/>
    </w:rPr>
  </w:style>
  <w:style w:type="character" w:customStyle="1" w:styleId="301">
    <w:name w:val="page-prev"/>
    <w:basedOn w:val="49"/>
    <w:qFormat/>
    <w:uiPriority w:val="0"/>
    <w:rPr>
      <w:bdr w:val="single" w:color="E3E3E3" w:sz="6" w:space="0"/>
    </w:rPr>
  </w:style>
  <w:style w:type="character" w:customStyle="1" w:styleId="302">
    <w:name w:val="page-n"/>
    <w:basedOn w:val="49"/>
    <w:qFormat/>
    <w:uiPriority w:val="0"/>
    <w:rPr>
      <w:bdr w:val="single" w:color="E3E3E3" w:sz="6" w:space="0"/>
    </w:rPr>
  </w:style>
  <w:style w:type="character" w:customStyle="1" w:styleId="303">
    <w:name w:val="page_next"/>
    <w:basedOn w:val="49"/>
    <w:qFormat/>
    <w:uiPriority w:val="0"/>
  </w:style>
  <w:style w:type="character" w:customStyle="1" w:styleId="304">
    <w:name w:val="page_prev"/>
    <w:basedOn w:val="49"/>
    <w:qFormat/>
    <w:uiPriority w:val="0"/>
  </w:style>
  <w:style w:type="character" w:customStyle="1" w:styleId="305">
    <w:name w:val="page-cur"/>
    <w:basedOn w:val="49"/>
    <w:qFormat/>
    <w:uiPriority w:val="0"/>
    <w:rPr>
      <w:color w:val="FFFFFF"/>
      <w:bdr w:val="single" w:color="D83536" w:sz="6" w:space="0"/>
      <w:shd w:val="clear" w:color="auto" w:fill="ED494A"/>
    </w:rPr>
  </w:style>
  <w:style w:type="character" w:customStyle="1" w:styleId="306">
    <w:name w:val="total"/>
    <w:basedOn w:val="49"/>
    <w:qFormat/>
    <w:uiPriority w:val="0"/>
  </w:style>
  <w:style w:type="character" w:customStyle="1" w:styleId="307">
    <w:name w:val="telleft"/>
    <w:basedOn w:val="49"/>
    <w:qFormat/>
    <w:uiPriority w:val="0"/>
  </w:style>
  <w:style w:type="character" w:customStyle="1" w:styleId="308">
    <w:name w:val="fl2"/>
    <w:basedOn w:val="49"/>
    <w:qFormat/>
    <w:uiPriority w:val="0"/>
    <w:rPr>
      <w:bdr w:val="single" w:color="018BF6" w:sz="18" w:space="0"/>
    </w:rPr>
  </w:style>
  <w:style w:type="character" w:customStyle="1" w:styleId="309">
    <w:name w:val="g-more"/>
    <w:basedOn w:val="49"/>
    <w:qFormat/>
    <w:uiPriority w:val="0"/>
    <w:rPr>
      <w:sz w:val="18"/>
      <w:szCs w:val="18"/>
    </w:rPr>
  </w:style>
  <w:style w:type="character" w:customStyle="1" w:styleId="310">
    <w:name w:val="hover33"/>
    <w:basedOn w:val="49"/>
    <w:qFormat/>
    <w:uiPriority w:val="0"/>
    <w:rPr>
      <w:color w:val="EE2E2C"/>
    </w:rPr>
  </w:style>
  <w:style w:type="character" w:customStyle="1" w:styleId="311">
    <w:name w:val="border-none"/>
    <w:basedOn w:val="49"/>
    <w:qFormat/>
    <w:uiPriority w:val="0"/>
  </w:style>
  <w:style w:type="character" w:customStyle="1" w:styleId="312">
    <w:name w:val="required"/>
    <w:basedOn w:val="49"/>
    <w:qFormat/>
    <w:uiPriority w:val="0"/>
    <w:rPr>
      <w:color w:val="FF0000"/>
    </w:rPr>
  </w:style>
  <w:style w:type="character" w:customStyle="1" w:styleId="313">
    <w:name w:val="codeimgnew"/>
    <w:basedOn w:val="49"/>
    <w:qFormat/>
    <w:uiPriority w:val="0"/>
  </w:style>
  <w:style w:type="paragraph" w:customStyle="1" w:styleId="314">
    <w:name w:val="报告书正文"/>
    <w:basedOn w:val="1"/>
    <w:qFormat/>
    <w:uiPriority w:val="0"/>
    <w:pPr>
      <w:spacing w:line="400" w:lineRule="exact"/>
      <w:ind w:firstLine="200" w:firstLineChars="200"/>
    </w:pPr>
    <w:rPr>
      <w:sz w:val="24"/>
      <w:szCs w:val="24"/>
    </w:rPr>
  </w:style>
  <w:style w:type="character" w:customStyle="1" w:styleId="315">
    <w:name w:val="XX表格居中 Char"/>
    <w:link w:val="83"/>
    <w:qFormat/>
    <w:locked/>
    <w:uiPriority w:val="0"/>
    <w:rPr>
      <w:rFonts w:ascii="Times New Roman" w:hAnsi="Times New Roman"/>
      <w:color w:val="000000"/>
      <w:kern w:val="21"/>
      <w:sz w:val="22"/>
    </w:rPr>
  </w:style>
  <w:style w:type="table" w:customStyle="1" w:styleId="316">
    <w:name w:val="111"/>
    <w:basedOn w:val="47"/>
    <w:qFormat/>
    <w:uiPriority w:val="0"/>
    <w:pPr>
      <w:jc w:val="center"/>
    </w:pPr>
    <w:rPr>
      <w:rFonts w:ascii="Times New Roman" w:hAnsi="Times New Roman"/>
      <w:kern w:val="2"/>
      <w:sz w:val="21"/>
      <w:szCs w:val="21"/>
    </w:r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0" w:type="dxa"/>
        <w:right w:w="0" w:type="dxa"/>
      </w:tblCellMar>
    </w:tblPr>
    <w:tcPr>
      <w:vAlign w:val="center"/>
    </w:tcPr>
  </w:style>
  <w:style w:type="table" w:customStyle="1" w:styleId="317">
    <w:name w:val="网格型4"/>
    <w:basedOn w:val="47"/>
    <w:qFormat/>
    <w:uiPriority w:val="0"/>
    <w:rPr>
      <w:rFonts w:ascii="等线" w:hAnsi="等线" w:eastAsia="等线"/>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18">
    <w:name w:val="无间隔3"/>
    <w:qFormat/>
    <w:uiPriority w:val="0"/>
    <w:pPr>
      <w:spacing w:line="360" w:lineRule="exact"/>
      <w:jc w:val="center"/>
    </w:pPr>
    <w:rPr>
      <w:rFonts w:ascii="Calibri" w:hAnsi="Calibri" w:eastAsia="Times New Roman" w:cs="Times New Roman"/>
      <w:sz w:val="21"/>
      <w:szCs w:val="22"/>
      <w:lang w:val="en-US" w:eastAsia="zh-CN" w:bidi="ar-SA"/>
    </w:rPr>
  </w:style>
  <w:style w:type="paragraph" w:customStyle="1" w:styleId="319">
    <w:name w:val="表格&amp;图标题"/>
    <w:basedOn w:val="1"/>
    <w:link w:val="329"/>
    <w:qFormat/>
    <w:uiPriority w:val="0"/>
    <w:pPr>
      <w:spacing w:line="360" w:lineRule="auto"/>
      <w:jc w:val="center"/>
    </w:pPr>
    <w:rPr>
      <w:b/>
      <w:sz w:val="24"/>
    </w:rPr>
  </w:style>
  <w:style w:type="table" w:customStyle="1" w:styleId="320">
    <w:name w:val="网格型（pxg）1"/>
    <w:basedOn w:val="4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
    <w:name w:val="1111"/>
    <w:basedOn w:val="47"/>
    <w:qFormat/>
    <w:uiPriority w:val="0"/>
    <w:pPr>
      <w:jc w:val="center"/>
    </w:pPr>
    <w:rPr>
      <w:rFonts w:ascii="Times New Roman" w:hAnsi="Times New Roman"/>
      <w:kern w:val="2"/>
      <w:sz w:val="21"/>
      <w:szCs w:val="21"/>
    </w:r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0" w:type="dxa"/>
        <w:right w:w="0" w:type="dxa"/>
      </w:tblCellMar>
    </w:tblPr>
    <w:tcPr>
      <w:vAlign w:val="center"/>
    </w:tcPr>
  </w:style>
  <w:style w:type="table" w:customStyle="1" w:styleId="322">
    <w:name w:val="网格型41"/>
    <w:basedOn w:val="47"/>
    <w:qFormat/>
    <w:uiPriority w:val="0"/>
    <w:rPr>
      <w:rFonts w:ascii="等线" w:hAnsi="等线" w:eastAsia="等线"/>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23">
    <w:name w:val="表&amp;图头"/>
    <w:basedOn w:val="1"/>
    <w:link w:val="324"/>
    <w:qFormat/>
    <w:uiPriority w:val="0"/>
    <w:pPr>
      <w:spacing w:line="360" w:lineRule="auto"/>
      <w:jc w:val="center"/>
    </w:pPr>
    <w:rPr>
      <w:b/>
      <w:color w:val="000000" w:themeColor="text1"/>
      <w:sz w:val="24"/>
      <w:szCs w:val="22"/>
    </w:rPr>
  </w:style>
  <w:style w:type="character" w:customStyle="1" w:styleId="324">
    <w:name w:val="表&amp;图头 字符"/>
    <w:basedOn w:val="49"/>
    <w:link w:val="323"/>
    <w:qFormat/>
    <w:uiPriority w:val="0"/>
    <w:rPr>
      <w:rFonts w:ascii="Times New Roman" w:hAnsi="Times New Roman"/>
      <w:b/>
      <w:color w:val="000000" w:themeColor="text1"/>
      <w:kern w:val="2"/>
      <w:sz w:val="24"/>
      <w:szCs w:val="22"/>
    </w:rPr>
  </w:style>
  <w:style w:type="table" w:customStyle="1" w:styleId="325">
    <w:name w:val="标准样式"/>
    <w:basedOn w:val="47"/>
    <w:qFormat/>
    <w:uiPriority w:val="99"/>
    <w:pPr>
      <w:jc w:val="center"/>
    </w:pPr>
    <w:rPr>
      <w:rFonts w:ascii="Times New Roman" w:hAnsi="Times New Roman"/>
      <w:color w:val="000000" w:themeColor="text1"/>
      <w:sz w:val="21"/>
    </w:r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left w:w="57" w:type="dxa"/>
        <w:right w:w="57" w:type="dxa"/>
      </w:tblCellMar>
    </w:tblPr>
    <w:tcPr>
      <w:shd w:val="clear" w:color="auto" w:fill="auto"/>
      <w:vAlign w:val="center"/>
    </w:tcPr>
  </w:style>
  <w:style w:type="character" w:customStyle="1" w:styleId="326">
    <w:name w:val="脚注文本 字符1"/>
    <w:link w:val="35"/>
    <w:qFormat/>
    <w:uiPriority w:val="0"/>
    <w:rPr>
      <w:rFonts w:ascii="宋体"/>
      <w:sz w:val="24"/>
    </w:rPr>
  </w:style>
  <w:style w:type="character" w:customStyle="1" w:styleId="327">
    <w:name w:val="脚注文本 字符"/>
    <w:basedOn w:val="49"/>
    <w:semiHidden/>
    <w:qFormat/>
    <w:uiPriority w:val="99"/>
    <w:rPr>
      <w:rFonts w:ascii="Times New Roman" w:hAnsi="Times New Roman"/>
      <w:kern w:val="2"/>
      <w:sz w:val="18"/>
      <w:szCs w:val="18"/>
    </w:rPr>
  </w:style>
  <w:style w:type="character" w:customStyle="1" w:styleId="328">
    <w:name w:val="font01"/>
    <w:basedOn w:val="49"/>
    <w:qFormat/>
    <w:uiPriority w:val="0"/>
    <w:rPr>
      <w:rFonts w:hint="default" w:ascii="Times New Roman" w:hAnsi="Times New Roman" w:cs="Times New Roman"/>
      <w:color w:val="FF0000"/>
      <w:sz w:val="20"/>
      <w:szCs w:val="20"/>
      <w:u w:val="none"/>
    </w:rPr>
  </w:style>
  <w:style w:type="character" w:customStyle="1" w:styleId="329">
    <w:name w:val="表格&amp;图标题 字符"/>
    <w:link w:val="319"/>
    <w:qFormat/>
    <w:uiPriority w:val="0"/>
    <w:rPr>
      <w:rFonts w:ascii="Times New Roman" w:hAnsi="Times New Roman"/>
      <w:b/>
      <w:kern w:val="2"/>
      <w:sz w:val="24"/>
    </w:rPr>
  </w:style>
  <w:style w:type="character" w:customStyle="1" w:styleId="330">
    <w:name w:val="正文首行缩进 2 字符"/>
    <w:basedOn w:val="113"/>
    <w:link w:val="2"/>
    <w:semiHidden/>
    <w:qFormat/>
    <w:uiPriority w:val="99"/>
    <w:rPr>
      <w:rFonts w:ascii="Times New Roman" w:hAnsi="Times New Roman"/>
      <w:kern w:val="2"/>
      <w:sz w:val="21"/>
    </w:rPr>
  </w:style>
  <w:style w:type="table" w:customStyle="1" w:styleId="331">
    <w:name w:val="默认"/>
    <w:basedOn w:val="47"/>
    <w:qFormat/>
    <w:uiPriority w:val="99"/>
    <w:rPr>
      <w:rFonts w:ascii="Times New Roman" w:hAnsi="Times New Roman"/>
      <w:kern w:val="2"/>
      <w:sz w:val="24"/>
      <w:szCs w:val="28"/>
    </w:rPr>
    <w:tblPr>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
    <w:trPr>
      <w:jc w:val="center"/>
    </w:trPr>
    <w:tcPr>
      <w:vAlign w:val="center"/>
    </w:tcPr>
  </w:style>
  <w:style w:type="paragraph" w:customStyle="1" w:styleId="332">
    <w:name w:val="表格正文"/>
    <w:basedOn w:val="1"/>
    <w:next w:val="11"/>
    <w:qFormat/>
    <w:uiPriority w:val="0"/>
    <w:pPr>
      <w:spacing w:line="320" w:lineRule="exact"/>
      <w:jc w:val="center"/>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3.bin"/><Relationship Id="rId15" Type="http://schemas.openxmlformats.org/officeDocument/2006/relationships/image" Target="media/image8.wmf"/><Relationship Id="rId14" Type="http://schemas.openxmlformats.org/officeDocument/2006/relationships/oleObject" Target="embeddings/oleObject2.bin"/><Relationship Id="rId13" Type="http://schemas.openxmlformats.org/officeDocument/2006/relationships/image" Target="media/image7.png"/><Relationship Id="rId12" Type="http://schemas.openxmlformats.org/officeDocument/2006/relationships/image" Target="media/image6.emf"/><Relationship Id="rId11" Type="http://schemas.openxmlformats.org/officeDocument/2006/relationships/oleObject" Target="embeddings/oleObject1.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textRotate="1"/>
    <customShpInfo spid="_x0000_s3074" textRotate="1"/>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100"/>
    <customShpInfo spid="_x0000_s2101"/>
    <customShpInfo spid="_x0000_s2102"/>
    <customShpInfo spid="_x0000_s2103"/>
    <customShpInfo spid="_x0000_s2104"/>
    <customShpInfo spid="_x0000_s2105"/>
    <customShpInfo spid="_x0000_s2099"/>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050"/>
    <customShpInfo spid="_x0000_s2117"/>
    <customShpInfo spid="_x0000_s2118"/>
    <customShpInfo spid="_x0000_s2119"/>
    <customShpInfo spid="_x0000_s2129"/>
    <customShpInfo spid="_x0000_s2130"/>
    <customShpInfo spid="_x0000_s2131"/>
    <customShpInfo spid="_x0000_s212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91D513-3DF4-4B50-95F3-FA7EC719FB0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82</Pages>
  <Words>8453</Words>
  <Characters>48185</Characters>
  <Lines>401</Lines>
  <Paragraphs>113</Paragraphs>
  <TotalTime>5</TotalTime>
  <ScaleCrop>false</ScaleCrop>
  <LinksUpToDate>false</LinksUpToDate>
  <CharactersWithSpaces>56525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2019-09-03T06:34:00Z</dcterms:created>
  <dc:creator>John</dc:creator>
  <cp:lastModifiedBy>嗯啊，是的</cp:lastModifiedBy>
  <cp:lastPrinted>2019-09-10T02:24:00Z</cp:lastPrinted>
  <dcterms:modified xsi:type="dcterms:W3CDTF">2020-10-12T09:01:46Z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