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方正小标宋简体" w:hAnsi="方正小标宋简体" w:eastAsia="方正小标宋简体" w:cs="方正小标宋简体"/>
          <w:b w:val="0"/>
          <w:bCs/>
          <w:i w:val="0"/>
          <w:caps w:val="0"/>
          <w:color w:val="333333"/>
          <w:spacing w:val="0"/>
          <w:sz w:val="44"/>
          <w:szCs w:val="44"/>
          <w:shd w:val="clear" w:color="auto" w:fill="FFFFFF"/>
          <w:lang w:eastAsia="zh-CN"/>
        </w:rPr>
      </w:pPr>
      <w:r>
        <w:rPr>
          <w:rFonts w:hint="eastAsia" w:ascii="方正小标宋简体" w:hAnsi="方正小标宋简体" w:eastAsia="方正小标宋简体" w:cs="方正小标宋简体"/>
          <w:b w:val="0"/>
          <w:bCs/>
          <w:i w:val="0"/>
          <w:caps w:val="0"/>
          <w:color w:val="333333"/>
          <w:spacing w:val="0"/>
          <w:sz w:val="44"/>
          <w:szCs w:val="44"/>
          <w:shd w:val="clear" w:color="auto" w:fill="FFFFFF"/>
          <w:lang w:eastAsia="zh-CN"/>
        </w:rPr>
        <w:t>威县</w:t>
      </w:r>
      <w:r>
        <w:rPr>
          <w:rFonts w:hint="eastAsia" w:ascii="方正小标宋简体" w:hAnsi="方正小标宋简体" w:eastAsia="方正小标宋简体" w:cs="方正小标宋简体"/>
          <w:b w:val="0"/>
          <w:bCs/>
          <w:i w:val="0"/>
          <w:caps w:val="0"/>
          <w:color w:val="333333"/>
          <w:spacing w:val="0"/>
          <w:sz w:val="44"/>
          <w:szCs w:val="44"/>
          <w:shd w:val="clear" w:color="auto" w:fill="FFFFFF"/>
        </w:rPr>
        <w:t>人民政府</w:t>
      </w:r>
      <w:r>
        <w:rPr>
          <w:rFonts w:hint="eastAsia" w:ascii="方正小标宋简体" w:hAnsi="方正小标宋简体" w:eastAsia="方正小标宋简体" w:cs="方正小标宋简体"/>
          <w:b w:val="0"/>
          <w:bCs/>
          <w:i w:val="0"/>
          <w:caps w:val="0"/>
          <w:color w:val="333333"/>
          <w:spacing w:val="0"/>
          <w:sz w:val="44"/>
          <w:szCs w:val="44"/>
          <w:shd w:val="clear" w:color="auto" w:fill="FFFFFF"/>
          <w:lang w:eastAsia="zh-CN"/>
        </w:rPr>
        <w:t>办公室</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方正小标宋简体" w:hAnsi="方正小标宋简体" w:eastAsia="方正小标宋简体" w:cs="方正小标宋简体"/>
          <w:b w:val="0"/>
          <w:bCs/>
          <w:i w:val="0"/>
          <w:caps w:val="0"/>
          <w:color w:val="333333"/>
          <w:spacing w:val="0"/>
          <w:sz w:val="44"/>
          <w:szCs w:val="44"/>
          <w:shd w:val="clear" w:color="auto" w:fill="FFFFFF"/>
        </w:rPr>
      </w:pPr>
      <w:r>
        <w:rPr>
          <w:rFonts w:hint="eastAsia" w:ascii="方正小标宋简体" w:hAnsi="方正小标宋简体" w:eastAsia="方正小标宋简体" w:cs="方正小标宋简体"/>
          <w:b w:val="0"/>
          <w:bCs/>
          <w:i w:val="0"/>
          <w:caps w:val="0"/>
          <w:color w:val="333333"/>
          <w:spacing w:val="0"/>
          <w:sz w:val="44"/>
          <w:szCs w:val="44"/>
          <w:shd w:val="clear" w:color="auto" w:fill="FFFFFF"/>
        </w:rPr>
        <w:t>202</w:t>
      </w:r>
      <w:r>
        <w:rPr>
          <w:rFonts w:hint="eastAsia" w:ascii="方正小标宋简体" w:hAnsi="方正小标宋简体" w:eastAsia="方正小标宋简体" w:cs="方正小标宋简体"/>
          <w:b w:val="0"/>
          <w:bCs/>
          <w:i w:val="0"/>
          <w:caps w:val="0"/>
          <w:color w:val="333333"/>
          <w:spacing w:val="0"/>
          <w:sz w:val="44"/>
          <w:szCs w:val="44"/>
          <w:shd w:val="clear" w:color="auto" w:fill="FFFFFF"/>
          <w:lang w:val="en-US" w:eastAsia="zh-CN"/>
        </w:rPr>
        <w:t>3</w:t>
      </w:r>
      <w:r>
        <w:rPr>
          <w:rFonts w:hint="eastAsia" w:ascii="方正小标宋简体" w:hAnsi="方正小标宋简体" w:eastAsia="方正小标宋简体" w:cs="方正小标宋简体"/>
          <w:b w:val="0"/>
          <w:bCs/>
          <w:i w:val="0"/>
          <w:caps w:val="0"/>
          <w:color w:val="333333"/>
          <w:spacing w:val="0"/>
          <w:sz w:val="44"/>
          <w:szCs w:val="44"/>
          <w:shd w:val="clear" w:color="auto" w:fill="FFFFFF"/>
        </w:rPr>
        <w:t>年政府信息公开工作年度报告</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方正小标宋简体" w:hAnsi="方正小标宋简体" w:eastAsia="方正小标宋简体" w:cs="方正小标宋简体"/>
          <w:b w:val="0"/>
          <w:bCs/>
          <w:i w:val="0"/>
          <w:caps w:val="0"/>
          <w:color w:val="333333"/>
          <w:spacing w:val="0"/>
          <w:sz w:val="44"/>
          <w:szCs w:val="44"/>
          <w:shd w:val="clear" w:color="auto" w:fill="FFFFFF"/>
        </w:rPr>
      </w:pPr>
    </w:p>
    <w:p>
      <w:pPr>
        <w:keepNext w:val="0"/>
        <w:keepLines w:val="0"/>
        <w:pageBreakBefore w:val="0"/>
        <w:widowControl w:val="0"/>
        <w:kinsoku/>
        <w:wordWrap/>
        <w:overflowPunct/>
        <w:topLinePunct w:val="0"/>
        <w:autoSpaceDE/>
        <w:autoSpaceDN/>
        <w:bidi w:val="0"/>
        <w:adjustRightInd w:val="0"/>
        <w:snapToGrid/>
        <w:spacing w:beforeAutospacing="0" w:afterAutospacing="0" w:line="560" w:lineRule="exact"/>
        <w:ind w:left="0" w:leftChars="0" w:right="0" w:rightChars="0" w:firstLine="640" w:firstLineChars="200"/>
        <w:jc w:val="both"/>
        <w:textAlignment w:val="auto"/>
        <w:outlineLvl w:val="9"/>
        <w:rPr>
          <w:rFonts w:hint="default" w:ascii="仿宋_GB2312" w:eastAsia="仿宋_GB2312"/>
          <w:color w:val="000000"/>
          <w:sz w:val="32"/>
          <w:szCs w:val="32"/>
          <w:lang w:val="en-US" w:eastAsia="zh-CN" w:bidi="ar"/>
        </w:rPr>
      </w:pPr>
      <w:r>
        <w:rPr>
          <w:rFonts w:hint="eastAsia" w:ascii="仿宋_GB2312" w:eastAsia="仿宋_GB2312" w:cs="Times New Roman"/>
          <w:sz w:val="32"/>
          <w:szCs w:val="32"/>
          <w:lang w:val="en-US" w:eastAsia="zh-CN"/>
        </w:rPr>
        <w:t>威县人民政府办公室根据《中华人民共和国政府信息公开条例》《河北省实施〈中华人民共和国政府信息公开条例〉办法》等规定，发布本年度报告，报告中所列数据统计期限为2023年1月1日至12月31日。</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黑体" w:hAnsi="黑体" w:eastAsia="黑体" w:cs="黑体"/>
          <w:b w:val="0"/>
          <w:bCs/>
          <w:i w:val="0"/>
          <w:caps w:val="0"/>
          <w:color w:val="333333"/>
          <w:spacing w:val="0"/>
          <w:sz w:val="32"/>
          <w:szCs w:val="32"/>
          <w:shd w:val="clear" w:color="auto" w:fill="FFFFFF"/>
        </w:rPr>
      </w:pPr>
      <w:r>
        <w:rPr>
          <w:rFonts w:hint="eastAsia" w:ascii="黑体" w:hAnsi="黑体" w:eastAsia="黑体" w:cs="黑体"/>
          <w:b w:val="0"/>
          <w:bCs/>
          <w:i w:val="0"/>
          <w:caps w:val="0"/>
          <w:color w:val="333333"/>
          <w:spacing w:val="0"/>
          <w:sz w:val="32"/>
          <w:szCs w:val="32"/>
          <w:shd w:val="clear" w:color="auto" w:fill="FFFFFF"/>
        </w:rPr>
        <w:t>一、总体情况</w:t>
      </w:r>
    </w:p>
    <w:p>
      <w:pPr>
        <w:pStyle w:val="5"/>
        <w:keepNext w:val="0"/>
        <w:keepLines w:val="0"/>
        <w:pageBreakBefore w:val="0"/>
        <w:widowControl w:val="0"/>
        <w:kinsoku/>
        <w:wordWrap/>
        <w:overflowPunct/>
        <w:topLinePunct w:val="0"/>
        <w:autoSpaceDE/>
        <w:autoSpaceDN/>
        <w:bidi w:val="0"/>
        <w:snapToGrid/>
        <w:spacing w:beforeAutospacing="0" w:afterAutospacing="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2023年，</w:t>
      </w:r>
      <w:r>
        <w:rPr>
          <w:rFonts w:hint="eastAsia" w:ascii="仿宋_GB2312" w:hAnsi="仿宋_GB2312" w:eastAsia="仿宋_GB2312" w:cs="仿宋_GB2312"/>
          <w:sz w:val="32"/>
          <w:szCs w:val="32"/>
          <w:lang w:eastAsia="zh-CN"/>
        </w:rPr>
        <w:t>县政府办公室坚持</w:t>
      </w:r>
      <w:r>
        <w:rPr>
          <w:rFonts w:hint="eastAsia" w:ascii="仿宋_GB2312" w:hAnsi="仿宋_GB2312" w:eastAsia="仿宋_GB2312" w:cs="仿宋_GB2312"/>
          <w:sz w:val="32"/>
          <w:szCs w:val="32"/>
        </w:rPr>
        <w:t>以习近平新时代中国特色社会主义思想为指导，全面贯彻党的二十大精神，认真贯彻落实《中华人民共和国政府信息公开条例》文件精神及</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委、</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政府</w:t>
      </w:r>
      <w:r>
        <w:rPr>
          <w:rFonts w:hint="eastAsia" w:ascii="仿宋_GB2312" w:hAnsi="仿宋_GB2312" w:eastAsia="仿宋_GB2312" w:cs="仿宋_GB2312"/>
          <w:sz w:val="32"/>
          <w:szCs w:val="32"/>
          <w:lang w:eastAsia="zh-CN"/>
        </w:rPr>
        <w:t>工作</w:t>
      </w:r>
      <w:r>
        <w:rPr>
          <w:rFonts w:hint="eastAsia" w:ascii="仿宋_GB2312" w:hAnsi="仿宋_GB2312" w:eastAsia="仿宋_GB2312" w:cs="仿宋_GB2312"/>
          <w:sz w:val="32"/>
          <w:szCs w:val="32"/>
        </w:rPr>
        <w:t>部署，</w:t>
      </w:r>
      <w:r>
        <w:rPr>
          <w:rFonts w:hint="eastAsia" w:ascii="仿宋_GB2312" w:hAnsi="仿宋_GB2312" w:eastAsia="仿宋_GB2312" w:cs="仿宋_GB2312"/>
          <w:sz w:val="32"/>
          <w:szCs w:val="32"/>
          <w:lang w:val="en-US" w:eastAsia="zh-CN"/>
        </w:rPr>
        <w:t>围绕中心、服务大局，</w:t>
      </w:r>
      <w:r>
        <w:rPr>
          <w:rFonts w:hint="eastAsia" w:ascii="仿宋_GB2312" w:hAnsi="仿宋_GB2312" w:eastAsia="仿宋_GB2312" w:cs="仿宋_GB2312"/>
          <w:sz w:val="32"/>
          <w:szCs w:val="32"/>
        </w:rPr>
        <w:t>聚焦社会公众关切，不断提升政务公开</w:t>
      </w:r>
      <w:r>
        <w:rPr>
          <w:rFonts w:hint="eastAsia" w:ascii="仿宋_GB2312" w:hAnsi="仿宋_GB2312" w:eastAsia="仿宋_GB2312" w:cs="仿宋_GB2312"/>
          <w:sz w:val="32"/>
          <w:szCs w:val="32"/>
          <w:lang w:eastAsia="zh-CN"/>
        </w:rPr>
        <w:t>工作</w:t>
      </w:r>
      <w:r>
        <w:rPr>
          <w:rFonts w:hint="eastAsia" w:ascii="仿宋_GB2312" w:hAnsi="仿宋_GB2312" w:eastAsia="仿宋_GB2312" w:cs="仿宋_GB2312"/>
          <w:sz w:val="32"/>
          <w:szCs w:val="32"/>
        </w:rPr>
        <w:t>标准化、规范化水平。</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val="0"/>
          <w:bCs w:val="0"/>
          <w:i w:val="0"/>
          <w:caps w:val="0"/>
          <w:color w:val="333333"/>
          <w:spacing w:val="0"/>
          <w:sz w:val="32"/>
          <w:szCs w:val="32"/>
          <w:shd w:val="clear" w:color="auto" w:fill="FFFFFF"/>
        </w:rPr>
        <w:t>（一）</w:t>
      </w:r>
      <w:r>
        <w:rPr>
          <w:rFonts w:hint="eastAsia" w:ascii="楷体_GB2312" w:hAnsi="楷体_GB2312" w:eastAsia="楷体_GB2312" w:cs="楷体_GB2312"/>
          <w:b w:val="0"/>
          <w:bCs w:val="0"/>
          <w:i w:val="0"/>
          <w:caps w:val="0"/>
          <w:color w:val="333333"/>
          <w:spacing w:val="0"/>
          <w:sz w:val="32"/>
          <w:szCs w:val="32"/>
          <w:shd w:val="clear" w:color="auto" w:fill="FFFFFF"/>
          <w:lang w:eastAsia="zh-CN"/>
        </w:rPr>
        <w:t>主动公开工作情况</w:t>
      </w:r>
      <w:r>
        <w:rPr>
          <w:rFonts w:hint="eastAsia" w:ascii="楷体_GB2312" w:hAnsi="楷体_GB2312" w:eastAsia="楷体_GB2312" w:cs="楷体_GB2312"/>
          <w:b w:val="0"/>
          <w:bCs w:val="0"/>
          <w:i w:val="0"/>
          <w:caps w:val="0"/>
          <w:color w:val="333333"/>
          <w:spacing w:val="0"/>
          <w:sz w:val="32"/>
          <w:szCs w:val="32"/>
          <w:shd w:val="clear" w:color="auto" w:fill="FFFFFF"/>
        </w:rPr>
        <w:t>。</w:t>
      </w:r>
      <w:r>
        <w:rPr>
          <w:rFonts w:hint="eastAsia" w:ascii="仿宋_GB2312" w:hAnsi="仿宋_GB2312" w:eastAsia="仿宋_GB2312" w:cs="仿宋_GB2312"/>
          <w:sz w:val="32"/>
          <w:szCs w:val="32"/>
        </w:rPr>
        <w:t>坚持“公开为常态、不公开为例外”原则，强化责任分解和督促推动，确保各重点领域政府信息应公开尽公</w:t>
      </w:r>
      <w:r>
        <w:rPr>
          <w:rFonts w:hint="eastAsia" w:ascii="仿宋_GB2312" w:hAnsi="仿宋_GB2312" w:eastAsia="仿宋_GB2312" w:cs="仿宋_GB2312"/>
          <w:sz w:val="32"/>
          <w:szCs w:val="32"/>
          <w:lang w:eastAsia="zh-CN"/>
        </w:rPr>
        <w:t>开。</w:t>
      </w:r>
      <w:r>
        <w:rPr>
          <w:rFonts w:hint="eastAsia" w:ascii="仿宋_GB2312" w:hAnsi="仿宋_GB2312" w:eastAsia="仿宋_GB2312" w:cs="仿宋_GB2312"/>
          <w:sz w:val="32"/>
          <w:szCs w:val="32"/>
          <w:lang w:val="en-US" w:eastAsia="zh-CN"/>
        </w:rPr>
        <w:t>2023年，我办在政府网站和信息公开平台公开发布机构信息、政策文件、重大会议、重点工作等政务信息</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1038</w:t>
      </w:r>
      <w:r>
        <w:rPr>
          <w:rFonts w:hint="eastAsia" w:ascii="仿宋_GB2312" w:hAnsi="仿宋_GB2312" w:eastAsia="仿宋_GB2312" w:cs="仿宋_GB2312"/>
          <w:sz w:val="32"/>
          <w:szCs w:val="32"/>
          <w:lang w:val="en-US" w:eastAsia="zh-CN"/>
        </w:rPr>
        <w:t>条。通过政务公开栏、报刊、电视台等载体和政府信息公开专区等多种方式对政府信息及时公开，</w:t>
      </w:r>
      <w:r>
        <w:rPr>
          <w:rFonts w:hint="eastAsia" w:ascii="仿宋_GB2312" w:hAnsi="仿宋_GB2312" w:eastAsia="仿宋_GB2312" w:cs="仿宋_GB2312"/>
          <w:sz w:val="32"/>
          <w:szCs w:val="32"/>
        </w:rPr>
        <w:t>通过“</w:t>
      </w:r>
      <w:r>
        <w:rPr>
          <w:rFonts w:hint="eastAsia" w:ascii="仿宋_GB2312" w:hAnsi="仿宋_GB2312" w:eastAsia="仿宋_GB2312" w:cs="仿宋_GB2312"/>
          <w:sz w:val="32"/>
          <w:szCs w:val="32"/>
          <w:lang w:eastAsia="zh-CN"/>
        </w:rPr>
        <w:t>威县</w:t>
      </w:r>
      <w:r>
        <w:rPr>
          <w:rFonts w:hint="eastAsia" w:ascii="仿宋_GB2312" w:hAnsi="仿宋_GB2312" w:eastAsia="仿宋_GB2312" w:cs="仿宋_GB2312"/>
          <w:sz w:val="32"/>
          <w:szCs w:val="32"/>
        </w:rPr>
        <w:t>政务”</w:t>
      </w:r>
      <w:r>
        <w:rPr>
          <w:rFonts w:hint="eastAsia" w:ascii="仿宋_GB2312" w:hAnsi="仿宋_GB2312" w:eastAsia="仿宋_GB2312" w:cs="仿宋_GB2312"/>
          <w:sz w:val="32"/>
          <w:szCs w:val="32"/>
          <w:lang w:eastAsia="zh-CN"/>
        </w:rPr>
        <w:t>微信公众号发布信息</w:t>
      </w:r>
      <w:r>
        <w:rPr>
          <w:rFonts w:hint="eastAsia" w:ascii="仿宋_GB2312" w:hAnsi="仿宋_GB2312" w:eastAsia="仿宋_GB2312" w:cs="仿宋_GB2312"/>
          <w:sz w:val="32"/>
          <w:szCs w:val="32"/>
          <w:lang w:val="en-US" w:eastAsia="zh-CN"/>
        </w:rPr>
        <w:t>954条，全年未发生信息公开失泄密情况。</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val="0"/>
          <w:bCs w:val="0"/>
          <w:i w:val="0"/>
          <w:caps w:val="0"/>
          <w:color w:val="333333"/>
          <w:spacing w:val="0"/>
          <w:sz w:val="32"/>
          <w:szCs w:val="32"/>
          <w:shd w:val="clear" w:color="auto" w:fill="FFFFFF"/>
        </w:rPr>
        <w:t>（二）依申请公开</w:t>
      </w:r>
      <w:r>
        <w:rPr>
          <w:rFonts w:hint="eastAsia" w:ascii="楷体_GB2312" w:hAnsi="楷体_GB2312" w:eastAsia="楷体_GB2312" w:cs="楷体_GB2312"/>
          <w:b w:val="0"/>
          <w:bCs w:val="0"/>
          <w:i w:val="0"/>
          <w:caps w:val="0"/>
          <w:color w:val="333333"/>
          <w:spacing w:val="0"/>
          <w:sz w:val="32"/>
          <w:szCs w:val="32"/>
          <w:shd w:val="clear" w:color="auto" w:fill="FFFFFF"/>
          <w:lang w:eastAsia="zh-CN"/>
        </w:rPr>
        <w:t>办理情况</w:t>
      </w:r>
      <w:r>
        <w:rPr>
          <w:rFonts w:hint="eastAsia" w:ascii="楷体_GB2312" w:hAnsi="楷体_GB2312" w:eastAsia="楷体_GB2312" w:cs="楷体_GB2312"/>
          <w:b w:val="0"/>
          <w:bCs w:val="0"/>
          <w:i w:val="0"/>
          <w:caps w:val="0"/>
          <w:color w:val="333333"/>
          <w:spacing w:val="0"/>
          <w:sz w:val="32"/>
          <w:szCs w:val="32"/>
          <w:shd w:val="clear" w:color="auto" w:fill="FFFFFF"/>
        </w:rPr>
        <w:t>。</w:t>
      </w:r>
      <w:r>
        <w:rPr>
          <w:rFonts w:hint="eastAsia" w:ascii="仿宋_GB2312" w:hAnsi="仿宋_GB2312" w:eastAsia="仿宋_GB2312" w:cs="仿宋_GB2312"/>
          <w:b w:val="0"/>
          <w:bCs w:val="0"/>
          <w:i w:val="0"/>
          <w:caps w:val="0"/>
          <w:color w:val="333333"/>
          <w:spacing w:val="0"/>
          <w:sz w:val="32"/>
          <w:szCs w:val="32"/>
          <w:shd w:val="clear" w:color="auto" w:fill="FFFFFF"/>
          <w:lang w:val="en-US" w:eastAsia="zh-CN"/>
        </w:rPr>
        <w:t>在政府网站开设了依申请公开栏目，公开了受理申请机构、申请方式、申请处理、答复时限以及威县政府信息公开申请表等方面的信息，方便群众提出信息公开申请。</w:t>
      </w:r>
      <w:r>
        <w:rPr>
          <w:rFonts w:hint="eastAsia" w:ascii="仿宋_GB2312" w:hAnsi="仿宋_GB2312" w:eastAsia="仿宋_GB2312" w:cs="仿宋_GB2312"/>
          <w:sz w:val="32"/>
          <w:szCs w:val="32"/>
          <w:lang w:val="en-US" w:eastAsia="zh-CN"/>
        </w:rPr>
        <w:t>全年受理政府信息公开申请6件，按时答复政府信息公开申请6件，结转下年度继续办理1件，未发生行政复议或行政诉讼。</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val="0"/>
          <w:bCs w:val="0"/>
          <w:i w:val="0"/>
          <w:caps w:val="0"/>
          <w:color w:val="333333"/>
          <w:spacing w:val="0"/>
          <w:sz w:val="32"/>
          <w:szCs w:val="32"/>
          <w:shd w:val="clear" w:color="auto" w:fill="FFFFFF"/>
        </w:rPr>
        <w:t>（三）</w:t>
      </w:r>
      <w:r>
        <w:rPr>
          <w:rFonts w:hint="eastAsia" w:ascii="楷体_GB2312" w:hAnsi="楷体_GB2312" w:eastAsia="楷体_GB2312" w:cs="楷体_GB2312"/>
          <w:b w:val="0"/>
          <w:bCs w:val="0"/>
          <w:i w:val="0"/>
          <w:caps w:val="0"/>
          <w:color w:val="333333"/>
          <w:spacing w:val="0"/>
          <w:sz w:val="32"/>
          <w:szCs w:val="32"/>
          <w:shd w:val="clear" w:color="auto" w:fill="FFFFFF"/>
          <w:lang w:eastAsia="zh-CN"/>
        </w:rPr>
        <w:t>政府信息管理情况</w:t>
      </w:r>
      <w:r>
        <w:rPr>
          <w:rFonts w:hint="eastAsia" w:ascii="楷体_GB2312" w:hAnsi="楷体_GB2312" w:eastAsia="楷体_GB2312" w:cs="楷体_GB2312"/>
          <w:b w:val="0"/>
          <w:bCs w:val="0"/>
          <w:i w:val="0"/>
          <w:caps w:val="0"/>
          <w:color w:val="333333"/>
          <w:spacing w:val="0"/>
          <w:sz w:val="32"/>
          <w:szCs w:val="32"/>
          <w:shd w:val="clear" w:color="auto" w:fill="FFFFFF"/>
        </w:rPr>
        <w:t>。</w:t>
      </w:r>
      <w:r>
        <w:rPr>
          <w:rFonts w:hint="eastAsia" w:ascii="仿宋_GB2312" w:hAnsi="仿宋_GB2312" w:eastAsia="仿宋_GB2312" w:cs="仿宋_GB2312"/>
          <w:sz w:val="32"/>
          <w:szCs w:val="32"/>
          <w:lang w:val="en-US" w:eastAsia="zh-CN"/>
        </w:rPr>
        <w:t>坚持把完善</w:t>
      </w:r>
      <w:bookmarkStart w:id="0" w:name="_GoBack"/>
      <w:bookmarkEnd w:id="0"/>
      <w:r>
        <w:rPr>
          <w:rFonts w:hint="eastAsia" w:ascii="仿宋_GB2312" w:hAnsi="仿宋_GB2312" w:eastAsia="仿宋_GB2312" w:cs="仿宋_GB2312"/>
          <w:sz w:val="32"/>
          <w:szCs w:val="32"/>
          <w:lang w:val="en-US" w:eastAsia="zh-CN"/>
        </w:rPr>
        <w:t>制度作为政务公开工作的重点，制定了《威县人民政府信息公开保密审查制度》《威县规范性文件管理办法》《威县人民政府办公室关于全面推行行政规范性文件合法性审核机制的实施意见》《政府规范性文件制定流程图》等工作制度，从信息发布源头和公文发文审批源头上进行全生命周期管理，现行有效的政府行政规范性文件共保留12件，已全部在“规范性文件”栏目进行公开展示，并标注发文字号、发文日期、效力状态等属性。</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caps w:val="0"/>
          <w:color w:val="333333"/>
          <w:spacing w:val="0"/>
          <w:sz w:val="32"/>
          <w:szCs w:val="32"/>
          <w:shd w:val="clear" w:color="auto" w:fill="FFFFFF"/>
        </w:rPr>
      </w:pPr>
      <w:r>
        <w:rPr>
          <w:rFonts w:hint="eastAsia" w:ascii="楷体_GB2312" w:hAnsi="楷体_GB2312" w:eastAsia="楷体_GB2312" w:cs="楷体_GB2312"/>
          <w:b w:val="0"/>
          <w:bCs w:val="0"/>
          <w:i w:val="0"/>
          <w:caps w:val="0"/>
          <w:color w:val="333333"/>
          <w:spacing w:val="0"/>
          <w:sz w:val="32"/>
          <w:szCs w:val="32"/>
          <w:shd w:val="clear" w:color="auto" w:fill="FFFFFF"/>
        </w:rPr>
        <w:t>（四）公开平台建设</w:t>
      </w:r>
      <w:r>
        <w:rPr>
          <w:rFonts w:hint="eastAsia" w:ascii="楷体_GB2312" w:hAnsi="楷体_GB2312" w:eastAsia="楷体_GB2312" w:cs="楷体_GB2312"/>
          <w:b w:val="0"/>
          <w:bCs w:val="0"/>
          <w:i w:val="0"/>
          <w:caps w:val="0"/>
          <w:color w:val="333333"/>
          <w:spacing w:val="0"/>
          <w:sz w:val="32"/>
          <w:szCs w:val="32"/>
          <w:shd w:val="clear" w:color="auto" w:fill="FFFFFF"/>
          <w:lang w:eastAsia="zh-CN"/>
        </w:rPr>
        <w:t>情况</w:t>
      </w:r>
      <w:r>
        <w:rPr>
          <w:rFonts w:hint="eastAsia" w:ascii="楷体_GB2312" w:hAnsi="楷体_GB2312" w:eastAsia="楷体_GB2312" w:cs="楷体_GB2312"/>
          <w:b w:val="0"/>
          <w:bCs w:val="0"/>
          <w:i w:val="0"/>
          <w:caps w:val="0"/>
          <w:color w:val="333333"/>
          <w:spacing w:val="0"/>
          <w:sz w:val="32"/>
          <w:szCs w:val="32"/>
          <w:shd w:val="clear" w:color="auto" w:fill="FFFFFF"/>
        </w:rPr>
        <w:t>。</w:t>
      </w:r>
      <w:r>
        <w:rPr>
          <w:rFonts w:hint="eastAsia" w:ascii="仿宋_GB2312" w:hAnsi="仿宋_GB2312" w:eastAsia="仿宋_GB2312" w:cs="仿宋_GB2312"/>
          <w:sz w:val="32"/>
          <w:szCs w:val="32"/>
          <w:lang w:val="en-US" w:eastAsia="zh-CN"/>
        </w:rPr>
        <w:t>切实加强政府网站、政府信息公开平台、政务新媒体等公开平台建设工作，未发生因政府网站四不问题、政府网站不规范等问题收到督办卡或被国务院办公厅、省政府办公厅通报批评。2023年我县各乡镇、各部门通过政府网站、政府信息公开平台发布信息10985条。建立政务新媒体监管制度，保障政务新媒体健康有序发展</w:t>
      </w:r>
      <w:r>
        <w:rPr>
          <w:rFonts w:hint="eastAsia" w:ascii="仿宋_GB2312" w:hAnsi="仿宋_GB2312" w:eastAsia="仿宋_GB2312" w:cs="仿宋_GB2312"/>
          <w:sz w:val="32"/>
          <w:szCs w:val="32"/>
          <w:lang w:eastAsia="zh-CN"/>
        </w:rPr>
        <w:t>，全县共建设各类政务新媒体共计</w:t>
      </w:r>
      <w:r>
        <w:rPr>
          <w:rFonts w:hint="eastAsia" w:ascii="仿宋_GB2312" w:hAnsi="仿宋_GB2312" w:eastAsia="仿宋_GB2312" w:cs="仿宋_GB2312"/>
          <w:sz w:val="32"/>
          <w:szCs w:val="32"/>
          <w:lang w:val="en-US" w:eastAsia="zh-CN"/>
        </w:rPr>
        <w:t>43个，其中微信公众号39个、今日头条号1个、抖音号2个、微博1个，已全部在国家政务新媒体管理平台和河北省政务新媒体管理平台进行了备案管理。</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val="0"/>
          <w:bCs w:val="0"/>
          <w:i w:val="0"/>
          <w:caps w:val="0"/>
          <w:color w:val="333333"/>
          <w:spacing w:val="0"/>
          <w:sz w:val="32"/>
          <w:szCs w:val="32"/>
          <w:shd w:val="clear" w:color="auto" w:fill="FFFFFF"/>
        </w:rPr>
        <w:t>（</w:t>
      </w:r>
      <w:r>
        <w:rPr>
          <w:rFonts w:hint="eastAsia" w:ascii="楷体_GB2312" w:hAnsi="楷体_GB2312" w:eastAsia="楷体_GB2312" w:cs="楷体_GB2312"/>
          <w:b w:val="0"/>
          <w:bCs w:val="0"/>
          <w:i w:val="0"/>
          <w:caps w:val="0"/>
          <w:color w:val="333333"/>
          <w:spacing w:val="0"/>
          <w:sz w:val="32"/>
          <w:szCs w:val="32"/>
          <w:shd w:val="clear" w:color="auto" w:fill="FFFFFF"/>
          <w:lang w:eastAsia="zh-CN"/>
        </w:rPr>
        <w:t>五</w:t>
      </w:r>
      <w:r>
        <w:rPr>
          <w:rFonts w:hint="eastAsia" w:ascii="楷体_GB2312" w:hAnsi="楷体_GB2312" w:eastAsia="楷体_GB2312" w:cs="楷体_GB2312"/>
          <w:b w:val="0"/>
          <w:bCs w:val="0"/>
          <w:i w:val="0"/>
          <w:caps w:val="0"/>
          <w:color w:val="333333"/>
          <w:spacing w:val="0"/>
          <w:sz w:val="32"/>
          <w:szCs w:val="32"/>
          <w:shd w:val="clear" w:color="auto" w:fill="FFFFFF"/>
        </w:rPr>
        <w:t>）</w:t>
      </w:r>
      <w:r>
        <w:rPr>
          <w:rFonts w:hint="eastAsia" w:ascii="楷体_GB2312" w:hAnsi="楷体_GB2312" w:eastAsia="楷体_GB2312" w:cs="楷体_GB2312"/>
          <w:b w:val="0"/>
          <w:bCs w:val="0"/>
          <w:i w:val="0"/>
          <w:caps w:val="0"/>
          <w:color w:val="333333"/>
          <w:spacing w:val="0"/>
          <w:sz w:val="32"/>
          <w:szCs w:val="32"/>
          <w:shd w:val="clear" w:color="auto" w:fill="FFFFFF"/>
          <w:lang w:eastAsia="zh-CN"/>
        </w:rPr>
        <w:t>保障体系建设情况。</w:t>
      </w:r>
      <w:r>
        <w:rPr>
          <w:rFonts w:hint="eastAsia" w:ascii="仿宋_GB2312" w:hAnsi="仿宋_GB2312" w:eastAsia="仿宋_GB2312" w:cs="仿宋_GB2312"/>
          <w:b w:val="0"/>
          <w:bCs w:val="0"/>
          <w:i w:val="0"/>
          <w:caps w:val="0"/>
          <w:color w:val="333333"/>
          <w:spacing w:val="0"/>
          <w:sz w:val="32"/>
          <w:szCs w:val="32"/>
          <w:shd w:val="clear" w:color="auto" w:fill="FFFFFF"/>
          <w:lang w:val="en-US" w:eastAsia="zh-CN"/>
        </w:rPr>
        <w:t>县政府办公室政务公开办认真贯彻落实政务公开各项工作任务，10月中旬，组织召开全县政务公开工作培训会议，有效提升我县政务公开工作人员的业务水平和工作能力。</w:t>
      </w:r>
      <w:r>
        <w:rPr>
          <w:rFonts w:hint="eastAsia" w:ascii="仿宋_GB2312" w:hAnsi="仿宋_GB2312" w:eastAsia="仿宋_GB2312" w:cs="仿宋_GB2312"/>
          <w:sz w:val="32"/>
          <w:szCs w:val="32"/>
          <w:lang w:val="en-US" w:eastAsia="zh-CN"/>
        </w:rPr>
        <w:t>加强对各乡镇、各部门政务公开贯彻落实情况检查指导力度，对工作落实不力的进行督促、通报，并在政务公开考核工作中予以扣分，充分调动各乡镇、各部门做好政务公开工作积极性。</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黑体" w:hAnsi="黑体" w:eastAsia="黑体" w:cs="黑体"/>
          <w:b w:val="0"/>
          <w:bCs/>
          <w:i w:val="0"/>
          <w:caps w:val="0"/>
          <w:color w:val="333333"/>
          <w:spacing w:val="0"/>
          <w:sz w:val="32"/>
          <w:szCs w:val="32"/>
        </w:rPr>
      </w:pPr>
      <w:r>
        <w:rPr>
          <w:rFonts w:hint="eastAsia" w:ascii="黑体" w:hAnsi="黑体" w:eastAsia="黑体" w:cs="黑体"/>
          <w:b w:val="0"/>
          <w:bCs/>
          <w:i w:val="0"/>
          <w:caps w:val="0"/>
          <w:color w:val="333333"/>
          <w:spacing w:val="0"/>
          <w:sz w:val="32"/>
          <w:szCs w:val="32"/>
          <w:shd w:val="clear" w:fill="FFFFFF"/>
        </w:rPr>
        <w:t>二、主动公开政府信息情况</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p>
    <w:tbl>
      <w:tblPr>
        <w:tblStyle w:val="6"/>
        <w:tblW w:w="9740" w:type="dxa"/>
        <w:jc w:val="center"/>
        <w:tblInd w:w="0" w:type="dxa"/>
        <w:shd w:val="clear" w:color="auto" w:fill="auto"/>
        <w:tblLayout w:type="fixed"/>
        <w:tblCellMar>
          <w:top w:w="0" w:type="dxa"/>
          <w:left w:w="0" w:type="dxa"/>
          <w:bottom w:w="0" w:type="dxa"/>
          <w:right w:w="0" w:type="dxa"/>
        </w:tblCellMar>
      </w:tblPr>
      <w:tblGrid>
        <w:gridCol w:w="2435"/>
        <w:gridCol w:w="2435"/>
        <w:gridCol w:w="2435"/>
        <w:gridCol w:w="2435"/>
      </w:tblGrid>
      <w:tr>
        <w:tblPrEx>
          <w:shd w:val="clear" w:color="auto" w:fill="auto"/>
          <w:tblLayout w:type="fixed"/>
          <w:tblCellMar>
            <w:top w:w="0" w:type="dxa"/>
            <w:left w:w="0" w:type="dxa"/>
            <w:bottom w:w="0" w:type="dxa"/>
            <w:right w:w="0" w:type="dxa"/>
          </w:tblCellMar>
        </w:tblPrEx>
        <w:trPr>
          <w:trHeight w:val="340"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第二十条第（一）项</w:t>
            </w:r>
          </w:p>
        </w:tc>
      </w:tr>
      <w:tr>
        <w:tblPrEx>
          <w:tblLayout w:type="fixed"/>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w:t>
            </w:r>
            <w:r>
              <w:rPr>
                <w:rFonts w:hint="eastAsia" w:ascii="宋体" w:hAnsi="宋体" w:eastAsia="宋体" w:cs="宋体"/>
                <w:kern w:val="0"/>
                <w:sz w:val="20"/>
                <w:szCs w:val="20"/>
                <w:lang w:val="en-US" w:eastAsia="zh-CN" w:bidi="ar"/>
              </w:rPr>
              <w:t>制发件数</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本年废止件数</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现行有效件</w:t>
            </w:r>
            <w:r>
              <w:rPr>
                <w:rFonts w:hint="eastAsia" w:ascii="宋体" w:hAnsi="宋体" w:eastAsia="宋体" w:cs="宋体"/>
                <w:kern w:val="0"/>
                <w:sz w:val="20"/>
                <w:szCs w:val="20"/>
                <w:lang w:val="en-US" w:eastAsia="zh-CN" w:bidi="ar"/>
              </w:rPr>
              <w:t>数</w:t>
            </w:r>
          </w:p>
        </w:tc>
      </w:tr>
      <w:tr>
        <w:tblPrEx>
          <w:tblLayout w:type="fixed"/>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规章</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宋体" w:hAnsi="宋体" w:eastAsia="宋体" w:cs="宋体"/>
                <w:color w:val="000000"/>
                <w:kern w:val="0"/>
                <w:sz w:val="20"/>
                <w:szCs w:val="20"/>
                <w:lang w:val="en-US" w:eastAsia="zh-CN" w:bidi="ar"/>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宋体" w:hAnsi="宋体" w:eastAsia="宋体" w:cs="宋体"/>
                <w:color w:val="000000"/>
                <w:kern w:val="0"/>
                <w:sz w:val="20"/>
                <w:szCs w:val="20"/>
                <w:lang w:val="en-US" w:eastAsia="zh-CN" w:bidi="ar"/>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1"/>
                <w:szCs w:val="21"/>
                <w:lang w:val="en-US" w:eastAsia="zh-CN" w:bidi="ar"/>
              </w:rPr>
              <w:t>0</w:t>
            </w:r>
          </w:p>
        </w:tc>
      </w:tr>
      <w:tr>
        <w:tblPrEx>
          <w:tblLayout w:type="fixed"/>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行政规范性文件</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7</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宋体" w:hAnsi="宋体" w:eastAsia="宋体" w:cs="宋体"/>
                <w:color w:val="000000"/>
                <w:kern w:val="0"/>
                <w:sz w:val="20"/>
                <w:szCs w:val="20"/>
                <w:lang w:val="en-US" w:eastAsia="zh-CN" w:bidi="ar"/>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eastAsiaTheme="minorEastAsia"/>
                <w:lang w:val="en-US" w:eastAsia="zh-CN"/>
              </w:rPr>
            </w:pPr>
            <w:r>
              <w:rPr>
                <w:rFonts w:hint="eastAsia"/>
                <w:lang w:val="en-US" w:eastAsia="zh-CN"/>
              </w:rPr>
              <w:t>12</w:t>
            </w:r>
          </w:p>
        </w:tc>
      </w:tr>
      <w:tr>
        <w:tblPrEx>
          <w:tblLayout w:type="fixed"/>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第二十条第（五）项</w:t>
            </w:r>
          </w:p>
        </w:tc>
      </w:tr>
      <w:tr>
        <w:tblPrEx>
          <w:tblLayout w:type="fixed"/>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本年处理决定数量</w:t>
            </w:r>
          </w:p>
        </w:tc>
      </w:tr>
      <w:tr>
        <w:tblPrEx>
          <w:tblLayout w:type="fixed"/>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行政许可</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1"/>
                <w:szCs w:val="21"/>
                <w:lang w:val="en-US" w:eastAsia="zh-CN" w:bidi="ar"/>
              </w:rPr>
              <w:t>0</w:t>
            </w:r>
          </w:p>
        </w:tc>
      </w:tr>
      <w:tr>
        <w:tblPrEx>
          <w:tblLayout w:type="fixed"/>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第二十条第（六）项</w:t>
            </w:r>
          </w:p>
        </w:tc>
      </w:tr>
      <w:tr>
        <w:tblPrEx>
          <w:tblLayout w:type="fixed"/>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本年处理决定数量</w:t>
            </w:r>
          </w:p>
        </w:tc>
      </w:tr>
      <w:tr>
        <w:tblPrEx>
          <w:tblLayout w:type="fixed"/>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行政处罚</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宋体" w:hAnsi="宋体" w:eastAsia="宋体" w:cs="宋体"/>
                <w:color w:val="000000"/>
                <w:kern w:val="0"/>
                <w:sz w:val="20"/>
                <w:szCs w:val="20"/>
                <w:lang w:val="en-US" w:eastAsia="zh-CN" w:bidi="ar"/>
              </w:rPr>
              <w:t>0</w:t>
            </w:r>
          </w:p>
        </w:tc>
      </w:tr>
      <w:tr>
        <w:tblPrEx>
          <w:tblLayout w:type="fixed"/>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行政强制</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宋体" w:hAnsi="宋体" w:eastAsia="宋体" w:cs="宋体"/>
                <w:color w:val="000000"/>
                <w:kern w:val="0"/>
                <w:sz w:val="20"/>
                <w:szCs w:val="20"/>
                <w:lang w:val="en-US" w:eastAsia="zh-CN" w:bidi="ar"/>
              </w:rPr>
              <w:t>0</w:t>
            </w:r>
          </w:p>
        </w:tc>
      </w:tr>
      <w:tr>
        <w:tblPrEx>
          <w:tblLayout w:type="fixed"/>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第二十条第（八）项</w:t>
            </w:r>
          </w:p>
        </w:tc>
      </w:tr>
      <w:tr>
        <w:tblPrEx>
          <w:tblLayout w:type="fixed"/>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本年收费金额（单位：万元）</w:t>
            </w:r>
          </w:p>
        </w:tc>
      </w:tr>
      <w:tr>
        <w:tblPrEx>
          <w:tblLayout w:type="fixed"/>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行政事业性收费</w:t>
            </w:r>
          </w:p>
        </w:tc>
        <w:tc>
          <w:tcPr>
            <w:tcW w:w="7305"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jc w:val="center"/>
              <w:rPr>
                <w:rFonts w:hint="eastAsia" w:ascii="宋体" w:eastAsiaTheme="minorEastAsia"/>
                <w:sz w:val="24"/>
                <w:szCs w:val="24"/>
                <w:lang w:val="en-US" w:eastAsia="zh-CN"/>
              </w:rPr>
            </w:pPr>
            <w:r>
              <w:rPr>
                <w:rFonts w:hint="eastAsia" w:ascii="宋体"/>
                <w:sz w:val="24"/>
                <w:szCs w:val="24"/>
                <w:lang w:val="en-US" w:eastAsia="zh-CN"/>
              </w:rPr>
              <w:t>0</w:t>
            </w:r>
          </w:p>
        </w:tc>
      </w:tr>
    </w:tbl>
    <w:p>
      <w:pPr>
        <w:keepNext w:val="0"/>
        <w:keepLines w:val="0"/>
        <w:widowControl/>
        <w:suppressLineNumbers w:val="0"/>
        <w:jc w:val="left"/>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firstLineChars="200"/>
        <w:jc w:val="both"/>
        <w:rPr>
          <w:rFonts w:hint="eastAsia" w:ascii="黑体" w:hAnsi="黑体" w:eastAsia="黑体" w:cs="黑体"/>
          <w:b w:val="0"/>
          <w:bCs/>
          <w:i w:val="0"/>
          <w:caps w:val="0"/>
          <w:color w:val="333333"/>
          <w:spacing w:val="0"/>
          <w:sz w:val="32"/>
          <w:szCs w:val="32"/>
          <w:shd w:val="clear" w:fill="FFFFFF"/>
        </w:rPr>
      </w:pPr>
      <w:r>
        <w:rPr>
          <w:rFonts w:hint="eastAsia" w:ascii="黑体" w:hAnsi="黑体" w:eastAsia="黑体" w:cs="黑体"/>
          <w:b w:val="0"/>
          <w:bCs/>
          <w:i w:val="0"/>
          <w:caps w:val="0"/>
          <w:color w:val="333333"/>
          <w:spacing w:val="0"/>
          <w:sz w:val="32"/>
          <w:szCs w:val="32"/>
          <w:shd w:val="clear" w:fill="FFFFFF"/>
        </w:rPr>
        <w:t>三、收到和处理政府信息公开申请情况</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p>
    <w:tbl>
      <w:tblPr>
        <w:tblStyle w:val="6"/>
        <w:tblW w:w="9748" w:type="dxa"/>
        <w:jc w:val="center"/>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765"/>
        <w:gridCol w:w="941"/>
        <w:gridCol w:w="3197"/>
        <w:gridCol w:w="685"/>
        <w:gridCol w:w="734"/>
        <w:gridCol w:w="734"/>
        <w:gridCol w:w="685"/>
        <w:gridCol w:w="685"/>
        <w:gridCol w:w="685"/>
        <w:gridCol w:w="637"/>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jc w:val="center"/>
        </w:trPr>
        <w:tc>
          <w:tcPr>
            <w:tcW w:w="4903" w:type="dxa"/>
            <w:gridSpan w:val="3"/>
            <w:vMerge w:val="restart"/>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楷体" w:hAnsi="楷体" w:eastAsia="楷体" w:cs="楷体"/>
                <w:kern w:val="0"/>
                <w:sz w:val="20"/>
                <w:szCs w:val="20"/>
                <w:lang w:val="en-US" w:eastAsia="zh-CN" w:bidi="ar"/>
              </w:rPr>
              <w:t>（本列数据的勾稽关系为：第一项加第二项之和，等于第三项加第四项之和）</w:t>
            </w:r>
          </w:p>
        </w:tc>
        <w:tc>
          <w:tcPr>
            <w:tcW w:w="4845" w:type="dxa"/>
            <w:gridSpan w:val="7"/>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4903" w:type="dxa"/>
            <w:gridSpan w:val="3"/>
            <w:vMerge w:val="continue"/>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85" w:type="dxa"/>
            <w:vMerge w:val="restar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自然人</w:t>
            </w:r>
          </w:p>
        </w:tc>
        <w:tc>
          <w:tcPr>
            <w:tcW w:w="3523" w:type="dxa"/>
            <w:gridSpan w:val="5"/>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法人或其他组织</w:t>
            </w:r>
          </w:p>
        </w:tc>
        <w:tc>
          <w:tcPr>
            <w:tcW w:w="637" w:type="dxa"/>
            <w:vMerge w:val="restart"/>
            <w:tcBorders>
              <w:top w:val="single"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4903" w:type="dxa"/>
            <w:gridSpan w:val="3"/>
            <w:vMerge w:val="continue"/>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85" w:type="dxa"/>
            <w:vMerge w:val="continue"/>
            <w:tcBorders>
              <w:top w:val="nil"/>
              <w:left w:val="nil"/>
              <w:bottom w:val="single"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00" w:firstLineChars="200"/>
              <w:jc w:val="center"/>
            </w:pPr>
            <w:r>
              <w:rPr>
                <w:rFonts w:hint="eastAsia" w:ascii="宋体" w:hAnsi="宋体" w:eastAsia="宋体" w:cs="宋体"/>
                <w:kern w:val="0"/>
                <w:sz w:val="20"/>
                <w:szCs w:val="20"/>
                <w:lang w:val="en-US" w:eastAsia="zh-CN" w:bidi="ar"/>
              </w:rPr>
              <w:t>商业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00" w:firstLineChars="200"/>
              <w:jc w:val="center"/>
            </w:pPr>
            <w:r>
              <w:rPr>
                <w:rFonts w:hint="eastAsia" w:ascii="宋体" w:hAnsi="宋体" w:eastAsia="宋体" w:cs="宋体"/>
                <w:kern w:val="0"/>
                <w:sz w:val="20"/>
                <w:szCs w:val="20"/>
                <w:lang w:val="en-US" w:eastAsia="zh-CN" w:bidi="ar"/>
              </w:rPr>
              <w:t>企业</w:t>
            </w: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00" w:firstLineChars="200"/>
              <w:jc w:val="center"/>
            </w:pPr>
            <w:r>
              <w:rPr>
                <w:rFonts w:hint="eastAsia" w:ascii="宋体" w:hAnsi="宋体" w:eastAsia="宋体" w:cs="宋体"/>
                <w:kern w:val="0"/>
                <w:sz w:val="20"/>
                <w:szCs w:val="20"/>
                <w:lang w:val="en-US" w:eastAsia="zh-CN" w:bidi="ar"/>
              </w:rPr>
              <w:t>科研</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00" w:firstLineChars="200"/>
              <w:jc w:val="center"/>
            </w:pPr>
            <w:r>
              <w:rPr>
                <w:rFonts w:hint="eastAsia" w:ascii="宋体" w:hAnsi="宋体" w:eastAsia="宋体" w:cs="宋体"/>
                <w:kern w:val="0"/>
                <w:sz w:val="20"/>
                <w:szCs w:val="20"/>
                <w:lang w:val="en-US" w:eastAsia="zh-CN" w:bidi="ar"/>
              </w:rPr>
              <w:t>机构</w:t>
            </w:r>
          </w:p>
        </w:tc>
        <w:tc>
          <w:tcPr>
            <w:tcW w:w="68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社会公益组织</w:t>
            </w:r>
          </w:p>
        </w:tc>
        <w:tc>
          <w:tcPr>
            <w:tcW w:w="68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法律服务机构</w:t>
            </w:r>
          </w:p>
        </w:tc>
        <w:tc>
          <w:tcPr>
            <w:tcW w:w="68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其他</w:t>
            </w:r>
          </w:p>
        </w:tc>
        <w:tc>
          <w:tcPr>
            <w:tcW w:w="637" w:type="dxa"/>
            <w:vMerge w:val="continue"/>
            <w:tcBorders>
              <w:top w:val="single" w:color="auto" w:sz="8" w:space="0"/>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4903"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一、本年新收政府信息公开申请数量</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6</w:t>
            </w: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3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6</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4903"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二、上年结转政府信息公开申请数量</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3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5" w:type="dxa"/>
            <w:vMerge w:val="restart"/>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三、本年度办理结果</w:t>
            </w:r>
          </w:p>
        </w:tc>
        <w:tc>
          <w:tcPr>
            <w:tcW w:w="4138"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（一）予以公开</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4</w:t>
            </w: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37"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4</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4138"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（二）部分公开</w:t>
            </w:r>
            <w:r>
              <w:rPr>
                <w:rFonts w:hint="eastAsia" w:ascii="楷体" w:hAnsi="楷体" w:eastAsia="楷体" w:cs="楷体"/>
                <w:kern w:val="0"/>
                <w:sz w:val="20"/>
                <w:szCs w:val="20"/>
                <w:lang w:val="en-US" w:eastAsia="zh-CN" w:bidi="ar"/>
              </w:rPr>
              <w:t>（区分处理的，只计这一情形，不计其他情形）</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3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1"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（三）不予公开</w:t>
            </w:r>
          </w:p>
        </w:tc>
        <w:tc>
          <w:tcPr>
            <w:tcW w:w="3197"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1.属于国家秘密</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73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73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37"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197"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2.其他法律行政法规禁止公开</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73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73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3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197"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3.危及“三安全一稳定”</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73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73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3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197"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4.保护第三方合法权益</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3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197"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5.属于三类内部事务信息</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3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197"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6.属于四类过程性信息</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3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197"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7.属于行政执法案卷</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3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197"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8.属于行政查询事项</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3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1"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（四）无法提供</w:t>
            </w:r>
          </w:p>
        </w:tc>
        <w:tc>
          <w:tcPr>
            <w:tcW w:w="3197"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1.本机关不掌握相关政府信息</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2</w:t>
            </w: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3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2</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197"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2.没有现成信息需要另行制作</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3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197"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3.补正后申请内容仍不明确</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3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1"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（五）不予处理</w:t>
            </w:r>
          </w:p>
        </w:tc>
        <w:tc>
          <w:tcPr>
            <w:tcW w:w="3197"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1.信访举报投诉类申请</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3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197"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2.重复申请</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3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197"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3.要求提供公开出版物</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3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197"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4.无正当理由大量反复申请</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3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779" w:hRule="atLeast"/>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197"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kern w:val="0"/>
                <w:sz w:val="20"/>
                <w:szCs w:val="20"/>
                <w:lang w:val="en-US" w:eastAsia="zh-CN" w:bidi="ar"/>
              </w:rPr>
              <w:t>5.要求行政机关确认或重新出具已获取信息</w:t>
            </w:r>
          </w:p>
        </w:tc>
        <w:tc>
          <w:tcPr>
            <w:tcW w:w="685"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734"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734"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85"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85"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85"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37"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1" w:type="dxa"/>
            <w:vMerge w:val="restart"/>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（六）其他处理</w:t>
            </w:r>
          </w:p>
        </w:tc>
        <w:tc>
          <w:tcPr>
            <w:tcW w:w="319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kern w:val="0"/>
                <w:sz w:val="20"/>
                <w:szCs w:val="20"/>
                <w:lang w:val="en-US" w:eastAsia="zh-CN" w:bidi="ar"/>
              </w:rPr>
              <w:t>1.申请人无正当理由逾期不补正、行政机关不再处理其政府信息公开申请</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3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1" w:type="dxa"/>
            <w:vMerge w:val="continue"/>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19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kern w:val="0"/>
                <w:sz w:val="20"/>
                <w:szCs w:val="20"/>
                <w:lang w:val="en-US" w:eastAsia="zh-CN" w:bidi="ar"/>
              </w:rPr>
              <w:t>2.申请人逾期未按收费通知要求缴纳费用、行政机关不再处理其政府信息公开申请</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3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1" w:type="dxa"/>
            <w:vMerge w:val="continue"/>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19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3.其他</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eastAsiaTheme="minorEastAsia"/>
                <w:lang w:val="en-US" w:eastAsia="zh-CN"/>
              </w:rPr>
            </w:pPr>
            <w:r>
              <w:rPr>
                <w:rFonts w:hint="eastAsia"/>
                <w:lang w:val="en-US" w:eastAsia="zh-CN"/>
              </w:rPr>
              <w:t>0</w:t>
            </w:r>
          </w:p>
        </w:tc>
        <w:tc>
          <w:tcPr>
            <w:tcW w:w="63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4138"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（七）总计</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6</w:t>
            </w: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3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6</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4903"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四、结转下年度继续办理</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1</w:t>
            </w: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37" w:type="dxa"/>
            <w:tcBorders>
              <w:top w:val="nil"/>
              <w:left w:val="nil"/>
              <w:bottom w:val="single" w:color="auto" w:sz="8" w:space="0"/>
              <w:right w:val="single" w:color="auto" w:sz="8" w:space="0"/>
            </w:tcBorders>
            <w:shd w:val="clear" w:color="auto" w:fill="auto"/>
            <w:tcMar>
              <w:left w:w="57" w:type="dxa"/>
              <w:right w:w="57" w:type="dxa"/>
            </w:tcMar>
            <w:vAlign w:val="center"/>
          </w:tcPr>
          <w:p>
            <w:pPr>
              <w:jc w:val="center"/>
              <w:rPr>
                <w:rFonts w:hint="eastAsia" w:ascii="宋体" w:eastAsiaTheme="minorEastAsia"/>
                <w:sz w:val="24"/>
                <w:szCs w:val="24"/>
                <w:lang w:val="en-US" w:eastAsia="zh-CN"/>
              </w:rPr>
            </w:pPr>
            <w:r>
              <w:rPr>
                <w:rFonts w:hint="eastAsia" w:ascii="宋体"/>
                <w:sz w:val="24"/>
                <w:szCs w:val="24"/>
                <w:lang w:val="en-US" w:eastAsia="zh-CN"/>
              </w:rPr>
              <w:t>1</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caps w:val="0"/>
          <w:color w:val="333333"/>
          <w:spacing w:val="0"/>
          <w:sz w:val="24"/>
          <w:szCs w:val="24"/>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firstLineChars="200"/>
        <w:jc w:val="both"/>
        <w:rPr>
          <w:rFonts w:hint="eastAsia" w:ascii="黑体" w:hAnsi="黑体" w:eastAsia="黑体" w:cs="黑体"/>
          <w:b w:val="0"/>
          <w:bCs/>
          <w:i w:val="0"/>
          <w:caps w:val="0"/>
          <w:color w:val="333333"/>
          <w:spacing w:val="0"/>
          <w:sz w:val="32"/>
          <w:szCs w:val="32"/>
          <w:shd w:val="clear" w:fill="FFFFFF"/>
        </w:rPr>
      </w:pPr>
      <w:r>
        <w:rPr>
          <w:rFonts w:hint="eastAsia" w:ascii="黑体" w:hAnsi="黑体" w:eastAsia="黑体" w:cs="黑体"/>
          <w:b w:val="0"/>
          <w:bCs/>
          <w:i w:val="0"/>
          <w:caps w:val="0"/>
          <w:color w:val="333333"/>
          <w:spacing w:val="0"/>
          <w:sz w:val="32"/>
          <w:szCs w:val="32"/>
          <w:shd w:val="clear" w:fill="FFFFFF"/>
        </w:rPr>
        <w:t>四、政府信息公开行政复议、行政诉讼情况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caps w:val="0"/>
          <w:color w:val="333333"/>
          <w:spacing w:val="0"/>
          <w:sz w:val="24"/>
          <w:szCs w:val="24"/>
        </w:rPr>
      </w:pPr>
    </w:p>
    <w:tbl>
      <w:tblPr>
        <w:tblStyle w:val="6"/>
        <w:tblW w:w="9748" w:type="dxa"/>
        <w:jc w:val="center"/>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642"/>
        <w:gridCol w:w="642"/>
        <w:gridCol w:w="642"/>
        <w:gridCol w:w="642"/>
        <w:gridCol w:w="642"/>
        <w:gridCol w:w="643"/>
        <w:gridCol w:w="643"/>
        <w:gridCol w:w="644"/>
        <w:gridCol w:w="644"/>
        <w:gridCol w:w="644"/>
        <w:gridCol w:w="644"/>
        <w:gridCol w:w="644"/>
        <w:gridCol w:w="644"/>
        <w:gridCol w:w="644"/>
        <w:gridCol w:w="744"/>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jc w:val="center"/>
        </w:trPr>
        <w:tc>
          <w:tcPr>
            <w:tcW w:w="3210"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行政复议</w:t>
            </w:r>
          </w:p>
        </w:tc>
        <w:tc>
          <w:tcPr>
            <w:tcW w:w="6538" w:type="dxa"/>
            <w:gridSpan w:val="10"/>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42"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结果维持</w:t>
            </w:r>
          </w:p>
        </w:tc>
        <w:tc>
          <w:tcPr>
            <w:tcW w:w="642"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42"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其他</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结果</w:t>
            </w:r>
          </w:p>
        </w:tc>
        <w:tc>
          <w:tcPr>
            <w:tcW w:w="642"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42"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总计</w:t>
            </w:r>
          </w:p>
        </w:tc>
        <w:tc>
          <w:tcPr>
            <w:tcW w:w="3218"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未经复议直接起诉</w:t>
            </w:r>
          </w:p>
        </w:tc>
        <w:tc>
          <w:tcPr>
            <w:tcW w:w="3320"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42"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42"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42"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42"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42"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维持</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44"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其他</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结果</w:t>
            </w:r>
          </w:p>
        </w:tc>
        <w:tc>
          <w:tcPr>
            <w:tcW w:w="644"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44"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总计</w:t>
            </w:r>
          </w:p>
        </w:tc>
        <w:tc>
          <w:tcPr>
            <w:tcW w:w="644"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维持</w:t>
            </w:r>
          </w:p>
        </w:tc>
        <w:tc>
          <w:tcPr>
            <w:tcW w:w="644"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44"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其他</w:t>
            </w:r>
            <w:r>
              <w:rPr>
                <w:rFonts w:hint="eastAsia" w:ascii="宋体" w:hAnsi="宋体" w:eastAsia="宋体" w:cs="宋体"/>
                <w:color w:val="000000"/>
                <w:kern w:val="0"/>
                <w:sz w:val="20"/>
                <w:szCs w:val="20"/>
                <w:lang w:val="en-US" w:eastAsia="zh-CN" w:bidi="ar"/>
              </w:rPr>
              <w:br w:type="textWrapping"/>
            </w:r>
            <w:r>
              <w:rPr>
                <w:rFonts w:hint="eastAsia" w:ascii="宋体" w:hAnsi="宋体" w:eastAsia="宋体" w:cs="宋体"/>
                <w:color w:val="000000"/>
                <w:kern w:val="0"/>
                <w:sz w:val="20"/>
                <w:szCs w:val="20"/>
                <w:lang w:val="en-US" w:eastAsia="zh-CN" w:bidi="ar"/>
              </w:rPr>
              <w:t>结果</w:t>
            </w:r>
          </w:p>
        </w:tc>
        <w:tc>
          <w:tcPr>
            <w:tcW w:w="644"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744"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672" w:hRule="atLeast"/>
          <w:jc w:val="center"/>
        </w:trPr>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0</w:t>
            </w:r>
            <w:r>
              <w:rPr>
                <w:rFonts w:ascii="黑体" w:hAnsi="宋体" w:eastAsia="黑体" w:cs="黑体"/>
                <w:kern w:val="0"/>
                <w:sz w:val="20"/>
                <w:szCs w:val="20"/>
                <w:lang w:val="en-US" w:eastAsia="zh-CN" w:bidi="ar"/>
              </w:rPr>
              <w:t> </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lang w:val="en-US"/>
              </w:rPr>
            </w:pPr>
            <w:r>
              <w:rPr>
                <w:rFonts w:hint="eastAsia" w:ascii="黑体" w:hAnsi="宋体" w:eastAsia="黑体" w:cs="黑体"/>
                <w:kern w:val="0"/>
                <w:sz w:val="20"/>
                <w:szCs w:val="20"/>
                <w:lang w:val="en-US" w:eastAsia="zh-CN" w:bidi="ar"/>
              </w:rPr>
              <w:t> 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lang w:val="en-US"/>
              </w:rPr>
            </w:pPr>
            <w:r>
              <w:rPr>
                <w:rFonts w:hint="eastAsia" w:ascii="黑体" w:hAnsi="宋体" w:eastAsia="黑体" w:cs="黑体"/>
                <w:kern w:val="0"/>
                <w:sz w:val="20"/>
                <w:szCs w:val="20"/>
                <w:lang w:val="en-US" w:eastAsia="zh-CN" w:bidi="ar"/>
              </w:rPr>
              <w:t> 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lang w:val="en-US"/>
              </w:rPr>
            </w:pPr>
            <w:r>
              <w:rPr>
                <w:rFonts w:hint="eastAsia" w:ascii="黑体" w:hAnsi="宋体" w:eastAsia="黑体" w:cs="黑体"/>
                <w:kern w:val="0"/>
                <w:sz w:val="20"/>
                <w:szCs w:val="20"/>
                <w:lang w:val="en-US" w:eastAsia="zh-CN" w:bidi="ar"/>
              </w:rPr>
              <w:t> 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lang w:val="en-US"/>
              </w:rPr>
            </w:pPr>
            <w:r>
              <w:rPr>
                <w:rFonts w:hint="eastAsia" w:ascii="黑体" w:hAnsi="宋体" w:eastAsia="黑体" w:cs="黑体"/>
                <w:kern w:val="0"/>
                <w:sz w:val="20"/>
                <w:szCs w:val="20"/>
                <w:lang w:val="en-US" w:eastAsia="zh-CN" w:bidi="ar"/>
              </w:rPr>
              <w:t> 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lang w:val="en-US"/>
              </w:rPr>
            </w:pPr>
            <w:r>
              <w:rPr>
                <w:rFonts w:hint="eastAsia" w:ascii="黑体" w:hAnsi="宋体" w:eastAsia="黑体" w:cs="黑体"/>
                <w:kern w:val="0"/>
                <w:sz w:val="20"/>
                <w:szCs w:val="20"/>
                <w:lang w:val="en-US" w:eastAsia="zh-CN" w:bidi="ar"/>
              </w:rPr>
              <w:t> 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lang w:val="en-US"/>
              </w:rPr>
            </w:pPr>
            <w:r>
              <w:rPr>
                <w:rFonts w:hint="eastAsia" w:ascii="黑体" w:hAnsi="宋体" w:eastAsia="黑体" w:cs="黑体"/>
                <w:kern w:val="0"/>
                <w:sz w:val="20"/>
                <w:szCs w:val="20"/>
                <w:lang w:val="en-US" w:eastAsia="zh-CN" w:bidi="ar"/>
              </w:rPr>
              <w:t> 0</w:t>
            </w:r>
          </w:p>
        </w:tc>
        <w:tc>
          <w:tcPr>
            <w:tcW w:w="64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lang w:val="en-US"/>
              </w:rPr>
            </w:pPr>
            <w:r>
              <w:rPr>
                <w:rFonts w:hint="eastAsia" w:ascii="黑体" w:hAnsi="宋体" w:eastAsia="黑体" w:cs="黑体"/>
                <w:kern w:val="0"/>
                <w:sz w:val="20"/>
                <w:szCs w:val="20"/>
                <w:lang w:val="en-US" w:eastAsia="zh-CN" w:bidi="ar"/>
              </w:rPr>
              <w:t> 0</w:t>
            </w:r>
          </w:p>
        </w:tc>
        <w:tc>
          <w:tcPr>
            <w:tcW w:w="64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0 </w:t>
            </w:r>
          </w:p>
        </w:tc>
        <w:tc>
          <w:tcPr>
            <w:tcW w:w="64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lang w:val="en-US"/>
              </w:rPr>
            </w:pPr>
            <w:r>
              <w:rPr>
                <w:rFonts w:hint="eastAsia" w:ascii="黑体" w:hAnsi="宋体" w:eastAsia="黑体" w:cs="黑体"/>
                <w:kern w:val="0"/>
                <w:sz w:val="20"/>
                <w:szCs w:val="20"/>
                <w:lang w:val="en-US" w:eastAsia="zh-CN" w:bidi="ar"/>
              </w:rPr>
              <w:t> 0</w:t>
            </w:r>
          </w:p>
        </w:tc>
        <w:tc>
          <w:tcPr>
            <w:tcW w:w="64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0 </w:t>
            </w:r>
          </w:p>
        </w:tc>
        <w:tc>
          <w:tcPr>
            <w:tcW w:w="64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0 </w:t>
            </w:r>
          </w:p>
        </w:tc>
        <w:tc>
          <w:tcPr>
            <w:tcW w:w="64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0 </w:t>
            </w:r>
          </w:p>
        </w:tc>
        <w:tc>
          <w:tcPr>
            <w:tcW w:w="64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0 </w:t>
            </w:r>
          </w:p>
        </w:tc>
        <w:tc>
          <w:tcPr>
            <w:tcW w:w="74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eastAsiaTheme="minorEastAsia"/>
                <w:sz w:val="24"/>
                <w:szCs w:val="24"/>
                <w:lang w:val="en-US" w:eastAsia="zh-CN"/>
              </w:rPr>
            </w:pPr>
            <w:r>
              <w:rPr>
                <w:rFonts w:hint="eastAsia" w:ascii="宋体"/>
                <w:sz w:val="24"/>
                <w:szCs w:val="24"/>
                <w:lang w:val="en-US" w:eastAsia="zh-CN"/>
              </w:rPr>
              <w:t>0</w:t>
            </w:r>
          </w:p>
        </w:tc>
      </w:tr>
    </w:tbl>
    <w:p>
      <w:pPr>
        <w:keepNext w:val="0"/>
        <w:keepLines w:val="0"/>
        <w:widowControl/>
        <w:suppressLineNumbers w:val="0"/>
        <w:jc w:val="left"/>
      </w:pPr>
    </w:p>
    <w:p>
      <w:pPr>
        <w:pStyle w:val="5"/>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val="0"/>
        <w:bidi w:val="0"/>
        <w:adjustRightInd/>
        <w:snapToGrid/>
        <w:spacing w:before="0" w:beforeAutospacing="0" w:after="0" w:afterAutospacing="0" w:line="600" w:lineRule="exact"/>
        <w:ind w:right="0" w:rightChars="0" w:firstLine="640" w:firstLineChars="200"/>
        <w:jc w:val="both"/>
        <w:textAlignment w:val="auto"/>
        <w:rPr>
          <w:rFonts w:hint="eastAsia" w:ascii="黑体" w:hAnsi="黑体" w:eastAsia="黑体" w:cs="黑体"/>
          <w:b w:val="0"/>
          <w:bCs/>
          <w:i w:val="0"/>
          <w:caps w:val="0"/>
          <w:color w:val="333333"/>
          <w:spacing w:val="0"/>
          <w:sz w:val="32"/>
          <w:szCs w:val="32"/>
          <w:shd w:val="clear" w:fill="FFFFFF"/>
        </w:rPr>
      </w:pPr>
      <w:r>
        <w:rPr>
          <w:rFonts w:hint="eastAsia" w:ascii="黑体" w:hAnsi="黑体" w:eastAsia="黑体" w:cs="黑体"/>
          <w:b w:val="0"/>
          <w:bCs/>
          <w:i w:val="0"/>
          <w:caps w:val="0"/>
          <w:color w:val="333333"/>
          <w:spacing w:val="0"/>
          <w:sz w:val="32"/>
          <w:szCs w:val="32"/>
          <w:shd w:val="clear" w:fill="FFFFFF"/>
          <w:lang w:eastAsia="zh-CN"/>
        </w:rPr>
        <w:t>五、</w:t>
      </w:r>
      <w:r>
        <w:rPr>
          <w:rFonts w:hint="eastAsia" w:ascii="黑体" w:hAnsi="黑体" w:eastAsia="黑体" w:cs="黑体"/>
          <w:b w:val="0"/>
          <w:bCs/>
          <w:i w:val="0"/>
          <w:caps w:val="0"/>
          <w:color w:val="333333"/>
          <w:spacing w:val="0"/>
          <w:sz w:val="32"/>
          <w:szCs w:val="32"/>
          <w:shd w:val="clear" w:fill="FFFFFF"/>
        </w:rPr>
        <w:t>存在的主要问题及</w:t>
      </w:r>
      <w:r>
        <w:rPr>
          <w:rFonts w:hint="eastAsia" w:ascii="黑体" w:hAnsi="黑体" w:eastAsia="黑体" w:cs="黑体"/>
          <w:b w:val="0"/>
          <w:bCs/>
          <w:i w:val="0"/>
          <w:caps w:val="0"/>
          <w:color w:val="333333"/>
          <w:spacing w:val="0"/>
          <w:sz w:val="32"/>
          <w:szCs w:val="32"/>
          <w:shd w:val="clear" w:fill="FFFFFF"/>
          <w:lang w:eastAsia="zh-CN"/>
        </w:rPr>
        <w:t>改进情况</w:t>
      </w:r>
    </w:p>
    <w:p>
      <w:pPr>
        <w:keepNext w:val="0"/>
        <w:keepLines w:val="0"/>
        <w:pageBreakBefore w:val="0"/>
        <w:widowControl w:val="0"/>
        <w:kinsoku/>
        <w:wordWrap/>
        <w:overflowPunct/>
        <w:topLinePunct w:val="0"/>
        <w:autoSpaceDE/>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存在的问题：</w:t>
      </w:r>
      <w:r>
        <w:rPr>
          <w:rFonts w:hint="eastAsia" w:ascii="仿宋_GB2312" w:hAnsi="仿宋_GB2312" w:eastAsia="仿宋_GB2312" w:cs="仿宋_GB2312"/>
          <w:sz w:val="32"/>
          <w:szCs w:val="32"/>
        </w:rPr>
        <w:t>一是</w:t>
      </w:r>
      <w:r>
        <w:rPr>
          <w:rFonts w:hint="eastAsia" w:ascii="仿宋_GB2312" w:hAnsi="仿宋_GB2312" w:eastAsia="仿宋_GB2312" w:cs="仿宋_GB2312"/>
          <w:sz w:val="32"/>
          <w:szCs w:val="32"/>
          <w:lang w:eastAsia="zh-CN"/>
        </w:rPr>
        <w:t>部分股室</w:t>
      </w:r>
      <w:r>
        <w:rPr>
          <w:rFonts w:hint="eastAsia" w:ascii="仿宋_GB2312" w:hAnsi="仿宋_GB2312" w:eastAsia="仿宋_GB2312" w:cs="仿宋_GB2312"/>
          <w:sz w:val="32"/>
          <w:szCs w:val="32"/>
        </w:rPr>
        <w:t>对政府信息公开工作的重视程度不够，提供的信息不够及时。二是政府信息公开内容相对单一，所公开的信息涉及日常</w:t>
      </w:r>
      <w:r>
        <w:rPr>
          <w:rFonts w:hint="eastAsia" w:ascii="仿宋_GB2312" w:hAnsi="仿宋_GB2312" w:eastAsia="仿宋_GB2312" w:cs="仿宋_GB2312"/>
          <w:sz w:val="32"/>
          <w:szCs w:val="32"/>
          <w:lang w:eastAsia="zh-CN"/>
        </w:rPr>
        <w:t>工作</w:t>
      </w:r>
      <w:r>
        <w:rPr>
          <w:rFonts w:hint="eastAsia" w:ascii="仿宋_GB2312" w:hAnsi="仿宋_GB2312" w:eastAsia="仿宋_GB2312" w:cs="仿宋_GB2312"/>
          <w:sz w:val="32"/>
          <w:szCs w:val="32"/>
        </w:rPr>
        <w:t>比较多。三是工作创新力度还有待进一步加强。</w:t>
      </w:r>
    </w:p>
    <w:p>
      <w:pPr>
        <w:keepNext w:val="0"/>
        <w:keepLines w:val="0"/>
        <w:pageBreakBefore w:val="0"/>
        <w:widowControl w:val="0"/>
        <w:kinsoku/>
        <w:wordWrap/>
        <w:overflowPunct/>
        <w:topLinePunct w:val="0"/>
        <w:autoSpaceDE/>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改进情况：</w:t>
      </w:r>
      <w:r>
        <w:rPr>
          <w:rFonts w:hint="eastAsia" w:ascii="仿宋_GB2312" w:hAnsi="仿宋_GB2312" w:eastAsia="仿宋_GB2312" w:cs="仿宋_GB2312"/>
          <w:sz w:val="32"/>
          <w:szCs w:val="32"/>
        </w:rPr>
        <w:t>一是加强</w:t>
      </w:r>
      <w:r>
        <w:rPr>
          <w:rFonts w:hint="eastAsia" w:ascii="仿宋_GB2312" w:hAnsi="仿宋_GB2312" w:eastAsia="仿宋_GB2312" w:cs="仿宋_GB2312"/>
          <w:sz w:val="32"/>
          <w:szCs w:val="32"/>
          <w:lang w:eastAsia="zh-CN"/>
        </w:rPr>
        <w:t>公开力度</w:t>
      </w:r>
      <w:r>
        <w:rPr>
          <w:rFonts w:hint="eastAsia" w:ascii="仿宋_GB2312" w:hAnsi="仿宋_GB2312" w:eastAsia="仿宋_GB2312" w:cs="仿宋_GB2312"/>
          <w:sz w:val="32"/>
          <w:szCs w:val="32"/>
        </w:rPr>
        <w:t>。增加</w:t>
      </w:r>
      <w:r>
        <w:rPr>
          <w:rFonts w:hint="eastAsia" w:ascii="仿宋_GB2312" w:hAnsi="仿宋_GB2312" w:eastAsia="仿宋_GB2312" w:cs="仿宋_GB2312"/>
          <w:sz w:val="32"/>
          <w:szCs w:val="32"/>
          <w:lang w:eastAsia="zh-CN"/>
        </w:rPr>
        <w:t>重点领域、重点工作、</w:t>
      </w:r>
      <w:r>
        <w:rPr>
          <w:rFonts w:hint="eastAsia" w:ascii="仿宋_GB2312" w:hAnsi="仿宋_GB2312" w:eastAsia="仿宋_GB2312" w:cs="仿宋_GB2312"/>
          <w:sz w:val="32"/>
          <w:szCs w:val="32"/>
        </w:rPr>
        <w:t>政策</w:t>
      </w:r>
      <w:r>
        <w:rPr>
          <w:rFonts w:hint="eastAsia" w:ascii="仿宋_GB2312" w:hAnsi="仿宋_GB2312" w:eastAsia="仿宋_GB2312" w:cs="仿宋_GB2312"/>
          <w:sz w:val="32"/>
          <w:szCs w:val="32"/>
          <w:lang w:eastAsia="zh-CN"/>
        </w:rPr>
        <w:t>等</w:t>
      </w:r>
      <w:r>
        <w:rPr>
          <w:rFonts w:hint="eastAsia" w:ascii="仿宋_GB2312" w:hAnsi="仿宋_GB2312" w:eastAsia="仿宋_GB2312" w:cs="仿宋_GB2312"/>
          <w:sz w:val="32"/>
          <w:szCs w:val="32"/>
        </w:rPr>
        <w:t>信息公开，进一步起到政策传声筒的作用，提高政策透明度。二是加强培训学习。</w:t>
      </w:r>
      <w:r>
        <w:rPr>
          <w:rFonts w:hint="eastAsia" w:ascii="仿宋_GB2312" w:hAnsi="仿宋_GB2312" w:eastAsia="仿宋_GB2312" w:cs="仿宋_GB2312"/>
          <w:sz w:val="32"/>
          <w:szCs w:val="32"/>
          <w:lang w:val="en-US" w:eastAsia="zh-CN"/>
        </w:rPr>
        <w:t>强化政策理论学习，提高对政务公开工作重要性的思想认识，进一步提升政府信息公开工作专业能力</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bidi w:val="0"/>
        <w:adjustRightInd/>
        <w:snapToGrid/>
        <w:spacing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六、其他需要报告的事项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认真贯彻执行国务院办公厅《政府信息公开信息处理费管理办法》</w:t>
      </w:r>
      <w:r>
        <w:rPr>
          <w:rFonts w:hint="eastAsia" w:ascii="仿宋_GB2312" w:hAnsi="仿宋_GB2312" w:eastAsia="仿宋_GB2312" w:cs="仿宋_GB2312"/>
          <w:sz w:val="32"/>
          <w:szCs w:val="32"/>
          <w:lang w:eastAsia="zh-CN"/>
        </w:rPr>
        <w:t>和</w:t>
      </w:r>
      <w:r>
        <w:rPr>
          <w:rFonts w:hint="eastAsia" w:ascii="仿宋_GB2312" w:hAnsi="仿宋_GB2312" w:eastAsia="仿宋_GB2312" w:cs="仿宋_GB2312"/>
          <w:sz w:val="32"/>
          <w:szCs w:val="32"/>
        </w:rPr>
        <w:t>《关于政府信息公开处理费管理有关事项的通知》。20</w:t>
      </w:r>
      <w:r>
        <w:rPr>
          <w:rFonts w:hint="eastAsia" w:ascii="仿宋_GB2312" w:hAnsi="仿宋_GB2312" w:eastAsia="仿宋_GB2312" w:cs="仿宋_GB2312"/>
          <w:sz w:val="32"/>
          <w:szCs w:val="32"/>
          <w:lang w:val="en-US" w:eastAsia="zh-CN"/>
        </w:rPr>
        <w:t>23</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eastAsia="zh-CN"/>
        </w:rPr>
        <w:t>县政府办公室</w:t>
      </w:r>
      <w:r>
        <w:rPr>
          <w:rFonts w:hint="eastAsia" w:ascii="仿宋_GB2312" w:hAnsi="仿宋_GB2312" w:eastAsia="仿宋_GB2312" w:cs="仿宋_GB2312"/>
          <w:sz w:val="32"/>
          <w:szCs w:val="32"/>
        </w:rPr>
        <w:t>未收取信息处理费。</w:t>
      </w:r>
    </w:p>
    <w:p>
      <w:pPr>
        <w:keepNext w:val="0"/>
        <w:keepLines w:val="0"/>
        <w:pageBreakBefore w:val="0"/>
        <w:widowControl w:val="0"/>
        <w:kinsoku/>
        <w:wordWrap/>
        <w:overflowPunct/>
        <w:topLinePunct w:val="0"/>
        <w:autoSpaceDE/>
        <w:bidi w:val="0"/>
        <w:adjustRightInd/>
        <w:snapToGrid/>
        <w:spacing w:line="600" w:lineRule="exact"/>
        <w:jc w:val="righ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bidi w:val="0"/>
        <w:adjustRightInd/>
        <w:snapToGrid/>
        <w:spacing w:line="600" w:lineRule="exact"/>
        <w:jc w:val="righ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bidi w:val="0"/>
        <w:adjustRightInd/>
        <w:snapToGrid/>
        <w:spacing w:line="600" w:lineRule="exact"/>
        <w:jc w:val="righ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年1月</w:t>
      </w:r>
      <w:r>
        <w:rPr>
          <w:rFonts w:hint="eastAsia" w:ascii="仿宋_GB2312" w:hAnsi="仿宋_GB2312" w:eastAsia="仿宋_GB2312" w:cs="仿宋_GB2312"/>
          <w:sz w:val="32"/>
          <w:szCs w:val="32"/>
          <w:lang w:val="en-US" w:eastAsia="zh-CN"/>
        </w:rPr>
        <w:t>17</w:t>
      </w:r>
      <w:r>
        <w:rPr>
          <w:rFonts w:hint="eastAsia" w:ascii="仿宋_GB2312" w:hAnsi="仿宋_GB2312" w:eastAsia="仿宋_GB2312" w:cs="仿宋_GB2312"/>
          <w:sz w:val="32"/>
          <w:szCs w:val="32"/>
        </w:rPr>
        <w:t>日</w:t>
      </w: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overflowPunct/>
        <w:topLinePunct w:val="0"/>
        <w:autoSpaceDE/>
        <w:bidi w:val="0"/>
        <w:adjustRightInd/>
        <w:snapToGrid/>
        <w:spacing w:line="600" w:lineRule="exact"/>
        <w:jc w:val="righ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威县人民政府办公室</w:t>
      </w:r>
    </w:p>
    <w:sectPr>
      <w:headerReference r:id="rId3" w:type="default"/>
      <w:footerReference r:id="rId4" w:type="default"/>
      <w:pgSz w:w="11906" w:h="16838"/>
      <w:pgMar w:top="2098" w:right="1474" w:bottom="1984" w:left="1587" w:header="851" w:footer="992" w:gutter="0"/>
      <w:pgNumType w:fmt="numberInDash"/>
      <w:cols w:space="0" w:num="1"/>
      <w:rtlGutter w:val="0"/>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0288" behindDoc="0" locked="0" layoutInCell="1" allowOverlap="1">
              <wp:simplePos x="0" y="0"/>
              <wp:positionH relativeFrom="margin">
                <wp:posOffset>2582545</wp:posOffset>
              </wp:positionH>
              <wp:positionV relativeFrom="paragraph">
                <wp:posOffset>-419735</wp:posOffset>
              </wp:positionV>
              <wp:extent cx="1828800" cy="65659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65659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203.35pt;margin-top:-33.05pt;height:51.7pt;width:144pt;mso-position-horizontal-relative:margin;mso-wrap-style:none;z-index:251660288;mso-width-relative:page;mso-height-relative:page;" filled="f" stroked="f" coordsize="21600,21600" o:gfxdata="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xLdnC9oAAAAKAQAA&#10;DwAAAAAAAAABACAAAAAiAAAAZHJzL2Rvd25yZXYueG1sUEsBAhQAFAAAAAgAh07iQE81hFsXAgAA&#10;EgQAAA4AAAAAAAAAAQAgAAAAKQEAAGRycy9lMm9Eb2MueG1sUEsFBgAAAAAGAAYAWQEAALIFAAAA&#10;AA==&#10;">
              <v:fill on="f" focussize="0,0"/>
              <v:stroke on="f" weight="0.5pt"/>
              <v:imagedata o:title=""/>
              <o:lock v:ext="edit" aspectratio="f"/>
              <v:textbox inset="0mm,0mm,0mm,0mm">
                <w:txbxContent>
                  <w:p>
                    <w:pPr>
                      <w:pStyle w:val="3"/>
                      <w:rPr>
                        <w:rFonts w:hint="eastAsia" w:eastAsiaTheme="minorEastAsia"/>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6C4"/>
    <w:rsid w:val="008A46C4"/>
    <w:rsid w:val="03D53AB8"/>
    <w:rsid w:val="0AEF04FA"/>
    <w:rsid w:val="101C7A8D"/>
    <w:rsid w:val="182D35C9"/>
    <w:rsid w:val="198B7C78"/>
    <w:rsid w:val="1BFE434D"/>
    <w:rsid w:val="1CAF5E68"/>
    <w:rsid w:val="288B20D1"/>
    <w:rsid w:val="2ACB6DF0"/>
    <w:rsid w:val="2BC446DC"/>
    <w:rsid w:val="2DB271AD"/>
    <w:rsid w:val="303834AB"/>
    <w:rsid w:val="329D5EB5"/>
    <w:rsid w:val="37ED04CC"/>
    <w:rsid w:val="3AC27A19"/>
    <w:rsid w:val="41840E02"/>
    <w:rsid w:val="42434C90"/>
    <w:rsid w:val="45D25F54"/>
    <w:rsid w:val="4EE4733F"/>
    <w:rsid w:val="53A51C8F"/>
    <w:rsid w:val="564A1575"/>
    <w:rsid w:val="564C7C4C"/>
    <w:rsid w:val="56DC7C88"/>
    <w:rsid w:val="5979504A"/>
    <w:rsid w:val="6E920EDB"/>
    <w:rsid w:val="6F4D7E96"/>
    <w:rsid w:val="73A9585E"/>
    <w:rsid w:val="78F273FF"/>
    <w:rsid w:val="7E716C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Normal Indent"/>
    <w:basedOn w:val="1"/>
    <w:next w:val="1"/>
    <w:qFormat/>
    <w:uiPriority w:val="0"/>
    <w:pPr>
      <w:ind w:firstLine="420"/>
    </w:pPr>
    <w:rPr>
      <w:szCs w:val="21"/>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FollowedHyperlink"/>
    <w:basedOn w:val="7"/>
    <w:qFormat/>
    <w:uiPriority w:val="0"/>
    <w:rPr>
      <w:rFonts w:hint="eastAsia" w:ascii="微软雅黑" w:hAnsi="微软雅黑" w:eastAsia="微软雅黑" w:cs="微软雅黑"/>
      <w:color w:val="800080"/>
      <w:u w:val="none"/>
    </w:rPr>
  </w:style>
  <w:style w:type="character" w:styleId="9">
    <w:name w:val="Emphasis"/>
    <w:basedOn w:val="7"/>
    <w:qFormat/>
    <w:uiPriority w:val="0"/>
    <w:rPr>
      <w:rFonts w:hint="eastAsia" w:ascii="微软雅黑" w:hAnsi="微软雅黑" w:eastAsia="微软雅黑" w:cs="微软雅黑"/>
      <w:u w:val="none"/>
    </w:rPr>
  </w:style>
  <w:style w:type="character" w:styleId="10">
    <w:name w:val="Hyperlink"/>
    <w:basedOn w:val="7"/>
    <w:qFormat/>
    <w:uiPriority w:val="0"/>
    <w:rPr>
      <w:rFonts w:hint="eastAsia" w:ascii="微软雅黑" w:hAnsi="微软雅黑" w:eastAsia="微软雅黑" w:cs="微软雅黑"/>
      <w:color w:val="0000FF"/>
      <w:u w:val="none"/>
    </w:rPr>
  </w:style>
  <w:style w:type="character" w:customStyle="1" w:styleId="11">
    <w:name w:val="hover20"/>
    <w:basedOn w:val="7"/>
    <w:qFormat/>
    <w:uiPriority w:val="0"/>
    <w:rPr>
      <w:color w:val="CC0000"/>
    </w:rPr>
  </w:style>
  <w:style w:type="character" w:customStyle="1" w:styleId="12">
    <w:name w:val="curr3"/>
    <w:basedOn w:val="7"/>
    <w:qFormat/>
    <w:uiPriority w:val="0"/>
    <w:rPr>
      <w:color w:val="FFFFFF"/>
      <w:shd w:val="clear" w:fill="CC0000"/>
    </w:rPr>
  </w:style>
  <w:style w:type="character" w:customStyle="1" w:styleId="13">
    <w:name w:val="yzm"/>
    <w:basedOn w:val="7"/>
    <w:qFormat/>
    <w:uiPriority w:val="0"/>
    <w:rPr>
      <w:color w:val="999999"/>
      <w:sz w:val="21"/>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2022-01-04T15:51:00Z</dcterms:created>
  <dc:creator>Administrator</dc:creator>
  <cp:lastModifiedBy>刘振伟</cp:lastModifiedBy>
  <cp:lastPrinted>2022-01-13T10:56:00Z</cp:lastPrinted>
  <dcterms:modified xsi:type="dcterms:W3CDTF">2024-01-17T03:06:31Z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