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atLeast"/>
        <w:ind w:left="0" w:right="0" w:firstLine="0"/>
        <w:jc w:val="center"/>
        <w:textAlignment w:val="auto"/>
        <w:rPr>
          <w:rFonts w:ascii="微软雅黑" w:hAnsi="微软雅黑" w:eastAsia="微软雅黑" w:cs="微软雅黑"/>
          <w:i w:val="0"/>
          <w:caps w:val="0"/>
          <w:color w:val="666666"/>
          <w:spacing w:val="0"/>
          <w:sz w:val="44"/>
          <w:szCs w:val="44"/>
          <w:u w:val="none"/>
        </w:rPr>
      </w:pPr>
      <w:r>
        <w:rPr>
          <w:rFonts w:ascii="方正小标宋简体" w:hAnsi="方正小标宋简体" w:eastAsia="方正小标宋简体" w:cs="方正小标宋简体"/>
          <w:i w:val="0"/>
          <w:caps w:val="0"/>
          <w:color w:val="666666"/>
          <w:spacing w:val="0"/>
          <w:kern w:val="0"/>
          <w:sz w:val="44"/>
          <w:szCs w:val="44"/>
          <w:u w:val="none"/>
          <w:bdr w:val="none" w:color="auto" w:sz="0" w:space="0"/>
          <w:shd w:val="clear" w:fill="FFFFFF"/>
          <w:lang w:val="en-US" w:eastAsia="zh-CN" w:bidi="ar"/>
        </w:rPr>
        <w:t>威县人力资源和社会保障局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atLeast"/>
        <w:ind w:left="0" w:right="0" w:firstLine="0"/>
        <w:jc w:val="center"/>
        <w:textAlignment w:val="auto"/>
        <w:rPr>
          <w:rFonts w:hint="eastAsia" w:ascii="微软雅黑" w:hAnsi="微软雅黑" w:eastAsia="微软雅黑" w:cs="微软雅黑"/>
          <w:i w:val="0"/>
          <w:caps w:val="0"/>
          <w:color w:val="666666"/>
          <w:spacing w:val="0"/>
          <w:sz w:val="44"/>
          <w:szCs w:val="44"/>
          <w:u w:val="none"/>
        </w:rPr>
      </w:pPr>
      <w:bookmarkStart w:id="0" w:name="_GoBack"/>
      <w:r>
        <w:rPr>
          <w:rFonts w:hint="eastAsia" w:ascii="方正小标宋简体" w:hAnsi="方正小标宋简体" w:eastAsia="方正小标宋简体" w:cs="方正小标宋简体"/>
          <w:i w:val="0"/>
          <w:caps w:val="0"/>
          <w:color w:val="666666"/>
          <w:spacing w:val="0"/>
          <w:kern w:val="0"/>
          <w:sz w:val="44"/>
          <w:szCs w:val="44"/>
          <w:u w:val="none"/>
          <w:bdr w:val="none" w:color="auto" w:sz="0" w:space="0"/>
          <w:shd w:val="clear" w:fill="FFFFFF"/>
          <w:lang w:val="en-US" w:eastAsia="zh-CN" w:bidi="ar"/>
        </w:rPr>
        <w:t>2023年政府信息公开工作年度报告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仿宋_GB2312" w:hAnsi="微软雅黑" w:eastAsia="仿宋_GB2312" w:cs="仿宋_GB2312"/>
          <w:i w:val="0"/>
          <w:caps w:val="0"/>
          <w:color w:val="666666"/>
          <w:spacing w:val="0"/>
          <w:kern w:val="0"/>
          <w:sz w:val="24"/>
          <w:szCs w:val="24"/>
          <w:u w:val="none"/>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根据《中华人民共和国政府信息公开条例》《河北省实施〈中华人民共和国政府信息公开条例〉办法》等规定，我局发布本年度报告，报告中所列数据统计期限为2023年1月1日至12月31日。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2023年，我局坚持以习近平新时代中国特色社会主义思想为指导，全面贯彻党的二十大精神，认真贯彻落实《中华人民共和国政府信息公开条例》文件精神及县委、县政府工作部署，围绕中心、服务大局，聚焦社会公众关切，不断提升政务公开工作标准化、规范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一）主动公开工作情况。坚持“公开为常态、不公开为例外”原则，强化责任分解和督促推动，确保各重点领域政府信息应公开尽公开。2023年，我局在政府网站和信息公开平台公开发布机构信息、政策文件、重大会议、重点招聘工作等政务信息</w:t>
      </w:r>
      <w:r>
        <w:rPr>
          <w:rFonts w:hint="eastAsia" w:ascii="仿宋_GB2312" w:hAnsi="仿宋_GB2312" w:eastAsia="仿宋_GB2312" w:cs="仿宋_GB2312"/>
          <w:i w:val="0"/>
          <w:caps w:val="0"/>
          <w:color w:val="000000"/>
          <w:spacing w:val="0"/>
          <w:kern w:val="0"/>
          <w:sz w:val="32"/>
          <w:szCs w:val="32"/>
          <w:u w:val="none"/>
          <w:bdr w:val="none" w:color="auto" w:sz="0" w:space="0"/>
          <w:shd w:val="clear" w:fill="FFFFFF"/>
          <w:lang w:val="en-US" w:eastAsia="zh-CN" w:bidi="ar"/>
        </w:rPr>
        <w:t>835</w:t>
      </w: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条。通过“威县人社”微信公众号发布信息372条，通过“威县就业”微信公众号发布信息473条，通过“威县社会保障卡”微信公众号发布信息156条，全年未发生信息公开失泄密情况。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（二）依申请公开办理情况。在政府网站开设了依申请公开栏目，公开了受理申请机构、申请方式、申请处理、答复时限以及信息公开申请表等方面的信息，方便群众提出信息公开申请。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三）政府信息管理情况。我局严格按照《威县人民政府信息公开保密审查制度》《威县规范性文件管理办法》《威县人民政府办公室关于全面推行行政规范性文件合法性审核机制的实施意见》《政府规范性文件制定流程图》等工作制度，为帮助企业招工用工，助力威县经济发展，实现高质量充分就业，创新工作方式，开展就业创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1.搭建灵活多样就业服务，提升公共就业创业服务水平，扎实开展线上线下双招聘、直播带岗，创新举办全市首场“招聘夜市”，实现“线上+线下”招聘活动无缝衔接、“白天专场+夜市招聘”优势互补，全年累计举办招聘会110场，其中“招聘夜市”6场，发布招聘岗位25000个，达成就业意向18482人。组织30余家企事业单位参加省市系列人才交流引进大会13场，帮助企业人才引进1000余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2.强化基层就业创业建设，提高更加便民的就业服务能力，高标准谋划、高标准实施高标准开展充分社区创建工作，洺阳、洺水、朝阳等7个社区已全部创建市级充分就业社区，挑选了15名专门从事公共就业服务等专业人员，建立健全了就业导师和就业服务专员队伍，积极推荐“零工超市”推广应用，截至目前，我县已建成零工市场17个，涉及16个乡镇及开发区，实现零工市场全覆盖，提供服务上万人次，真正实现走不出村享受就业创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3.创新就业帮扶服务方式，促进高校毕业生等充分就业，我县将就业服务与数字技术深度融合，加快推进线上线下一体化就业帮扶服务，在“威县人社”微信公众号上开辟高校专区，开发档案接收小程序，输入身份证号可直接查看档案是否入库，截至目前，档案查询系统录入高校毕业生档案3467本，档案转出683本，累计查询7000余人次。扎实开展2023年离校未就业高校毕业生和雨露计划毕业生就业帮扶工作，对2023年1068名离校未就业高校毕业生和141名雨露计划毕业生，逐人进行就业去向核实、跟踪服务，目前，就业率为100%，就业去向核实率达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我局2023年度政务公开信息平台共发招聘信息642条。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（四）公开平台建设情况。我局共建设各类政务新媒体共计3个，其中微信公众号3个，已全部在国家政务新媒体管理平台和河北省政务新媒体管理平台进行了备案管理。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（五）保障体系建设情况。我局认真贯彻落实政务公开各项工作任务，10月中旬，参加全县政务公开工作培训会议，有效提升我局政务公开工作人员的业务水平和工作能力，做好政务公开工作积极性。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 </w:t>
      </w:r>
    </w:p>
    <w:tbl>
      <w:tblPr>
        <w:tblW w:w="9740" w:type="dxa"/>
        <w:jc w:val="center"/>
        <w:tblCellSpacing w:w="0" w:type="dxa"/>
        <w:tblInd w:w="-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0" w:hRule="atLeast"/>
          <w:tblCellSpacing w:w="0" w:type="dxa"/>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本年</w:t>
            </w:r>
            <w:r>
              <w:rPr>
                <w:rFonts w:hint="eastAsia" w:ascii="仿宋_GB2312" w:hAnsi="仿宋_GB2312" w:eastAsia="仿宋_GB2312" w:cs="仿宋_GB2312"/>
                <w:i w:val="0"/>
                <w:color w:val="666666"/>
                <w:kern w:val="0"/>
                <w:sz w:val="32"/>
                <w:szCs w:val="32"/>
                <w:u w:val="none"/>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现行有效件</w:t>
            </w:r>
            <w:r>
              <w:rPr>
                <w:rFonts w:hint="eastAsia" w:ascii="仿宋_GB2312" w:hAnsi="仿宋_GB2312" w:eastAsia="仿宋_GB2312" w:cs="仿宋_GB2312"/>
                <w:i w:val="0"/>
                <w:color w:val="666666"/>
                <w:kern w:val="0"/>
                <w:sz w:val="32"/>
                <w:szCs w:val="32"/>
                <w:u w:val="none"/>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blCellSpacing w:w="0" w:type="dxa"/>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 </w:t>
      </w:r>
    </w:p>
    <w:tbl>
      <w:tblPr>
        <w:tblW w:w="9806" w:type="dxa"/>
        <w:jc w:val="center"/>
        <w:tblCellSpacing w:w="0" w:type="dxa"/>
        <w:tblInd w:w="-62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94"/>
        <w:gridCol w:w="1094"/>
        <w:gridCol w:w="2911"/>
        <w:gridCol w:w="658"/>
        <w:gridCol w:w="854"/>
        <w:gridCol w:w="854"/>
        <w:gridCol w:w="658"/>
        <w:gridCol w:w="658"/>
        <w:gridCol w:w="658"/>
        <w:gridCol w:w="6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blCellSpacing w:w="0" w:type="dxa"/>
          <w:jc w:val="center"/>
        </w:trPr>
        <w:tc>
          <w:tcPr>
            <w:tcW w:w="4799"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（本列数据的勾稽关系为：第一项加第二项之和，等于第三项加第四项之和）</w:t>
            </w:r>
          </w:p>
        </w:tc>
        <w:tc>
          <w:tcPr>
            <w:tcW w:w="5007"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799"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58"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自然人</w:t>
            </w:r>
          </w:p>
        </w:tc>
        <w:tc>
          <w:tcPr>
            <w:tcW w:w="3682"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法人或其他组织</w:t>
            </w:r>
          </w:p>
        </w:tc>
        <w:tc>
          <w:tcPr>
            <w:tcW w:w="667"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99"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58"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0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0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企业</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0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0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机构</w:t>
            </w:r>
          </w:p>
        </w:tc>
        <w:tc>
          <w:tcPr>
            <w:tcW w:w="65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社会公益组织</w:t>
            </w:r>
          </w:p>
        </w:tc>
        <w:tc>
          <w:tcPr>
            <w:tcW w:w="65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法律服务机构</w:t>
            </w:r>
          </w:p>
        </w:tc>
        <w:tc>
          <w:tcPr>
            <w:tcW w:w="65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其他</w:t>
            </w:r>
          </w:p>
        </w:tc>
        <w:tc>
          <w:tcPr>
            <w:tcW w:w="667"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8" w:hRule="atLeast"/>
          <w:tblCellSpacing w:w="0" w:type="dxa"/>
          <w:jc w:val="center"/>
        </w:trPr>
        <w:tc>
          <w:tcPr>
            <w:tcW w:w="4799"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一、本年新收政府信息公开申请数量</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799"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二、上年结转政府信息公开申请数量</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三、本年度办理结果</w:t>
            </w:r>
          </w:p>
        </w:tc>
        <w:tc>
          <w:tcPr>
            <w:tcW w:w="400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（一）予以公开</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400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（二）部分公开（区分处理的，只计这一情形，不计其他情形）</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（三）不予公开</w:t>
            </w: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1.属于国家秘密</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2.其他法律行政法规禁止公开</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3.危及“三安全一稳定”</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4.保护第三方合法权益</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5.属于三类内部事务信息</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6.属于四类过程性信息</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7.属于行政执法案卷</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8.属于行政查询事项</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（四）无法提供</w:t>
            </w: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1.本机关不掌握相关政府信息</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2.没有现成信息需要另行制作</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3.补正后申请内容仍不明确</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（五）不予处理</w:t>
            </w: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1.信访举报投诉类申请</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2.重复申请</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3.要求提供公开出版物</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4.无正当理由大量反复申请</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5.要求行政机关确认或重新出具已获取信息</w:t>
            </w:r>
          </w:p>
        </w:tc>
        <w:tc>
          <w:tcPr>
            <w:tcW w:w="65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（六）其他处理</w:t>
            </w:r>
          </w:p>
        </w:tc>
        <w:tc>
          <w:tcPr>
            <w:tcW w:w="29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1.申请人无正当理由逾期不补正、行政机关不再处理其政府信息公开申请</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2.申请人逾期未按收费通知要求缴纳费用、行政机关不再处理其政府信息公开申请</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1094"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29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3.其他</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仿宋_GB2312" w:hAnsi="仿宋_GB2312" w:eastAsia="仿宋_GB2312" w:cs="仿宋_GB2312"/>
                <w:i w:val="0"/>
                <w:color w:val="666666"/>
                <w:sz w:val="32"/>
                <w:szCs w:val="32"/>
                <w:u w:val="none"/>
              </w:rPr>
            </w:pPr>
          </w:p>
        </w:tc>
        <w:tc>
          <w:tcPr>
            <w:tcW w:w="400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（七）总计</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799"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四、结转下年度继续办理</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85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 </w:t>
      </w:r>
    </w:p>
    <w:tbl>
      <w:tblPr>
        <w:tblW w:w="9748" w:type="dxa"/>
        <w:jc w:val="center"/>
        <w:tblCellSpacing w:w="0" w:type="dxa"/>
        <w:tblInd w:w="-5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行政复议</w:t>
            </w:r>
          </w:p>
        </w:tc>
        <w:tc>
          <w:tcPr>
            <w:tcW w:w="6538"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结果维持</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其他</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尚未</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总计</w:t>
            </w:r>
          </w:p>
        </w:tc>
        <w:tc>
          <w:tcPr>
            <w:tcW w:w="321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未经复议直接起诉</w:t>
            </w:r>
          </w:p>
        </w:tc>
        <w:tc>
          <w:tcPr>
            <w:tcW w:w="332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仿宋_GB2312" w:hAnsi="仿宋_GB2312" w:eastAsia="仿宋_GB2312" w:cs="仿宋_GB2312"/>
                <w:i w:val="0"/>
                <w:color w:val="666666"/>
                <w:sz w:val="32"/>
                <w:szCs w:val="32"/>
                <w:u w:val="none"/>
              </w:rPr>
            </w:pP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维持</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纠正</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其他</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尚未</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审结</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总计</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维持</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结果</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纠正</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其他</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000000"/>
                <w:kern w:val="0"/>
                <w:sz w:val="32"/>
                <w:szCs w:val="32"/>
                <w:u w:val="none"/>
                <w:bdr w:val="none" w:color="auto" w:sz="0" w:space="0"/>
                <w:lang w:val="en-US" w:eastAsia="zh-CN" w:bidi="ar"/>
              </w:rPr>
              <w:t>结果</w:t>
            </w:r>
          </w:p>
        </w:tc>
        <w:tc>
          <w:tcPr>
            <w:tcW w:w="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尚未</w:t>
            </w:r>
            <w:r>
              <w:rPr>
                <w:rFonts w:hint="eastAsia" w:ascii="仿宋_GB2312" w:hAnsi="仿宋_GB2312" w:eastAsia="仿宋_GB2312" w:cs="仿宋_GB2312"/>
                <w:i w:val="0"/>
                <w:color w:val="666666"/>
                <w:kern w:val="0"/>
                <w:sz w:val="32"/>
                <w:szCs w:val="32"/>
                <w:u w:val="none"/>
                <w:bdr w:val="none" w:color="auto" w:sz="0" w:space="0"/>
                <w:lang w:val="en-US" w:eastAsia="zh-CN" w:bidi="ar"/>
              </w:rPr>
              <w:br w:type="textWrapping"/>
            </w:r>
            <w:r>
              <w:rPr>
                <w:rFonts w:hint="eastAsia" w:ascii="仿宋_GB2312" w:hAnsi="仿宋_GB2312" w:eastAsia="仿宋_GB2312" w:cs="仿宋_GB2312"/>
                <w:i w:val="0"/>
                <w:color w:val="666666"/>
                <w:kern w:val="0"/>
                <w:sz w:val="32"/>
                <w:szCs w:val="32"/>
                <w:u w:val="none"/>
                <w:bdr w:val="none" w:color="auto" w:sz="0" w:space="0"/>
                <w:lang w:val="en-US" w:eastAsia="zh-CN" w:bidi="ar"/>
              </w:rPr>
              <w:t>审结</w:t>
            </w:r>
          </w:p>
        </w:tc>
        <w:tc>
          <w:tcPr>
            <w:tcW w:w="7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tblCellSpacing w:w="0" w:type="dxa"/>
          <w:jc w:val="center"/>
        </w:trPr>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c>
          <w:tcPr>
            <w:tcW w:w="7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i w:val="0"/>
                <w:color w:val="666666"/>
                <w:sz w:val="32"/>
                <w:szCs w:val="32"/>
                <w:u w:val="none"/>
              </w:rPr>
            </w:pPr>
            <w:r>
              <w:rPr>
                <w:rFonts w:hint="eastAsia" w:ascii="仿宋_GB2312" w:hAnsi="仿宋_GB2312" w:eastAsia="仿宋_GB2312" w:cs="仿宋_GB2312"/>
                <w:i w:val="0"/>
                <w:color w:val="666666"/>
                <w:kern w:val="0"/>
                <w:sz w:val="32"/>
                <w:szCs w:val="32"/>
                <w:u w:val="none"/>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sz w:val="32"/>
          <w:szCs w:val="32"/>
          <w:u w:val="none"/>
          <w:bdr w:val="none" w:color="auto" w:sz="0" w:space="0"/>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存在的问题：一是政府信息公开内容相对单一，所公开的信息涉及日常工作比较多。二是部分股室对政府信息公开工作的重视程度不够，提供的信息不够及时。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改进情况：我局将继续加大公开力度，不断提高政务公开工作质量和工作水平，全力做到政务信息透明化和行政程序规范化，为广大人民群众提供更加公开、优质、便捷、全面的服务。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认真贯彻执行国务院办公厅《政府信息公开信息处理费管理办法》和《关于政府信息公开处理费管理有关事项的通知》。2023年未收取信息处理费。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2024年1月18日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仿宋_GB2312" w:hAnsi="仿宋_GB2312" w:eastAsia="仿宋_GB2312" w:cs="仿宋_GB2312"/>
          <w:i w:val="0"/>
          <w:caps w:val="0"/>
          <w:color w:val="666666"/>
          <w:spacing w:val="0"/>
          <w:sz w:val="32"/>
          <w:szCs w:val="32"/>
          <w:u w:val="none"/>
        </w:rPr>
      </w:pPr>
      <w:r>
        <w:rPr>
          <w:rFonts w:hint="eastAsia" w:ascii="仿宋_GB2312" w:hAnsi="仿宋_GB2312" w:eastAsia="仿宋_GB2312" w:cs="仿宋_GB2312"/>
          <w:i w:val="0"/>
          <w:caps w:val="0"/>
          <w:color w:val="666666"/>
          <w:spacing w:val="0"/>
          <w:kern w:val="0"/>
          <w:sz w:val="32"/>
          <w:szCs w:val="32"/>
          <w:u w:val="none"/>
          <w:bdr w:val="none" w:color="auto" w:sz="0" w:space="0"/>
          <w:shd w:val="clear" w:fill="FFFFFF"/>
          <w:lang w:val="en-US" w:eastAsia="zh-CN" w:bidi="ar"/>
        </w:rPr>
        <w:t>威县人力资源和社会保障局</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502D2"/>
    <w:rsid w:val="009E6563"/>
    <w:rsid w:val="015F37FC"/>
    <w:rsid w:val="02441598"/>
    <w:rsid w:val="02661F76"/>
    <w:rsid w:val="03E3578E"/>
    <w:rsid w:val="0422314D"/>
    <w:rsid w:val="05860314"/>
    <w:rsid w:val="05C54091"/>
    <w:rsid w:val="05E700AA"/>
    <w:rsid w:val="062E1292"/>
    <w:rsid w:val="06A477E3"/>
    <w:rsid w:val="06D33603"/>
    <w:rsid w:val="06D816C7"/>
    <w:rsid w:val="07527381"/>
    <w:rsid w:val="08336805"/>
    <w:rsid w:val="086D69B9"/>
    <w:rsid w:val="09F252D8"/>
    <w:rsid w:val="0A850FB2"/>
    <w:rsid w:val="0B3045EA"/>
    <w:rsid w:val="0B966484"/>
    <w:rsid w:val="0C73208B"/>
    <w:rsid w:val="0CFE3626"/>
    <w:rsid w:val="0D4E1CD4"/>
    <w:rsid w:val="0D4F5987"/>
    <w:rsid w:val="0D7E18E0"/>
    <w:rsid w:val="0E374943"/>
    <w:rsid w:val="0E4D0A99"/>
    <w:rsid w:val="0EA4466A"/>
    <w:rsid w:val="0EF6369F"/>
    <w:rsid w:val="0FAC48A0"/>
    <w:rsid w:val="0FCB6666"/>
    <w:rsid w:val="105E627E"/>
    <w:rsid w:val="117156CB"/>
    <w:rsid w:val="117C7222"/>
    <w:rsid w:val="12315681"/>
    <w:rsid w:val="12BC5AA7"/>
    <w:rsid w:val="130408F5"/>
    <w:rsid w:val="13263A03"/>
    <w:rsid w:val="13FF0324"/>
    <w:rsid w:val="14E85C10"/>
    <w:rsid w:val="14F03279"/>
    <w:rsid w:val="15197B66"/>
    <w:rsid w:val="151A7372"/>
    <w:rsid w:val="157F1EF5"/>
    <w:rsid w:val="15A251C3"/>
    <w:rsid w:val="15C921A9"/>
    <w:rsid w:val="16267D24"/>
    <w:rsid w:val="16E32A5D"/>
    <w:rsid w:val="16E5092A"/>
    <w:rsid w:val="187E16D2"/>
    <w:rsid w:val="19980EF3"/>
    <w:rsid w:val="19A06571"/>
    <w:rsid w:val="1A4F7E47"/>
    <w:rsid w:val="1AF25359"/>
    <w:rsid w:val="1B137081"/>
    <w:rsid w:val="1B551534"/>
    <w:rsid w:val="1B8805B7"/>
    <w:rsid w:val="1BF65B0A"/>
    <w:rsid w:val="1CC338E4"/>
    <w:rsid w:val="1D9C7EE0"/>
    <w:rsid w:val="1DCA0248"/>
    <w:rsid w:val="1F070EB6"/>
    <w:rsid w:val="1F8704D4"/>
    <w:rsid w:val="1FBC19C9"/>
    <w:rsid w:val="21803D69"/>
    <w:rsid w:val="22721847"/>
    <w:rsid w:val="22AD484B"/>
    <w:rsid w:val="23833177"/>
    <w:rsid w:val="24DE5C86"/>
    <w:rsid w:val="25254533"/>
    <w:rsid w:val="253F7038"/>
    <w:rsid w:val="254F6E16"/>
    <w:rsid w:val="25FC5E43"/>
    <w:rsid w:val="2676434E"/>
    <w:rsid w:val="268C4D52"/>
    <w:rsid w:val="26C64EC8"/>
    <w:rsid w:val="277865E3"/>
    <w:rsid w:val="27D0580C"/>
    <w:rsid w:val="27FF3456"/>
    <w:rsid w:val="29780C15"/>
    <w:rsid w:val="2A115110"/>
    <w:rsid w:val="2A3B784A"/>
    <w:rsid w:val="2AC033C2"/>
    <w:rsid w:val="2AC632AB"/>
    <w:rsid w:val="2B3E4C5D"/>
    <w:rsid w:val="2B935686"/>
    <w:rsid w:val="2B9D37FC"/>
    <w:rsid w:val="2BBB3C4C"/>
    <w:rsid w:val="2BC56922"/>
    <w:rsid w:val="2BED7A35"/>
    <w:rsid w:val="2C647020"/>
    <w:rsid w:val="2CCD201F"/>
    <w:rsid w:val="2CD751D0"/>
    <w:rsid w:val="2D1430E2"/>
    <w:rsid w:val="2D7776F4"/>
    <w:rsid w:val="30773FDE"/>
    <w:rsid w:val="32220A91"/>
    <w:rsid w:val="32B326D0"/>
    <w:rsid w:val="3350572D"/>
    <w:rsid w:val="33D10F34"/>
    <w:rsid w:val="34ED0DEA"/>
    <w:rsid w:val="35A4766C"/>
    <w:rsid w:val="35AA72F7"/>
    <w:rsid w:val="368B105E"/>
    <w:rsid w:val="36F0095F"/>
    <w:rsid w:val="37E34E6B"/>
    <w:rsid w:val="38B30C55"/>
    <w:rsid w:val="396C772A"/>
    <w:rsid w:val="3B191E5C"/>
    <w:rsid w:val="3BC42EF3"/>
    <w:rsid w:val="3C2032C1"/>
    <w:rsid w:val="3D7A557A"/>
    <w:rsid w:val="3E025BB2"/>
    <w:rsid w:val="3E323C8C"/>
    <w:rsid w:val="3E79134B"/>
    <w:rsid w:val="404B439B"/>
    <w:rsid w:val="42930C57"/>
    <w:rsid w:val="42945204"/>
    <w:rsid w:val="439C7DC4"/>
    <w:rsid w:val="43D968AE"/>
    <w:rsid w:val="44021BC8"/>
    <w:rsid w:val="44487D92"/>
    <w:rsid w:val="445F0D0A"/>
    <w:rsid w:val="44685AA8"/>
    <w:rsid w:val="456A06E6"/>
    <w:rsid w:val="45D70553"/>
    <w:rsid w:val="45F46A78"/>
    <w:rsid w:val="469516F8"/>
    <w:rsid w:val="47A04EDE"/>
    <w:rsid w:val="47D406EF"/>
    <w:rsid w:val="483A16E8"/>
    <w:rsid w:val="48A21ED8"/>
    <w:rsid w:val="4A2D6833"/>
    <w:rsid w:val="4A8C54C3"/>
    <w:rsid w:val="4A903C06"/>
    <w:rsid w:val="4B8572FF"/>
    <w:rsid w:val="4BC51AFD"/>
    <w:rsid w:val="4CE76AB4"/>
    <w:rsid w:val="4D59351E"/>
    <w:rsid w:val="4D834FC3"/>
    <w:rsid w:val="4D946CFB"/>
    <w:rsid w:val="4E8D49EC"/>
    <w:rsid w:val="4F585A7C"/>
    <w:rsid w:val="4FFB3814"/>
    <w:rsid w:val="50282087"/>
    <w:rsid w:val="505E5D1A"/>
    <w:rsid w:val="51370070"/>
    <w:rsid w:val="51A86031"/>
    <w:rsid w:val="527914C4"/>
    <w:rsid w:val="527E3EAA"/>
    <w:rsid w:val="529A3D8C"/>
    <w:rsid w:val="52EB23A6"/>
    <w:rsid w:val="54B20658"/>
    <w:rsid w:val="54D02507"/>
    <w:rsid w:val="55086093"/>
    <w:rsid w:val="552E202D"/>
    <w:rsid w:val="55484B6B"/>
    <w:rsid w:val="55540454"/>
    <w:rsid w:val="5561099C"/>
    <w:rsid w:val="56171624"/>
    <w:rsid w:val="570F3AE6"/>
    <w:rsid w:val="57961094"/>
    <w:rsid w:val="580B4820"/>
    <w:rsid w:val="584D0938"/>
    <w:rsid w:val="591D0AA0"/>
    <w:rsid w:val="59805030"/>
    <w:rsid w:val="599D064F"/>
    <w:rsid w:val="5A203287"/>
    <w:rsid w:val="5A205FE7"/>
    <w:rsid w:val="5A425346"/>
    <w:rsid w:val="5AA13AB3"/>
    <w:rsid w:val="5AA37F32"/>
    <w:rsid w:val="5AC019CA"/>
    <w:rsid w:val="5B8C2421"/>
    <w:rsid w:val="5C2312E8"/>
    <w:rsid w:val="5C2B6D54"/>
    <w:rsid w:val="5D2440D9"/>
    <w:rsid w:val="5DCA79F5"/>
    <w:rsid w:val="5E7B109B"/>
    <w:rsid w:val="5F8C19F4"/>
    <w:rsid w:val="605B734E"/>
    <w:rsid w:val="60A11406"/>
    <w:rsid w:val="60D513D8"/>
    <w:rsid w:val="617C2FFA"/>
    <w:rsid w:val="61885700"/>
    <w:rsid w:val="62431801"/>
    <w:rsid w:val="62671D13"/>
    <w:rsid w:val="62816C55"/>
    <w:rsid w:val="62885A73"/>
    <w:rsid w:val="62C502D2"/>
    <w:rsid w:val="62E033E5"/>
    <w:rsid w:val="636E7FFE"/>
    <w:rsid w:val="638F48D5"/>
    <w:rsid w:val="63B142EB"/>
    <w:rsid w:val="63F232F2"/>
    <w:rsid w:val="6435524C"/>
    <w:rsid w:val="64AE532D"/>
    <w:rsid w:val="654C1536"/>
    <w:rsid w:val="66A14023"/>
    <w:rsid w:val="66A90799"/>
    <w:rsid w:val="6732425D"/>
    <w:rsid w:val="67B62874"/>
    <w:rsid w:val="68D72EB5"/>
    <w:rsid w:val="69212926"/>
    <w:rsid w:val="69517334"/>
    <w:rsid w:val="6B5D33A1"/>
    <w:rsid w:val="6C5311C0"/>
    <w:rsid w:val="6C8B5F30"/>
    <w:rsid w:val="6D36060D"/>
    <w:rsid w:val="6D773712"/>
    <w:rsid w:val="6DB35E33"/>
    <w:rsid w:val="6DC163BB"/>
    <w:rsid w:val="6E21648B"/>
    <w:rsid w:val="6E5F62C7"/>
    <w:rsid w:val="6EF93996"/>
    <w:rsid w:val="6FCA62C7"/>
    <w:rsid w:val="70702382"/>
    <w:rsid w:val="70DC54DF"/>
    <w:rsid w:val="70E449CA"/>
    <w:rsid w:val="71686C30"/>
    <w:rsid w:val="73454C7D"/>
    <w:rsid w:val="74616244"/>
    <w:rsid w:val="7478748C"/>
    <w:rsid w:val="74A72C1D"/>
    <w:rsid w:val="75504E56"/>
    <w:rsid w:val="7593246E"/>
    <w:rsid w:val="759B31C9"/>
    <w:rsid w:val="75E153CC"/>
    <w:rsid w:val="76920656"/>
    <w:rsid w:val="76D477C2"/>
    <w:rsid w:val="76DC4555"/>
    <w:rsid w:val="76FA220C"/>
    <w:rsid w:val="76FD71D8"/>
    <w:rsid w:val="772856D0"/>
    <w:rsid w:val="779016AF"/>
    <w:rsid w:val="7950038A"/>
    <w:rsid w:val="79AE3FE2"/>
    <w:rsid w:val="7A3E4310"/>
    <w:rsid w:val="7A6A650C"/>
    <w:rsid w:val="7AA66A51"/>
    <w:rsid w:val="7C67746E"/>
    <w:rsid w:val="7DEE3529"/>
    <w:rsid w:val="7DF3558B"/>
    <w:rsid w:val="7EF36D2E"/>
    <w:rsid w:val="7F575E39"/>
    <w:rsid w:val="7F9F1A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2024-01-31T02:08:00Z</dcterms:created>
  <dc:creator>刘振伟</dc:creator>
  <cp:lastModifiedBy>刘振伟</cp:lastModifiedBy>
  <dcterms:modified xsi:type="dcterms:W3CDTF">2024-01-31T02:10:11Z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