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威县行政审批局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根据《中华人民共和国政府信息公开条例》《河北省实施〈中华人民共和国政府信息公开条例〉办法》等规定，发布本年度报告，报告中所列数据统计期限为2023年1月1日至12月31日。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2023年，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威县行政审批局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坚持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以习近平新时代中国特色社会主义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思想为指导，全面贯彻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党的二十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大精神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和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县委、县政府工作部署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，认真贯彻落实《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中华人民共和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国政府信息公开条例》文件精神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围绕中心、服务大局，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加大主动公开工作力度，全面提升政务公开工作水平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不断提升政务公开工作标准化、规范化水平。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楷体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主动公开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坚持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“公开为常态、不公开为例外”原则。2023年，我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局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在政府网站和信息公开平台公开发布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行政许可、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机构信息、政策文件、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责任清单及公共服务事项目录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等政务信息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234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条。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（二）依申请公开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我局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进一步规范政府信息公开申请办理工作，严格按照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“依申请办理示范文书”进行答复，优化依申请工作流程。2023年我局未收到信息公开申请。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政府信息管理情况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我局严格按照《政府信息公开指南》以及文件制发、档案管理等机制，健全完善了政府信息制作、获取、保存、处理等方面制度。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（四）公开平台建设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切实加强政府信息公开平台、政务新媒体等公开平台建设工作，建设维护微信公众号</w:t>
      </w:r>
      <w:r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1个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,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并更新发布435条信息。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监督保障情况。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建立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健全</w:t>
      </w:r>
      <w:r>
        <w:rPr>
          <w:rFonts w:hint="eastAsia" w:ascii="仿宋_GB2312" w:eastAsia="仿宋_GB2312" w:cs="Times New Roman" w:hAnsiTheme="minorHAnsi"/>
          <w:kern w:val="2"/>
          <w:sz w:val="32"/>
          <w:szCs w:val="32"/>
          <w:lang w:val="en-US" w:eastAsia="zh-CN" w:bidi="ar-SA"/>
        </w:rPr>
        <w:t>局内监督评价体系，组织协调、指导推进、监督检查我局政务公开工作，定期对局政府信息公开工作进行检查，推动全局政务信息公开工作质量的整体提升。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8717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80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7"/>
        <w:gridCol w:w="685"/>
        <w:gridCol w:w="734"/>
        <w:gridCol w:w="734"/>
        <w:gridCol w:w="685"/>
        <w:gridCol w:w="685"/>
        <w:gridCol w:w="685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0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存在的问题：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在政府信息公开工作中，我局虽然取得了一定成绩，但与上级的工作要求和群众的需求相比还有一些差距，主要表现在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一是信息公开的时效性不强。二是工作创新力度还有待进一步加强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改进情况：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我局将进一步加大网站平台建设，拓宽公开渠道，深化公开内容，有效保障公众的知情权、参与权和监督权。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一是加强制度建设。规范工作程序，创新工作方式，使政务公开工作在制度化、规范化有新的突破;二是加强监督考核。对政务公开工作考核细则进行修改完善，加强日常督导检查，确保各项工作任务落实到位。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认真贯彻执行国务院办公厅《政府信息公开信息处理费管理办法》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《关于政府信息公开处理费管理有关事项的通知》。202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年未收取信息处理费。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威县行政审批局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2582545</wp:posOffset>
              </wp:positionH>
              <wp:positionV relativeFrom="paragraph">
                <wp:posOffset>-419735</wp:posOffset>
              </wp:positionV>
              <wp:extent cx="1828800" cy="6565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6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5pt;margin-top:-33.05pt;height:51.7pt;width:144pt;mso-position-horizontal-relative:margin;mso-wrap-style:none;z-index:251659264;mso-width-relative:page;mso-height-relative:page;" filled="f" stroked="f" coordsize="21600,21600" o:gfxdata="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S3ZwvaAAAACgEAAA8AAAAAAAAAAQAgAAAAIgAAAGRycy9kb3du&#10;cmV2LnhtbFBLAQIUABQAAAAIAIdO4kDJAfy0NgIAAGAEAAAOAAAAAAAAAAEAIAAAACk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FC6F3A"/>
    <w:multiLevelType w:val="singleLevel"/>
    <w:tmpl w:val="8AFC6F3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MDQ0YjUyMWM1ZjJkYmIyZjY4OTNmMjU5MzdmNWMifQ=="/>
  </w:docVars>
  <w:rsids>
    <w:rsidRoot w:val="008A46C4"/>
    <w:rsid w:val="008A46C4"/>
    <w:rsid w:val="03D53AB8"/>
    <w:rsid w:val="0AEF04FA"/>
    <w:rsid w:val="101C7A8D"/>
    <w:rsid w:val="182D35C9"/>
    <w:rsid w:val="198B7C78"/>
    <w:rsid w:val="1CAF5E68"/>
    <w:rsid w:val="2BC446DC"/>
    <w:rsid w:val="2DB271AD"/>
    <w:rsid w:val="303834AB"/>
    <w:rsid w:val="329D5EB5"/>
    <w:rsid w:val="37ED04CC"/>
    <w:rsid w:val="3AC27A19"/>
    <w:rsid w:val="3D530784"/>
    <w:rsid w:val="41840E02"/>
    <w:rsid w:val="491B727C"/>
    <w:rsid w:val="53A51C8F"/>
    <w:rsid w:val="564A1575"/>
    <w:rsid w:val="564C7C4C"/>
    <w:rsid w:val="56DC7C88"/>
    <w:rsid w:val="5979504A"/>
    <w:rsid w:val="60C31C2D"/>
    <w:rsid w:val="62E67E08"/>
    <w:rsid w:val="6E920EDB"/>
    <w:rsid w:val="6F4D7E96"/>
    <w:rsid w:val="73A9585E"/>
    <w:rsid w:val="73FD28CA"/>
    <w:rsid w:val="78F273FF"/>
    <w:rsid w:val="7E7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/>
    </w:pPr>
    <w:rPr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9">
    <w:name w:val="Emphasis"/>
    <w:basedOn w:val="7"/>
    <w:autoRedefine/>
    <w:qFormat/>
    <w:uiPriority w:val="0"/>
    <w:rPr>
      <w:rFonts w:hint="eastAsia" w:ascii="微软雅黑" w:hAnsi="微软雅黑" w:eastAsia="微软雅黑" w:cs="微软雅黑"/>
      <w:u w:val="none"/>
    </w:rPr>
  </w:style>
  <w:style w:type="character" w:styleId="10">
    <w:name w:val="Hyperlink"/>
    <w:basedOn w:val="7"/>
    <w:autoRedefine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11">
    <w:name w:val="hover20"/>
    <w:basedOn w:val="7"/>
    <w:qFormat/>
    <w:uiPriority w:val="0"/>
    <w:rPr>
      <w:color w:val="CC0000"/>
    </w:rPr>
  </w:style>
  <w:style w:type="character" w:customStyle="1" w:styleId="12">
    <w:name w:val="curr3"/>
    <w:basedOn w:val="7"/>
    <w:autoRedefine/>
    <w:qFormat/>
    <w:uiPriority w:val="0"/>
    <w:rPr>
      <w:color w:val="FFFFFF"/>
      <w:shd w:val="clear" w:fill="CC0000"/>
    </w:rPr>
  </w:style>
  <w:style w:type="character" w:customStyle="1" w:styleId="13">
    <w:name w:val="yzm"/>
    <w:basedOn w:val="7"/>
    <w:autoRedefine/>
    <w:qFormat/>
    <w:uiPriority w:val="0"/>
    <w:rPr>
      <w:color w:val="999999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1842</Words>
  <Characters>1894</Characters>
  <Lines>0</Lines>
  <Paragraphs>0</Paragraphs>
  <TotalTime>1479</TotalTime>
  <ScaleCrop>false</ScaleCrop>
  <LinksUpToDate>false</LinksUpToDate>
  <CharactersWithSpaces>1936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2022-01-04T15:51:00Z</dcterms:created>
  <dc:creator>Administrator</dc:creator>
  <cp:lastModifiedBy>焦萌</cp:lastModifiedBy>
  <cp:lastPrinted>2024-01-19T01:52:39Z</cp:lastPrinted>
  <dcterms:modified xsi:type="dcterms:W3CDTF">2024-01-19T02:07:25Z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95E7D9C3238043539FBFAD434C32A182_12</vt:lpwstr>
  </property>
</Properties>
</file>